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Style w:val="Strong"/>
          <w:rFonts w:eastAsia="Courier New"/>
        </w:rPr>
      </w:pPr>
      <w:r>
        <w:rPr>
          <w:rFonts w:eastAsia="Courier New"/>
        </w:rPr>
      </w:r>
    </w:p>
    <w:p>
      <w:pPr>
        <w:pStyle w:val="Normal"/>
        <w:jc w:val="center"/>
        <w:rPr/>
      </w:pPr>
      <w:r>
        <w:rPr>
          <w:rStyle w:val="Strong"/>
          <w:rFonts w:eastAsia="Courier New"/>
        </w:rPr>
        <w:t>Сообщение о существенном факте</w:t>
      </w:r>
    </w:p>
    <w:p>
      <w:pPr>
        <w:pStyle w:val="Normal"/>
        <w:jc w:val="center"/>
        <w:rPr/>
      </w:pPr>
      <w:r>
        <w:rPr>
          <w:rStyle w:val="Strong"/>
          <w:rFonts w:eastAsia="Courier New"/>
        </w:rPr>
        <w:t>«О совершении эмитентом существенной сделки»</w:t>
      </w:r>
    </w:p>
    <w:p>
      <w:pPr>
        <w:pStyle w:val="Normal"/>
        <w:jc w:val="both"/>
        <w:rPr>
          <w:color w:val="000000"/>
          <w:sz w:val="12"/>
          <w:szCs w:val="12"/>
        </w:rPr>
      </w:pPr>
      <w:r>
        <w:rPr>
          <w:color w:val="000000"/>
          <w:sz w:val="12"/>
          <w:szCs w:val="12"/>
        </w:rPr>
      </w:r>
    </w:p>
    <w:tbl>
      <w:tblPr>
        <w:tblW w:w="10228" w:type="dxa"/>
        <w:jc w:val="left"/>
        <w:tblInd w:w="15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noVBand="1" w:val="04a0" w:noHBand="0" w:lastColumn="0" w:firstColumn="1" w:lastRow="0" w:firstRow="1"/>
      </w:tblPr>
      <w:tblGrid>
        <w:gridCol w:w="5555"/>
        <w:gridCol w:w="4672"/>
      </w:tblGrid>
      <w:tr>
        <w:trPr/>
        <w:tc>
          <w:tcPr>
            <w:tcW w:w="10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/>
            </w:pPr>
            <w:r>
              <w:rPr>
                <w:sz w:val="24"/>
                <w:szCs w:val="24"/>
              </w:rPr>
              <w:t>1. Общие сведения</w:t>
            </w:r>
          </w:p>
        </w:tc>
      </w:tr>
      <w:tr>
        <w:trPr>
          <w:trHeight w:val="628" w:hRule="atLeast"/>
        </w:trPr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1.1. Полное фирменное наименование (для коммерческой организации)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rStyle w:val="SUBST"/>
                <w:sz w:val="24"/>
                <w:szCs w:val="24"/>
              </w:rPr>
              <w:t>Публичное акционерное общество энергетики и электрификации  «Камчатскэнерго»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1.2. </w:t>
            </w:r>
            <w:r>
              <w:rPr>
                <w:sz w:val="24"/>
                <w:szCs w:val="24"/>
                <w:lang w:eastAsia="en-US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rStyle w:val="SUBST"/>
                <w:sz w:val="24"/>
                <w:szCs w:val="24"/>
              </w:rPr>
              <w:t>683000, Камчатский кр.,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rStyle w:val="SUBST"/>
                <w:sz w:val="24"/>
                <w:szCs w:val="24"/>
              </w:rPr>
              <w:t>г. Петропавловск-Камчатский,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rStyle w:val="SUBST"/>
                <w:sz w:val="24"/>
                <w:szCs w:val="24"/>
              </w:rPr>
              <w:t>ул. Набережная, д. 10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1.3. Основной государственный регистрационный номер (ОГРН) эмитента: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b/>
                <w:i/>
                <w:sz w:val="24"/>
                <w:szCs w:val="24"/>
              </w:rPr>
              <w:t>1024101024078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1.4.  Идентификационный номер налогоплательщика (ИНН) эмитента: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b/>
                <w:i/>
                <w:sz w:val="24"/>
                <w:szCs w:val="24"/>
              </w:rPr>
              <w:t>4100000668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1.5. Уникальный код эмитента, присвоенный Банком России: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b/>
                <w:i/>
                <w:sz w:val="24"/>
                <w:szCs w:val="24"/>
              </w:rPr>
              <w:t>00235-A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1.6. Адрес страницы в сети «Интернет», используемой эмитентом для раскрытия информации: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i/>
                <w:i/>
                <w:sz w:val="24"/>
                <w:szCs w:val="24"/>
              </w:rPr>
            </w:pPr>
            <w:hyperlink r:id="rId2" w:tgtFrame="http://www.e-disclosure.ru/portal/company.aspx?id=1409">
              <w:r>
                <w:rPr>
                  <w:color w:val="0000FF"/>
                  <w:sz w:val="24"/>
                  <w:szCs w:val="24"/>
                  <w:u w:val="single"/>
                </w:rPr>
                <w:t>http://www.e-disclosure.ru/portal/company.aspx?id=1409</w:t>
              </w:r>
            </w:hyperlink>
            <w:r>
              <w:rPr>
                <w:b/>
                <w:i/>
                <w:sz w:val="24"/>
                <w:szCs w:val="24"/>
              </w:rPr>
              <w:t xml:space="preserve">, </w:t>
            </w:r>
            <w:hyperlink r:id="rId3" w:tgtFrame="http://www.kamenergo.ru/">
              <w:r>
                <w:rPr>
                  <w:color w:val="0000FF"/>
                  <w:sz w:val="24"/>
                  <w:szCs w:val="24"/>
                  <w:u w:val="single"/>
                </w:rPr>
                <w:t>http://www.kamenergo.r</w:t>
              </w:r>
              <w:r>
                <w:rPr>
                  <w:color w:val="0000FF"/>
                  <w:sz w:val="24"/>
                  <w:szCs w:val="24"/>
                  <w:u w:val="single"/>
                  <w:lang w:val="en-US"/>
                </w:rPr>
                <w:t>u</w:t>
              </w:r>
            </w:hyperlink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1.7. Дата наступления события (существенного факта), о котором составлено сообщение: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right="85" w:hanging="0"/>
              <w:jc w:val="both"/>
              <w:rPr/>
            </w:pPr>
            <w:r>
              <w:rPr>
                <w:b/>
                <w:i/>
                <w:sz w:val="24"/>
                <w:szCs w:val="24"/>
              </w:rPr>
              <w:t>20.07.2026</w:t>
            </w:r>
          </w:p>
        </w:tc>
      </w:tr>
    </w:tbl>
    <w:p>
      <w:pPr>
        <w:pStyle w:val="Normal"/>
        <w:widowControl w:val="false"/>
        <w:tabs>
          <w:tab w:val="clear" w:pos="720"/>
          <w:tab w:val="left" w:pos="708" w:leader="none"/>
        </w:tabs>
        <w:spacing w:before="0" w:after="0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center"/>
        <w:rPr/>
      </w:pPr>
      <w:r>
        <w:rPr>
          <w:b/>
          <w:color w:val="000000"/>
          <w:sz w:val="24"/>
          <w:szCs w:val="24"/>
        </w:rPr>
        <w:t>2. Содержание сообщения</w:t>
      </w:r>
      <w:r>
        <w:rPr>
          <w:b/>
          <w:bCs/>
          <w:color w:val="000000"/>
          <w:sz w:val="24"/>
          <w:szCs w:val="24"/>
        </w:rPr>
        <w:t>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2.1. Лицо, которое совершило существенную сделку: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Эмитент.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2.2. Категория существенной сделки</w:t>
      </w:r>
      <w:r>
        <w:rPr>
          <w:bCs/>
          <w:iCs/>
          <w:sz w:val="24"/>
          <w:szCs w:val="24"/>
        </w:rPr>
        <w:t>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Существенная сделка, не являющаяся крупной.</w:t>
      </w:r>
    </w:p>
    <w:p>
      <w:pPr>
        <w:pStyle w:val="Normal"/>
        <w:widowControl w:val="false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Вид и предмет существенной сделки: </w:t>
      </w:r>
    </w:p>
    <w:p>
      <w:pPr>
        <w:pStyle w:val="Normal"/>
        <w:widowControl w:val="false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widowControl w:val="false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color w:val="000000"/>
          <w:sz w:val="24"/>
          <w:szCs w:val="24"/>
        </w:rPr>
        <w:t xml:space="preserve">Вид существенной сделки: </w:t>
      </w:r>
    </w:p>
    <w:p>
      <w:pPr>
        <w:pStyle w:val="Normal"/>
        <w:widowControl w:val="false"/>
        <w:jc w:val="both"/>
        <w:rPr>
          <w:rFonts w:ascii="Times New Roman" w:hAnsi="Times New Roman" w:eastAsia="Courier New" w:cs="Times New Roman"/>
          <w:b w:val="false"/>
          <w:bCs w:val="false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b w:val="false"/>
          <w:bCs w:val="false"/>
          <w:color w:val="000000"/>
          <w:kern w:val="0"/>
          <w:sz w:val="24"/>
          <w:szCs w:val="24"/>
          <w:lang w:val="ru-RU" w:eastAsia="ru-RU" w:bidi="ar-SA"/>
        </w:rPr>
        <w:t>Заключение Кредитного соглашения № 105 КЛ-0013/2026 от 20.07.2026 об открытии возобновляемой рамочной кредитной линии между ПАО «Камчатскэнерго» и Акционерным обществом «Всероссийский банк развития регионов» (Банк «ВБ</w:t>
      </w:r>
      <w:r>
        <w:rPr>
          <w:rFonts w:eastAsia="Courier New" w:cs="Times New Roman"/>
          <w:b w:val="false"/>
          <w:bCs w:val="false"/>
          <w:color w:val="000000"/>
          <w:kern w:val="0"/>
          <w:sz w:val="24"/>
          <w:szCs w:val="24"/>
          <w:lang w:val="ru-RU" w:eastAsia="ru-RU" w:bidi="ar-SA"/>
        </w:rPr>
        <w:t>Р</w:t>
      </w:r>
      <w:r>
        <w:rPr>
          <w:rFonts w:eastAsia="Courier New" w:cs="Times New Roman"/>
          <w:b w:val="false"/>
          <w:bCs w:val="false"/>
          <w:color w:val="000000"/>
          <w:kern w:val="0"/>
          <w:sz w:val="24"/>
          <w:szCs w:val="24"/>
          <w:lang w:val="ru-RU" w:eastAsia="ru-RU" w:bidi="ar-SA"/>
        </w:rPr>
        <w:t>Р» (АО)).</w:t>
      </w:r>
    </w:p>
    <w:p>
      <w:pPr>
        <w:pStyle w:val="Normal"/>
        <w:widowControl w:val="false"/>
        <w:jc w:val="both"/>
        <w:rPr>
          <w:rFonts w:ascii="Times New Roman" w:hAnsi="Times New Roman" w:eastAsia="Courier New" w:cs="Times New Roman"/>
          <w:b w:val="false"/>
          <w:bCs w:val="false"/>
          <w:color w:val="000000"/>
          <w:kern w:val="0"/>
          <w:sz w:val="12"/>
          <w:szCs w:val="12"/>
          <w:lang w:val="ru-RU" w:eastAsia="ru-RU" w:bidi="ar-SA"/>
        </w:rPr>
      </w:pPr>
      <w:r>
        <w:rPr>
          <w:rFonts w:eastAsia="Courier New" w:cs="Times New Roman"/>
          <w:b w:val="false"/>
          <w:bCs w:val="false"/>
          <w:color w:val="000000"/>
          <w:kern w:val="0"/>
          <w:sz w:val="12"/>
          <w:szCs w:val="12"/>
          <w:lang w:val="ru-RU" w:eastAsia="ru-RU" w:bidi="ar-SA"/>
        </w:rPr>
      </w:r>
    </w:p>
    <w:p>
      <w:pPr>
        <w:pStyle w:val="Normal"/>
        <w:widowControl w:val="false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Предмет существенной сделки: </w:t>
      </w:r>
    </w:p>
    <w:p>
      <w:pPr>
        <w:pStyle w:val="Normal"/>
        <w:keepNext w:val="true"/>
        <w:widowControl w:val="false"/>
        <w:numPr>
          <w:ilvl w:val="0"/>
          <w:numId w:val="0"/>
        </w:numPr>
        <w:tabs>
          <w:tab w:val="clear" w:pos="720"/>
          <w:tab w:val="left" w:pos="993" w:leader="none"/>
        </w:tabs>
        <w:ind w:left="0" w:hanging="0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bookmarkStart w:id="0" w:name="_Ref294717454"/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Кредитор открывает Заемщику возобновляемую рамочную кредитную линию для финансирования текущей операционной деятельности и рефинансирования действующих кредитов и займов на срок по «20» июля 2033 г. с лимитом:</w:t>
      </w:r>
      <w:bookmarkEnd w:id="0"/>
    </w:p>
    <w:tbl>
      <w:tblPr>
        <w:tblW w:w="10207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7"/>
        <w:gridCol w:w="4819"/>
      </w:tblGrid>
      <w:tr>
        <w:trPr>
          <w:trHeight w:val="50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 w:eastAsia="Courier New" w:cs="Times New Roman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Courier New" w:cs="Times New Roman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Период действия лимита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6"/>
              <w:widowControl w:val="false"/>
              <w:spacing w:before="320" w:after="200"/>
              <w:rPr>
                <w:rFonts w:ascii="Times New Roman" w:hAnsi="Times New Roman" w:eastAsia="Courier New" w:cs="Times New Roman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Courier New" w:cs="Times New Roman" w:ascii="Times New Roman" w:hAnsi="Times New Roman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Сумма лимита</w:t>
            </w:r>
          </w:p>
        </w:tc>
      </w:tr>
      <w:tr>
        <w:trPr/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 w:eastAsia="Courier New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Courier New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С «20» июля 2026 г. по «20» июля 2033 г.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 w:eastAsia="Courier New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Courier New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(обе даты включительно)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 w:eastAsia="Courier New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Courier New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5 000 000 000 (Пять миллиардов) рублей</w:t>
            </w:r>
          </w:p>
        </w:tc>
      </w:tr>
    </w:tbl>
    <w:p>
      <w:pPr>
        <w:pStyle w:val="Normal"/>
        <w:keepNext w:val="true"/>
        <w:widowControl w:val="false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/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2.4. Содержание существенной сделки, в том числе гражданские права и обязанности, на установление, изменение или прекращение которых направлена совершенная существенная сделка:</w:t>
      </w:r>
    </w:p>
    <w:p>
      <w:pPr>
        <w:pStyle w:val="Normal"/>
        <w:widowControl/>
        <w:suppressAutoHyphens w:val="true"/>
        <w:bidi w:val="0"/>
        <w:spacing w:before="0" w:after="0"/>
        <w:ind w:left="0" w:right="0" w:firstLine="454"/>
        <w:jc w:val="both"/>
        <w:rPr/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В рамках Соглашения Кредитор и Заемщик заключают отдельные Кредитные сделки путем подписания Сторонами Подтверждений, которые являются неотъемлемой частью Соглашения.</w:t>
      </w:r>
    </w:p>
    <w:p>
      <w:pPr>
        <w:pStyle w:val="Normal"/>
        <w:widowControl/>
        <w:suppressAutoHyphens w:val="true"/>
        <w:bidi w:val="0"/>
        <w:spacing w:before="0" w:after="0"/>
        <w:ind w:left="0" w:right="0" w:firstLine="454"/>
        <w:jc w:val="both"/>
        <w:rPr/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В течение срока действия Соглашения суммарная ссудная задолженность по всем Кредитным сделкам, заключаемым в рамках Соглашения, с учетом неиспользованных сумм по ним не может превышать сумму установленного лимита.</w:t>
      </w:r>
    </w:p>
    <w:p>
      <w:pPr>
        <w:pStyle w:val="Normal"/>
        <w:keepNext w:val="true"/>
        <w:widowControl w:val="false"/>
        <w:suppressAutoHyphens w:val="true"/>
        <w:bidi w:val="0"/>
        <w:spacing w:before="0" w:after="0"/>
        <w:ind w:left="0" w:right="0" w:firstLine="454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Соглашение регулирует:</w:t>
      </w:r>
    </w:p>
    <w:p>
      <w:pPr>
        <w:pStyle w:val="Normal"/>
        <w:keepNext w:val="true"/>
        <w:widowControl w:val="false"/>
        <w:suppressAutoHyphens w:val="true"/>
        <w:bidi w:val="0"/>
        <w:spacing w:before="0" w:after="0"/>
        <w:ind w:left="0" w:right="0" w:firstLine="454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- порядок заключения Кредитных сделок;</w:t>
      </w:r>
    </w:p>
    <w:p>
      <w:pPr>
        <w:pStyle w:val="Normal"/>
        <w:keepNext w:val="true"/>
        <w:widowControl w:val="false"/>
        <w:suppressAutoHyphens w:val="true"/>
        <w:bidi w:val="0"/>
        <w:spacing w:before="0" w:after="0"/>
        <w:ind w:left="0" w:right="0" w:firstLine="454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- условия предоставления кредитов;</w:t>
      </w:r>
    </w:p>
    <w:p>
      <w:pPr>
        <w:pStyle w:val="Normal"/>
        <w:keepNext w:val="true"/>
        <w:widowControl w:val="false"/>
        <w:suppressAutoHyphens w:val="true"/>
        <w:bidi w:val="0"/>
        <w:spacing w:before="0" w:after="0"/>
        <w:ind w:left="0" w:right="0" w:firstLine="454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- порядок определения и изменения размера процентных ставок на соответствующий Процентный период в рамках Кредитных сделок;</w:t>
      </w:r>
    </w:p>
    <w:p>
      <w:pPr>
        <w:pStyle w:val="Normal"/>
        <w:keepNext w:val="true"/>
        <w:widowControl w:val="false"/>
        <w:suppressAutoHyphens w:val="true"/>
        <w:bidi w:val="0"/>
        <w:spacing w:before="0" w:after="0"/>
        <w:ind w:left="0" w:right="0" w:firstLine="454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- порядок выдачи и погашения кредитов в рамках Кредитных сделок;</w:t>
      </w:r>
    </w:p>
    <w:p>
      <w:pPr>
        <w:pStyle w:val="Normal"/>
        <w:keepNext w:val="true"/>
        <w:widowControl w:val="false"/>
        <w:suppressAutoHyphens w:val="true"/>
        <w:bidi w:val="0"/>
        <w:spacing w:before="0" w:after="0"/>
        <w:ind w:left="0" w:right="0" w:firstLine="454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- условия и порядок расчетов по Соглашению и Кредитным сделкам;</w:t>
      </w:r>
    </w:p>
    <w:p>
      <w:pPr>
        <w:pStyle w:val="Normal"/>
        <w:keepNext w:val="true"/>
        <w:widowControl w:val="false"/>
        <w:suppressAutoHyphens w:val="true"/>
        <w:bidi w:val="0"/>
        <w:spacing w:before="0" w:after="0"/>
        <w:ind w:left="0" w:right="0" w:firstLine="454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- обязанности и права Сторон по Соглашению и Кредитным сделкам;</w:t>
      </w:r>
    </w:p>
    <w:p>
      <w:pPr>
        <w:pStyle w:val="Normal"/>
        <w:keepNext w:val="true"/>
        <w:widowControl w:val="false"/>
        <w:suppressAutoHyphens w:val="true"/>
        <w:bidi w:val="0"/>
        <w:spacing w:before="0" w:after="0"/>
        <w:ind w:left="0" w:right="0" w:firstLine="454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- ответственность Сторон за неисполнение обязательств по Соглашению и Кредитным сделкам.</w:t>
      </w:r>
    </w:p>
    <w:p>
      <w:pPr>
        <w:pStyle w:val="Normal"/>
        <w:keepNext w:val="true"/>
        <w:widowControl w:val="false"/>
        <w:suppressAutoHyphens w:val="true"/>
        <w:bidi w:val="0"/>
        <w:spacing w:before="0" w:after="0"/>
        <w:ind w:left="0" w:right="0" w:firstLine="454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Действие Соглашения распространяется на каждую Кредитную сделку, заключенную Сторонами в рамках Соглашения.</w:t>
      </w:r>
    </w:p>
    <w:p>
      <w:pPr>
        <w:pStyle w:val="Normal"/>
        <w:keepNext w:val="true"/>
        <w:widowControl w:val="false"/>
        <w:suppressAutoHyphens w:val="true"/>
        <w:bidi w:val="0"/>
        <w:spacing w:before="0" w:after="0"/>
        <w:ind w:left="0" w:right="0" w:firstLine="454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В случае заключения Сторонами Кредитной сделки Кредитор предоставляет Заемщику кредит на условиях, указанных в Соглашении, а также в Подтверждениях, которыми Стороны обменялись при заключении Кредитной сделки, а Заемщик возвращает Кредитору полученный кредит на данных условиях и уплачивает начисленные проценты за пользование кредитом и другие платежи в порядке, предусмотренном Соглашением.</w:t>
      </w:r>
    </w:p>
    <w:p>
      <w:pPr>
        <w:pStyle w:val="Normal"/>
        <w:keepNext w:val="true"/>
        <w:widowControl w:val="false"/>
        <w:suppressAutoHyphens w:val="true"/>
        <w:bidi w:val="0"/>
        <w:spacing w:before="0" w:after="0"/>
        <w:ind w:left="0" w:right="0" w:firstLine="454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bookmarkStart w:id="1" w:name="_Ref322707328"/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Заключение отдельных Кредитных сделок в рамках Соглашения производится по «20» июля 2033 г. (включительно). Начиная с «21» июля 2033 г. (включительно), заключение Кредитных сделок не производится.</w:t>
      </w:r>
      <w:bookmarkEnd w:id="1"/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 xml:space="preserve"> </w:t>
      </w:r>
    </w:p>
    <w:p>
      <w:pPr>
        <w:pStyle w:val="Normal"/>
        <w:keepNext w:val="true"/>
        <w:widowControl w:val="false"/>
        <w:suppressAutoHyphens w:val="true"/>
        <w:bidi w:val="0"/>
        <w:spacing w:before="0" w:after="0"/>
        <w:ind w:left="0" w:right="0" w:firstLine="454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Срок кредитования по любой Кредитной сделке не может превышать 5 (Пять) лет.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454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 xml:space="preserve">Даты полного погашения кредитов по заключаемым в рамках Соглашения Кредитным сделкам устанавливаются не позднее «20» июля 2033 г. 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2.5. Стороны и выгодоприобретатели по существенной сделке:</w:t>
      </w:r>
    </w:p>
    <w:p>
      <w:pPr>
        <w:pStyle w:val="Normal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Стороны по существенной сделке:</w:t>
      </w:r>
    </w:p>
    <w:p>
      <w:pPr>
        <w:pStyle w:val="Normal"/>
        <w:jc w:val="both"/>
        <w:rPr/>
      </w:pPr>
      <w:r>
        <w:rPr>
          <w:sz w:val="24"/>
          <w:szCs w:val="24"/>
        </w:rPr>
        <w:t>Заемщик – ПАО «Камчатскэнерго»;</w:t>
      </w:r>
    </w:p>
    <w:p>
      <w:pPr>
        <w:pStyle w:val="Normal"/>
        <w:jc w:val="both"/>
        <w:rPr>
          <w:rFonts w:ascii="Times New Roman" w:hAnsi="Times New Roman" w:eastAsia="Courier New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auto"/>
          <w:kern w:val="0"/>
          <w:sz w:val="24"/>
          <w:szCs w:val="24"/>
          <w:lang w:val="ru-RU" w:eastAsia="ru-RU" w:bidi="ar-SA"/>
        </w:rPr>
        <w:t>Кредитор – Банк «ВБ</w:t>
      </w:r>
      <w:r>
        <w:rPr>
          <w:rFonts w:eastAsia="Courier New" w:cs="Times New Roman"/>
          <w:color w:val="auto"/>
          <w:kern w:val="0"/>
          <w:sz w:val="24"/>
          <w:szCs w:val="24"/>
          <w:lang w:val="ru-RU" w:eastAsia="ru-RU" w:bidi="ar-SA"/>
        </w:rPr>
        <w:t>Р</w:t>
      </w:r>
      <w:r>
        <w:rPr>
          <w:rFonts w:eastAsia="Courier New" w:cs="Times New Roman"/>
          <w:color w:val="auto"/>
          <w:kern w:val="0"/>
          <w:sz w:val="24"/>
          <w:szCs w:val="24"/>
          <w:lang w:val="ru-RU" w:eastAsia="ru-RU" w:bidi="ar-SA"/>
        </w:rPr>
        <w:t>Р» (АО).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2.6. Срок исполнения обязательств по существенной сделке:</w:t>
      </w:r>
    </w:p>
    <w:p>
      <w:pPr>
        <w:pStyle w:val="Normal"/>
        <w:jc w:val="both"/>
        <w:rPr>
          <w:color w:val="000000"/>
          <w:sz w:val="16"/>
          <w:szCs w:val="16"/>
          <w:highlight w:val="none"/>
          <w:shd w:fill="auto" w:val="clear"/>
        </w:rPr>
      </w:pPr>
      <w:r>
        <w:rPr>
          <w:color w:val="000000"/>
          <w:sz w:val="16"/>
          <w:szCs w:val="16"/>
          <w:shd w:fill="auto" w:val="clear"/>
        </w:rPr>
      </w:r>
    </w:p>
    <w:p>
      <w:pPr>
        <w:pStyle w:val="Normal"/>
        <w:widowControl w:val="false"/>
        <w:rPr>
          <w:highlight w:val="none"/>
          <w:shd w:fill="auto" w:val="clear"/>
        </w:rPr>
      </w:pPr>
      <w:r>
        <w:rPr>
          <w:color w:val="000000"/>
          <w:sz w:val="24"/>
          <w:szCs w:val="24"/>
          <w:shd w:fill="auto" w:val="clear"/>
        </w:rPr>
        <w:t>С 20.07.2026 по 20.07.2033.</w:t>
      </w:r>
    </w:p>
    <w:p>
      <w:pPr>
        <w:pStyle w:val="Normal"/>
        <w:widowControl w:val="false"/>
        <w:ind w:hanging="0"/>
        <w:jc w:val="both"/>
        <w:rPr>
          <w:rFonts w:eastAsia="Courier New" w:cs="Times New Roman"/>
          <w:iCs/>
          <w:color w:val="000000"/>
          <w:kern w:val="0"/>
          <w:shd w:fill="auto" w:val="clear"/>
          <w:lang w:val="ru-RU" w:eastAsia="ru-RU" w:bidi="ar-SA"/>
        </w:rPr>
      </w:pPr>
      <w:r>
        <w:rPr>
          <w:rFonts w:eastAsia="Courier New" w:cs="Times New Roman"/>
          <w:iCs/>
          <w:color w:val="000000"/>
          <w:kern w:val="0"/>
          <w:shd w:fill="auto" w:val="clear"/>
          <w:lang w:val="ru-RU" w:eastAsia="ru-RU" w:bidi="ar-SA"/>
        </w:rPr>
      </w:r>
    </w:p>
    <w:p>
      <w:pPr>
        <w:pStyle w:val="Normal"/>
        <w:widowControl w:val="false"/>
        <w:ind w:hanging="0"/>
        <w:jc w:val="both"/>
        <w:rPr/>
      </w:pPr>
      <w:r>
        <w:rPr>
          <w:rFonts w:eastAsia="Courier New" w:cs="Times New Roman"/>
          <w:iCs/>
          <w:color w:val="000000"/>
          <w:kern w:val="0"/>
          <w:sz w:val="24"/>
          <w:szCs w:val="24"/>
          <w:shd w:fill="auto" w:val="clear"/>
          <w:lang w:val="ru-RU" w:eastAsia="ru-RU" w:bidi="ar-SA"/>
        </w:rPr>
        <w:t>Соглашение вступает в силу с даты его подписания Сторонами и действует до полного выполнения Сторонами своих обязательств по Соглашению и Кредитным сделкам, заключенным в рамках Соглашения.</w:t>
      </w:r>
    </w:p>
    <w:p>
      <w:pPr>
        <w:pStyle w:val="Normal"/>
        <w:jc w:val="both"/>
        <w:rPr>
          <w:rFonts w:ascii="Times New Roman" w:hAnsi="Times New Roman" w:eastAsia="Courier New" w:cs="Times New Roman"/>
          <w:color w:val="000000"/>
          <w:kern w:val="0"/>
          <w:sz w:val="16"/>
          <w:szCs w:val="16"/>
          <w:highlight w:val="none"/>
          <w:shd w:fill="auto" w:val="clear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16"/>
          <w:szCs w:val="16"/>
          <w:shd w:fill="auto" w:val="clear"/>
          <w:lang w:val="ru-RU" w:eastAsia="ru-RU" w:bidi="ar-SA"/>
        </w:rPr>
      </w:r>
    </w:p>
    <w:p>
      <w:pPr>
        <w:pStyle w:val="Normal"/>
        <w:jc w:val="both"/>
        <w:rPr>
          <w:highlight w:val="none"/>
          <w:shd w:fill="auto" w:val="clear"/>
        </w:rPr>
      </w:pPr>
      <w:r>
        <w:rPr>
          <w:color w:val="000000"/>
          <w:sz w:val="24"/>
          <w:szCs w:val="24"/>
          <w:shd w:fill="auto" w:val="clear"/>
        </w:rPr>
        <w:t>2.7. Размер существенной сделки в денежном выражении и в процентах от стоимости активов эмитента:</w:t>
      </w:r>
    </w:p>
    <w:p>
      <w:pPr>
        <w:pStyle w:val="Normal"/>
        <w:jc w:val="both"/>
        <w:rPr>
          <w:highlight w:val="none"/>
          <w:shd w:fill="FFFFFF" w:val="clear"/>
        </w:rPr>
      </w:pPr>
      <w:r>
        <w:rPr>
          <w:rFonts w:eastAsia="Courier New" w:cs="Times New Roman"/>
          <w:color w:val="000000"/>
          <w:kern w:val="0"/>
          <w:sz w:val="24"/>
          <w:szCs w:val="24"/>
          <w:shd w:fill="FFFFFF" w:val="clear"/>
          <w:lang w:val="ru-RU" w:eastAsia="ru-RU" w:bidi="ar-SA"/>
        </w:rPr>
        <w:t>Размер сделки — 11 371 750 тыс. руб. (НДС не облагается), в т.ч.:</w:t>
      </w:r>
    </w:p>
    <w:p>
      <w:pPr>
        <w:pStyle w:val="Normal"/>
        <w:rPr>
          <w:highlight w:val="none"/>
          <w:shd w:fill="FFFFFF" w:val="clear"/>
        </w:rPr>
      </w:pPr>
      <w:r>
        <w:rPr>
          <w:rFonts w:eastAsia="Courier New" w:cs="Times New Roman"/>
          <w:color w:val="000000"/>
          <w:kern w:val="0"/>
          <w:sz w:val="24"/>
          <w:szCs w:val="24"/>
          <w:shd w:fill="FFFFFF" w:val="clear"/>
          <w:lang w:val="ru-RU" w:eastAsia="ru-RU" w:bidi="ar-SA"/>
        </w:rPr>
        <w:t>5 000 000 тыс. руб. — сумма лимита;</w:t>
      </w:r>
    </w:p>
    <w:p>
      <w:pPr>
        <w:pStyle w:val="Normal"/>
        <w:rPr>
          <w:highlight w:val="none"/>
          <w:shd w:fill="FFFFFF" w:val="clear"/>
        </w:rPr>
      </w:pPr>
      <w:r>
        <w:rPr>
          <w:rFonts w:eastAsia="Courier New" w:cs="Times New Roman"/>
          <w:color w:val="000000"/>
          <w:kern w:val="0"/>
          <w:sz w:val="24"/>
          <w:szCs w:val="24"/>
          <w:shd w:fill="FFFFFF" w:val="clear"/>
          <w:lang w:val="ru-RU" w:eastAsia="ru-RU" w:bidi="ar-SA"/>
        </w:rPr>
        <w:t>6 371 750 тыс. руб. — проценты.</w:t>
      </w:r>
    </w:p>
    <w:p>
      <w:pPr>
        <w:pStyle w:val="Normal"/>
        <w:jc w:val="both"/>
        <w:rPr>
          <w:rFonts w:ascii="Times New Roman" w:hAnsi="Times New Roman" w:eastAsia="Courier New" w:cs="Times New Roman"/>
          <w:color w:val="000000"/>
          <w:kern w:val="0"/>
          <w:sz w:val="16"/>
          <w:szCs w:val="16"/>
          <w:highlight w:val="none"/>
          <w:shd w:fill="auto" w:val="clear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16"/>
          <w:szCs w:val="16"/>
          <w:shd w:fill="auto" w:val="clear"/>
          <w:lang w:val="ru-RU" w:eastAsia="ru-RU" w:bidi="ar-SA"/>
        </w:rPr>
      </w:r>
    </w:p>
    <w:p>
      <w:pPr>
        <w:pStyle w:val="ListParagraph"/>
        <w:shd w:val="clear" w:color="auto" w:fill="FFFFFF"/>
        <w:tabs>
          <w:tab w:val="clear" w:pos="720"/>
          <w:tab w:val="left" w:pos="426" w:leader="none"/>
        </w:tabs>
        <w:ind w:left="0" w:hanging="0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Процентное соотношение цены Соглашения к балансовой стоимости активов: 23 %.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2.8. Стоимость активов, определенная по данным консолидированной финансовой отчетности эмитента, на последнюю отчетную дату (дату окончания последнего завершенного отчетного периода, предшествующего дате совершения сделки): 49 449 000 000 рублей (на 31.12.2025).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2.9. Дата совершения существенной сделки (Дата заключения Соглашения): 20.07.2026.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2.10. Сведения о принятии решения о согласии на совершение или о последующем одобрении существенной сделки в случае, когда указанное решение было принято уполномоченным органом управления эмитента (наименование органа управления организации, принявшего решение о согласии на совершение или о последующем одобрении существенной сделки, дата принятия решения, дата составления и номер протокола собрания (заседания) органа управления организации, на котором принято указанное решение, если оно принималось коллегиальным органом управления организации), или указание на то, что решение о согласии на совершение или о последующем одобрении существенной сделки не принималось.</w:t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Решение о согласии на совершение сделки Советом директоров ПАО «Камчатскэнерго» не принималось, так как не требуется.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center"/>
        <w:rPr/>
      </w:pPr>
      <w:r>
        <w:rPr>
          <w:b/>
          <w:sz w:val="23"/>
          <w:szCs w:val="23"/>
        </w:rPr>
        <w:t>3.</w:t>
        <w:tab/>
        <w:t>Подпись.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Начальник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Управления корпоративной работы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и имущественных отношений ПАО «Камчатскэнерго»</w:t>
        <w:tab/>
        <w:tab/>
        <w:tab/>
        <w:tab/>
        <w:t xml:space="preserve">     К.С. Живодуева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(по доверенности от 12.03.2026 № КЭ-18-18-26/323Д)</w:t>
      </w:r>
    </w:p>
    <w:p>
      <w:pPr>
        <w:pStyle w:val="Normal"/>
        <w:widowControl w:val="false"/>
        <w:ind w:left="0" w:right="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ind w:left="0" w:right="0" w:hanging="0"/>
        <w:jc w:val="both"/>
        <w:rPr/>
      </w:pPr>
      <w:r>
        <w:rPr>
          <w:sz w:val="24"/>
          <w:szCs w:val="24"/>
        </w:rPr>
        <w:t>3.2. Дата.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rStyle w:val="Strong"/>
          <w:rFonts w:eastAsia="Symbol"/>
          <w:b w:val="false"/>
        </w:rPr>
        <w:t>«21» июля 2026 г.</w:t>
      </w:r>
    </w:p>
    <w:sectPr>
      <w:headerReference w:type="default" r:id="rId4"/>
      <w:type w:val="nextPage"/>
      <w:pgSz w:w="11906" w:h="16838"/>
      <w:pgMar w:left="1134" w:right="851" w:gutter="0" w:header="397" w:top="454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Cambria">
    <w:charset w:val="01"/>
    <w:family w:val="roman"/>
    <w:pitch w:val="default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Verdana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0"/>
      <w:jc w:val="right"/>
      <w:rPr>
        <w:sz w:val="14"/>
        <w:szCs w:val="14"/>
      </w:rPr>
    </w:pPr>
    <w:r>
      <w:rPr>
        <w:sz w:val="14"/>
        <w:szCs w:val="14"/>
      </w:rPr>
    </w:r>
  </w:p>
</w:hdr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ourier New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qFormat/>
    <w:pPr>
      <w:keepNext w:val="true"/>
      <w:ind w:right="-1" w:hanging="0"/>
      <w:outlineLvl w:val="0"/>
    </w:pPr>
    <w:rPr>
      <w:sz w:val="26"/>
      <w:szCs w:val="26"/>
    </w:rPr>
  </w:style>
  <w:style w:type="paragraph" w:styleId="2">
    <w:name w:val="Heading 2"/>
    <w:basedOn w:val="Normal"/>
    <w:qFormat/>
    <w:pPr>
      <w:keepNext w:val="true"/>
      <w:outlineLvl w:val="1"/>
    </w:pPr>
    <w:rPr>
      <w:sz w:val="26"/>
      <w:szCs w:val="26"/>
    </w:rPr>
  </w:style>
  <w:style w:type="paragraph" w:styleId="3">
    <w:name w:val="Heading 3"/>
    <w:basedOn w:val="Normal"/>
    <w:qFormat/>
    <w:pPr>
      <w:keepNext w:val="true"/>
      <w:tabs>
        <w:tab w:val="clear" w:pos="720"/>
        <w:tab w:val="left" w:pos="2977" w:leader="none"/>
      </w:tabs>
      <w:ind w:left="-426" w:hanging="0"/>
      <w:outlineLvl w:val="2"/>
    </w:pPr>
    <w:rPr>
      <w:b/>
      <w:bCs/>
      <w:sz w:val="28"/>
      <w:szCs w:val="28"/>
      <w:lang w:val="en-US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qFormat/>
    <w:pPr>
      <w:keepNext w:val="true"/>
      <w:ind w:left="-567" w:right="-70" w:hanging="0"/>
      <w:jc w:val="both"/>
      <w:outlineLvl w:val="6"/>
    </w:pPr>
    <w:rPr>
      <w:i/>
      <w:iCs/>
      <w:sz w:val="26"/>
      <w:szCs w:val="26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Style5" w:customStyle="1">
    <w:name w:val="Символ сноски"/>
    <w:uiPriority w:val="99"/>
    <w:unhideWhenUsed/>
    <w:qFormat/>
    <w:rPr>
      <w:vertAlign w:val="superscript"/>
    </w:rPr>
  </w:style>
  <w:style w:type="character" w:styleId="Style6">
    <w:name w:val="Footnote Reference"/>
    <w:rPr>
      <w:vertAlign w:val="superscript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Style7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8">
    <w:name w:val="Endnote Reference"/>
    <w:rPr>
      <w:vertAlign w:val="superscript"/>
    </w:rPr>
  </w:style>
  <w:style w:type="character" w:styleId="11" w:customStyle="1">
    <w:name w:val="Заголовок 1 Знак"/>
    <w:basedOn w:val="DefaultParagraphFont"/>
    <w:qFormat/>
    <w:rPr>
      <w:rFonts w:ascii="Cambria" w:hAnsi="Cambria" w:eastAsia="Times New Roman"/>
      <w:b/>
      <w:bCs/>
      <w:color w:val="000000"/>
      <w:sz w:val="32"/>
      <w:szCs w:val="32"/>
    </w:rPr>
  </w:style>
  <w:style w:type="character" w:styleId="21" w:customStyle="1">
    <w:name w:val="Заголовок 2 Знак"/>
    <w:basedOn w:val="DefaultParagraphFont"/>
    <w:qFormat/>
    <w:rPr>
      <w:rFonts w:ascii="Cambria" w:hAnsi="Cambria" w:eastAsia="Times New Roman"/>
      <w:b/>
      <w:bCs/>
      <w:i/>
      <w:iCs/>
      <w:color w:val="000000"/>
      <w:sz w:val="28"/>
      <w:szCs w:val="28"/>
    </w:rPr>
  </w:style>
  <w:style w:type="character" w:styleId="31" w:customStyle="1">
    <w:name w:val="Заголовок 3 Знак"/>
    <w:basedOn w:val="DefaultParagraphFont"/>
    <w:qFormat/>
    <w:rPr>
      <w:rFonts w:ascii="Cambria" w:hAnsi="Cambria" w:eastAsia="Times New Roman"/>
      <w:b/>
      <w:bCs/>
      <w:color w:val="000000"/>
      <w:sz w:val="26"/>
      <w:szCs w:val="26"/>
    </w:rPr>
  </w:style>
  <w:style w:type="character" w:styleId="71" w:customStyle="1">
    <w:name w:val="Заголовок 7 Знак"/>
    <w:basedOn w:val="DefaultParagraphFont"/>
    <w:qFormat/>
    <w:rPr>
      <w:rFonts w:ascii="Calibri" w:hAnsi="Calibri" w:eastAsia="Times New Roman"/>
      <w:color w:val="000000"/>
      <w:sz w:val="24"/>
      <w:szCs w:val="24"/>
    </w:rPr>
  </w:style>
  <w:style w:type="character" w:styleId="Style9" w:customStyle="1">
    <w:name w:val="Текст выноски Знак"/>
    <w:basedOn w:val="DefaultParagraphFont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10" w:customStyle="1">
    <w:name w:val="Верхний колонтитул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Style11" w:customStyle="1">
    <w:name w:val="Нижний колонтитул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SUBST" w:customStyle="1">
    <w:name w:val="__SUBST"/>
    <w:qFormat/>
    <w:rPr>
      <w:b/>
      <w:i/>
      <w:sz w:val="22"/>
    </w:rPr>
  </w:style>
  <w:style w:type="character" w:styleId="-">
    <w:name w:val="Hyperlink"/>
    <w:basedOn w:val="DefaultParagraphFont"/>
    <w:rPr>
      <w:rFonts w:ascii="Times New Roman" w:hAnsi="Times New Roman" w:eastAsia="Times New Roman"/>
      <w:color w:val="0000FF"/>
      <w:sz w:val="24"/>
      <w:szCs w:val="24"/>
      <w:u w:val="single"/>
    </w:rPr>
  </w:style>
  <w:style w:type="character" w:styleId="1IniiaiieoaenoCiae1oaenooaaeeouIiaienu1" w:customStyle="1">
    <w:name w:val="Основной текст Знак1;Основной текст Знак Знак;Iniiaiie oaeno Ciae Знак;Îñíîâíîé òåêñò Çíàê Знак;Îñíîâíîé òåêñò Çíàê Çíàê Çíàê Çíàê Çíàê Çíàê Знак;òåêñò òàáëèöû Знак;Øàáëîí äëÿ îò÷åòîâ ïî îöåíêå Знак;Ïîäïèñü1 Знак;oaeno oaaeeou Знак;Iiaienu1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Strong">
    <w:name w:val="Strong"/>
    <w:basedOn w:val="DefaultParagraphFont"/>
    <w:qFormat/>
    <w:rPr>
      <w:rFonts w:ascii="Times New Roman" w:hAnsi="Times New Roman" w:eastAsia="Times New Roman"/>
      <w:b/>
      <w:bCs/>
      <w:color w:val="000000"/>
      <w:sz w:val="24"/>
      <w:szCs w:val="24"/>
    </w:rPr>
  </w:style>
  <w:style w:type="character" w:styleId="Style12" w:customStyle="1">
    <w:name w:val="Основной текст с отступом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2Char" w:customStyle="1">
    <w:name w:val="Основной текст 2 Знак;Char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32" w:customStyle="1">
    <w:name w:val="Основной текст 3 Знак"/>
    <w:basedOn w:val="DefaultParagraphFont"/>
    <w:qFormat/>
    <w:rPr>
      <w:rFonts w:eastAsia="Times New Roman"/>
      <w:color w:val="000000"/>
      <w:sz w:val="16"/>
      <w:szCs w:val="16"/>
    </w:rPr>
  </w:style>
  <w:style w:type="character" w:styleId="22" w:customStyle="1">
    <w:name w:val="Основной текст с отступом 2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33" w:customStyle="1">
    <w:name w:val="Основной текст с отступом 3 Знак"/>
    <w:basedOn w:val="DefaultParagraphFont"/>
    <w:qFormat/>
    <w:rPr>
      <w:rFonts w:eastAsia="Times New Roman"/>
      <w:color w:val="000000"/>
      <w:sz w:val="16"/>
      <w:szCs w:val="16"/>
    </w:rPr>
  </w:style>
  <w:style w:type="character" w:styleId="Style13">
    <w:name w:val="Emphasis"/>
    <w:basedOn w:val="DefaultParagraphFont"/>
    <w:qFormat/>
    <w:rPr>
      <w:rFonts w:eastAsia="Times New Roman"/>
      <w:i/>
      <w:iCs/>
      <w:color w:val="000000"/>
      <w:sz w:val="24"/>
      <w:szCs w:val="24"/>
    </w:rPr>
  </w:style>
  <w:style w:type="character" w:styleId="Style14" w:customStyle="1">
    <w:name w:val="Заголовок Знак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111" w:customStyle="1">
    <w:name w:val="Знак Знак11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23" w:customStyle="1">
    <w:name w:val="Красная строка 2 Знак"/>
    <w:basedOn w:val="Style12"/>
    <w:qFormat/>
    <w:rPr>
      <w:rFonts w:eastAsia="Times New Roman"/>
      <w:color w:val="000000"/>
      <w:sz w:val="24"/>
      <w:szCs w:val="24"/>
    </w:rPr>
  </w:style>
  <w:style w:type="character" w:styleId="12" w:customStyle="1">
    <w:name w:val="Знак Знак12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Messagein1" w:customStyle="1">
    <w:name w:val="messagein1"/>
    <w:basedOn w:val="DefaultParagraphFont"/>
    <w:qFormat/>
    <w:rPr>
      <w:rFonts w:ascii="Tahoma" w:hAnsi="Tahoma" w:eastAsia="Times New Roman" w:cs="Tahoma"/>
      <w:color w:val="000000"/>
      <w:sz w:val="16"/>
      <w:szCs w:val="16"/>
    </w:rPr>
  </w:style>
  <w:style w:type="character" w:styleId="13" w:customStyle="1">
    <w:name w:val="Знак Знак13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14" w:customStyle="1">
    <w:name w:val="Знак Знак14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15" w:customStyle="1">
    <w:name w:val="Знак Знак15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16" w:customStyle="1">
    <w:name w:val="Знак Знак16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Style15" w:customStyle="1">
    <w:name w:val="Основной текст_"/>
    <w:qFormat/>
    <w:rPr>
      <w:sz w:val="23"/>
      <w:shd w:fill="FFFFFF" w:val="clear"/>
    </w:rPr>
  </w:style>
  <w:style w:type="character" w:styleId="Style16" w:customStyle="1">
    <w:name w:val="Символ нумерации"/>
    <w:qFormat/>
    <w:rPr/>
  </w:style>
  <w:style w:type="character" w:styleId="WW8Num11z0" w:customStyle="1">
    <w:name w:val="WW8Num11z0"/>
    <w:qFormat/>
    <w:rPr/>
  </w:style>
  <w:style w:type="character" w:styleId="WW8Num11z1" w:customStyle="1">
    <w:name w:val="WW8Num11z1"/>
    <w:qFormat/>
    <w:rPr>
      <w:b w:val="false"/>
      <w:i w:val="false"/>
    </w:rPr>
  </w:style>
  <w:style w:type="character" w:styleId="Style17">
    <w:name w:val="Line Number"/>
    <w:rPr/>
  </w:style>
  <w:style w:type="character" w:styleId="WW8Num2z0">
    <w:name w:val="WW8Num2z0"/>
    <w:qFormat/>
    <w:rPr>
      <w:b/>
    </w:rPr>
  </w:style>
  <w:style w:type="character" w:styleId="WW8Num2z2">
    <w:name w:val="WW8Num2z2"/>
    <w:qFormat/>
    <w:rPr>
      <w:rFonts w:ascii="Symbol" w:hAnsi="Symbol" w:cs="Symbol"/>
      <w:b w:val="false"/>
      <w:sz w:val="18"/>
      <w:szCs w:val="18"/>
    </w:rPr>
  </w:style>
  <w:style w:type="character" w:styleId="WW8Num3z0">
    <w:name w:val="WW8Num3z0"/>
    <w:qFormat/>
    <w:rPr>
      <w:rFonts w:cs="Times New Roman"/>
    </w:rPr>
  </w:style>
  <w:style w:type="character" w:styleId="WW8Num3z1">
    <w:name w:val="WW8Num3z1"/>
    <w:qFormat/>
    <w:rPr>
      <w:rFonts w:cs="Times New Roman"/>
      <w:i w:val="false"/>
    </w:rPr>
  </w:style>
  <w:style w:type="character" w:styleId="WW8Num3z2">
    <w:name w:val="WW8Num3z2"/>
    <w:qFormat/>
    <w:rPr>
      <w:rFonts w:cs="Times New Roman"/>
      <w:i w:val="false"/>
      <w:position w:val="0"/>
      <w:sz w:val="20"/>
      <w:sz w:val="20"/>
      <w:vertAlign w:val="baseline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styleId="WW8Num12z0">
    <w:name w:val="WW8Num12z0"/>
    <w:qFormat/>
    <w:rPr>
      <w:rFonts w:cs="Times New Roman"/>
    </w:rPr>
  </w:style>
  <w:style w:type="character" w:styleId="WW8Num12z1">
    <w:name w:val="WW8Num12z1"/>
    <w:qFormat/>
    <w:rPr>
      <w:rFonts w:cs="Times New Roman"/>
      <w:i w:val="false"/>
    </w:rPr>
  </w:style>
  <w:style w:type="character" w:styleId="WW8Num12z2">
    <w:name w:val="WW8Num12z2"/>
    <w:qFormat/>
    <w:rPr>
      <w:rFonts w:cs="Times New Roman"/>
      <w:i w:val="false"/>
      <w:position w:val="0"/>
      <w:sz w:val="24"/>
      <w:sz w:val="24"/>
      <w:vertAlign w:val="baseline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ascii="PT Astra Serif" w:hAnsi="PT Astra Serif" w:cs="Noto Sans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3">
    <w:name w:val="Title"/>
    <w:basedOn w:val="Normal"/>
    <w:next w:val="Style19"/>
    <w:qFormat/>
    <w:pPr>
      <w:jc w:val="center"/>
    </w:pPr>
    <w:rPr>
      <w:b/>
      <w:sz w:val="28"/>
    </w:rPr>
  </w:style>
  <w:style w:type="paragraph" w:styleId="Caption">
    <w:name w:val="caption"/>
    <w:basedOn w:val="Normal"/>
    <w:qFormat/>
    <w:pPr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Indexheading">
    <w:name w:val="index heading"/>
    <w:basedOn w:val="Style23"/>
    <w:qFormat/>
    <w:pPr/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PT Astra Serif" w:hAnsi="PT Astra Serif" w:eastAsia="Tahoma" w:cs="Noto Sans Devanagari"/>
      <w:color w:val="auto"/>
      <w:kern w:val="0"/>
      <w:sz w:val="24"/>
      <w:szCs w:val="24"/>
      <w:lang w:val="ru-RU" w:eastAsia="zh-CN" w:bidi="hi-IN"/>
    </w:rPr>
  </w:style>
  <w:style w:type="paragraph" w:styleId="Style24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25">
    <w:name w:val="Footnote Text"/>
    <w:basedOn w:val="Normal"/>
    <w:uiPriority w:val="99"/>
    <w:semiHidden/>
    <w:unhideWhenUsed/>
    <w:pPr>
      <w:spacing w:before="0" w:after="40"/>
    </w:pPr>
    <w:rPr>
      <w:sz w:val="18"/>
    </w:rPr>
  </w:style>
  <w:style w:type="paragraph" w:styleId="Style26">
    <w:name w:val="Endnote Text"/>
    <w:basedOn w:val="Normal"/>
    <w:uiPriority w:val="99"/>
    <w:semiHidden/>
    <w:unhideWhenUsed/>
    <w:pPr/>
    <w:rPr/>
  </w:style>
  <w:style w:type="paragraph" w:styleId="17">
    <w:name w:val="TOC 1"/>
    <w:basedOn w:val="Normal"/>
    <w:uiPriority w:val="39"/>
    <w:unhideWhenUsed/>
    <w:pPr>
      <w:spacing w:before="0" w:after="57"/>
    </w:pPr>
    <w:rPr/>
  </w:style>
  <w:style w:type="paragraph" w:styleId="24">
    <w:name w:val="TOC 2"/>
    <w:basedOn w:val="Normal"/>
    <w:uiPriority w:val="39"/>
    <w:unhideWhenUsed/>
    <w:pPr>
      <w:spacing w:before="0" w:after="57"/>
      <w:ind w:left="283" w:hanging="0"/>
    </w:pPr>
    <w:rPr/>
  </w:style>
  <w:style w:type="paragraph" w:styleId="34">
    <w:name w:val="TOC 3"/>
    <w:basedOn w:val="Normal"/>
    <w:uiPriority w:val="39"/>
    <w:unhideWhenUsed/>
    <w:pPr>
      <w:spacing w:before="0" w:after="57"/>
      <w:ind w:left="567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hanging="0"/>
    </w:pPr>
    <w:rPr/>
  </w:style>
  <w:style w:type="paragraph" w:styleId="72">
    <w:name w:val="TOC 7"/>
    <w:basedOn w:val="Normal"/>
    <w:uiPriority w:val="39"/>
    <w:unhideWhenUsed/>
    <w:pPr>
      <w:spacing w:before="0" w:after="57"/>
      <w:ind w:left="1701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hanging="0"/>
    </w:pPr>
    <w:rPr/>
  </w:style>
  <w:style w:type="paragraph" w:styleId="Style27">
    <w:name w:val="Index Heading"/>
    <w:basedOn w:val="Style18"/>
    <w:pPr/>
    <w:rPr/>
  </w:style>
  <w:style w:type="paragraph" w:styleId="Style28">
    <w:name w:val="TOC Heading"/>
    <w:uiPriority w:val="39"/>
    <w:unhideWhenUsed/>
    <w:pPr>
      <w:widowControl/>
      <w:suppressAutoHyphens w:val="true"/>
      <w:bidi w:val="0"/>
      <w:spacing w:before="0" w:after="0"/>
      <w:jc w:val="left"/>
    </w:pPr>
    <w:rPr>
      <w:rFonts w:ascii="PT Astra Serif" w:hAnsi="PT Astra Serif" w:eastAsia="Tahoma" w:cs="Noto Sans Devanagari"/>
      <w:color w:val="auto"/>
      <w:kern w:val="0"/>
      <w:sz w:val="24"/>
      <w:szCs w:val="24"/>
      <w:lang w:val="ru-RU" w:eastAsia="zh-CN" w:bidi="hi-IN"/>
    </w:rPr>
  </w:style>
  <w:style w:type="paragraph" w:styleId="Tableoffigures">
    <w:name w:val="table of figures"/>
    <w:basedOn w:val="Normal"/>
    <w:uiPriority w:val="99"/>
    <w:unhideWhenUsed/>
    <w:qFormat/>
    <w:pPr/>
    <w:rPr/>
  </w:style>
  <w:style w:type="paragraph" w:styleId="18" w:customStyle="1">
    <w:name w:val="Обычная таблица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ourier New" w:cs="Times New Roman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onsNormal" w:customStyle="1">
    <w:name w:val="ConsNormal"/>
    <w:qFormat/>
    <w:pPr>
      <w:widowControl/>
      <w:suppressAutoHyphens w:val="true"/>
      <w:bidi w:val="0"/>
      <w:spacing w:before="0" w:after="0"/>
      <w:ind w:right="19771" w:firstLine="539"/>
      <w:jc w:val="both"/>
    </w:pPr>
    <w:rPr>
      <w:rFonts w:ascii="Courier New" w:hAnsi="Courier New" w:eastAsia="Courier New" w:cs="Courier New"/>
      <w:color w:val="auto"/>
      <w:kern w:val="0"/>
      <w:sz w:val="20"/>
      <w:szCs w:val="20"/>
      <w:lang w:val="en-US" w:eastAsia="ru-RU" w:bidi="ar-SA"/>
    </w:rPr>
  </w:style>
  <w:style w:type="paragraph" w:styleId="ConsNonformat" w:customStyle="1">
    <w:name w:val="ConsNonformat"/>
    <w:qFormat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Courier New" w:cs="Courier New"/>
      <w:color w:val="auto"/>
      <w:kern w:val="0"/>
      <w:sz w:val="20"/>
      <w:szCs w:val="20"/>
      <w:lang w:val="ru-RU" w:eastAsia="ru-RU" w:bidi="ar-SA"/>
    </w:rPr>
  </w:style>
  <w:style w:type="paragraph" w:styleId="Style29" w:customStyle="1">
    <w:name w:val="Колонтитул"/>
    <w:basedOn w:val="Normal"/>
    <w:qFormat/>
    <w:pPr/>
    <w:rPr/>
  </w:style>
  <w:style w:type="paragraph" w:styleId="Style30">
    <w:name w:val="Header"/>
    <w:basedOn w:val="Normal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Style31">
    <w:name w:val="Footer"/>
    <w:basedOn w:val="Normal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BodyTextIniiaiieoaenoCiae1oaenooaaeeouOaaeiiaeyioaoiaiiioaieaIiaienu1" w:customStyle="1">
    <w:name w:val="Body Text;Основной текст Знак;Iniiaiie oaeno Ciae;Îñíîâíîé òåêñò Çíàê;Îñíîâíîé òåêñò Çíàê Çíàê Çíàê Çíàê Çíàê Çíàê;òåêñò òàáëèöû;Øàáëîí äëÿ îò÷åòîâ ïî îöåíêå;Ïîäïèñü1;oaeno oaaeeou;Oaaeii aey io?aoia ii ioaiea;Iiaienu1"/>
    <w:basedOn w:val="Normal"/>
    <w:qFormat/>
    <w:pPr>
      <w:ind w:right="85" w:hanging="0"/>
      <w:jc w:val="both"/>
    </w:pPr>
    <w:rPr>
      <w:rFonts w:ascii="Tahoma" w:hAnsi="Tahoma" w:cs="Tahoma"/>
    </w:rPr>
  </w:style>
  <w:style w:type="paragraph" w:styleId="Style32">
    <w:name w:val="Body Text Indent"/>
    <w:basedOn w:val="Normal"/>
    <w:pPr>
      <w:jc w:val="both"/>
    </w:pPr>
    <w:rPr>
      <w:sz w:val="24"/>
      <w:szCs w:val="24"/>
    </w:rPr>
  </w:style>
  <w:style w:type="paragraph" w:styleId="BodyText2Char" w:customStyle="1">
    <w:name w:val="Body Text 2;Char"/>
    <w:basedOn w:val="Normal"/>
    <w:qFormat/>
    <w:pPr>
      <w:tabs>
        <w:tab w:val="clear" w:pos="720"/>
        <w:tab w:val="left" w:pos="2977" w:leader="none"/>
      </w:tabs>
      <w:jc w:val="both"/>
    </w:pPr>
    <w:rPr>
      <w:sz w:val="28"/>
      <w:szCs w:val="28"/>
    </w:rPr>
  </w:style>
  <w:style w:type="paragraph" w:styleId="BodyText3">
    <w:name w:val="Body Text 3"/>
    <w:basedOn w:val="Normal"/>
    <w:qFormat/>
    <w:pPr>
      <w:spacing w:before="0" w:after="240"/>
      <w:jc w:val="center"/>
    </w:pPr>
    <w:rPr>
      <w:rFonts w:ascii="Tahoma" w:hAnsi="Tahoma" w:cs="Tahoma"/>
      <w:b/>
      <w:bCs/>
      <w:sz w:val="26"/>
      <w:szCs w:val="26"/>
    </w:rPr>
  </w:style>
  <w:style w:type="paragraph" w:styleId="BodyTextIndent2">
    <w:name w:val="Body Text Indent 2"/>
    <w:basedOn w:val="Normal"/>
    <w:qFormat/>
    <w:pPr>
      <w:ind w:left="540" w:hanging="0"/>
      <w:jc w:val="both"/>
    </w:pPr>
    <w:rPr>
      <w:rFonts w:ascii="Tahoma" w:hAnsi="Tahoma" w:cs="Tahoma"/>
      <w:sz w:val="24"/>
      <w:szCs w:val="24"/>
    </w:rPr>
  </w:style>
  <w:style w:type="paragraph" w:styleId="BodyTextIndent3">
    <w:name w:val="Body Text Indent 3"/>
    <w:basedOn w:val="Normal"/>
    <w:qFormat/>
    <w:pPr>
      <w:widowControl w:val="false"/>
      <w:ind w:left="567" w:hanging="0"/>
      <w:jc w:val="both"/>
    </w:pPr>
    <w:rPr/>
  </w:style>
  <w:style w:type="paragraph" w:styleId="Style33" w:customStyle="1">
    <w:name w:val="!Подпись"/>
    <w:basedOn w:val="Normal"/>
    <w:qFormat/>
    <w:pPr/>
    <w:rPr>
      <w:b/>
      <w:bCs/>
      <w:sz w:val="24"/>
      <w:szCs w:val="24"/>
    </w:rPr>
  </w:style>
  <w:style w:type="paragraph" w:styleId="BlockText">
    <w:name w:val="Block Text"/>
    <w:basedOn w:val="Normal"/>
    <w:qFormat/>
    <w:pPr>
      <w:ind w:left="-284" w:right="-70" w:firstLine="568"/>
      <w:jc w:val="both"/>
    </w:pPr>
    <w:rPr>
      <w:color w:val="000000"/>
      <w:sz w:val="26"/>
      <w:szCs w:val="26"/>
    </w:rPr>
  </w:style>
  <w:style w:type="paragraph" w:styleId="ConsPlusNonformat" w:customStyle="1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Courier New" w:cs="Courier New"/>
      <w:color w:val="auto"/>
      <w:kern w:val="0"/>
      <w:sz w:val="20"/>
      <w:szCs w:val="20"/>
      <w:lang w:val="ru-RU" w:eastAsia="ru-RU" w:bidi="ar-SA"/>
    </w:rPr>
  </w:style>
  <w:style w:type="paragraph" w:styleId="Style34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lang w:val="en-US" w:eastAsia="en-US"/>
    </w:rPr>
  </w:style>
  <w:style w:type="paragraph" w:styleId="19" w:customStyle="1">
    <w:name w:val="Знак1"/>
    <w:basedOn w:val="Normal"/>
    <w:qFormat/>
    <w:pPr>
      <w:spacing w:lineRule="exact" w:line="240" w:before="0" w:after="160"/>
    </w:pPr>
    <w:rPr>
      <w:rFonts w:ascii="Verdana" w:hAnsi="Verdana" w:cs="Verdana"/>
      <w:lang w:val="en-US" w:eastAsia="en-US"/>
    </w:rPr>
  </w:style>
  <w:style w:type="paragraph" w:styleId="BodyTextFirstIndent2">
    <w:name w:val="Body Text First Indent 2"/>
    <w:basedOn w:val="Style32"/>
    <w:qFormat/>
    <w:pPr>
      <w:spacing w:before="0" w:after="120"/>
      <w:ind w:left="283" w:firstLine="210"/>
    </w:pPr>
    <w:rPr/>
  </w:style>
  <w:style w:type="paragraph" w:styleId="ListBullet3">
    <w:name w:val="List Bullet 3"/>
    <w:basedOn w:val="Normal"/>
    <w:qFormat/>
    <w:pPr>
      <w:ind w:left="566" w:hanging="283"/>
    </w:pPr>
    <w:rPr>
      <w:sz w:val="24"/>
      <w:szCs w:val="24"/>
    </w:rPr>
  </w:style>
  <w:style w:type="paragraph" w:styleId="110" w:customStyle="1">
    <w:name w:val="Стиль1"/>
    <w:basedOn w:val="Normal"/>
    <w:qFormat/>
    <w:pPr/>
    <w:rPr>
      <w:sz w:val="24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>
      <w:sz w:val="24"/>
      <w:szCs w:val="24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Courier New" w:cs="Arial"/>
      <w:color w:val="auto"/>
      <w:kern w:val="0"/>
      <w:sz w:val="20"/>
      <w:szCs w:val="20"/>
      <w:lang w:val="ru-RU" w:eastAsia="ru-RU" w:bidi="ar-SA"/>
    </w:rPr>
  </w:style>
  <w:style w:type="paragraph" w:styleId="ListNumber">
    <w:name w:val="List Number"/>
    <w:basedOn w:val="Normal"/>
    <w:qFormat/>
    <w:pPr>
      <w:tabs>
        <w:tab w:val="clear" w:pos="720"/>
        <w:tab w:val="left" w:pos="360" w:leader="none"/>
      </w:tabs>
      <w:spacing w:before="0" w:after="0"/>
      <w:ind w:left="360" w:hanging="360"/>
      <w:contextualSpacing/>
    </w:pPr>
    <w:rPr>
      <w:sz w:val="24"/>
      <w:szCs w:val="24"/>
    </w:rPr>
  </w:style>
  <w:style w:type="paragraph" w:styleId="112" w:customStyle="1">
    <w:name w:val="Основной текст1"/>
    <w:basedOn w:val="Normal"/>
    <w:qFormat/>
    <w:pPr>
      <w:widowControl w:val="false"/>
      <w:shd w:val="clear" w:color="auto" w:fill="FFFFFF"/>
      <w:spacing w:lineRule="exact" w:line="277" w:before="240" w:after="0"/>
      <w:ind w:hanging="360"/>
      <w:jc w:val="both"/>
    </w:pPr>
    <w:rPr>
      <w:sz w:val="23"/>
      <w:szCs w:val="23"/>
    </w:rPr>
  </w:style>
  <w:style w:type="paragraph" w:styleId="ListParagraph211Table-NormalRSHBTable-Normal3" w:customStyle="1">
    <w:name w:val="List Paragraph;ПАРАГРАФ;Абзац списка2;Цветной список — акцент 11;Table-Normal;RSHB_Table-Normal;Заголовок_3;Подпись рисунка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Style35">
    <w:name w:val="Содержимое таблицы"/>
    <w:basedOn w:val="Normal"/>
    <w:qFormat/>
    <w:pPr>
      <w:widowControl w:val="false"/>
      <w:suppressLineNumbers/>
    </w:pPr>
    <w:rPr/>
  </w:style>
  <w:style w:type="paragraph" w:styleId="Style36">
    <w:name w:val="Заголовок таблицы"/>
    <w:basedOn w:val="Style3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WW8Num11" w:customStyle="1">
    <w:name w:val="WW8Num1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12">
    <w:name w:val="WW8Num12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e-disclosure.ru/portal/company.aspx?id=1409" TargetMode="External"/><Relationship Id="rId3" Type="http://schemas.openxmlformats.org/officeDocument/2006/relationships/hyperlink" Target="http://www.kamenergo.ru/" TargetMode="External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Application>LibreOffice/7.5.6.2$Linux_X86_64 LibreOffice_project/50$Build-2</Application>
  <AppVersion>15.0000</AppVersion>
  <Pages>3</Pages>
  <Words>725</Words>
  <Characters>5018</Characters>
  <CharactersWithSpaces>5692</CharactersWithSpaces>
  <Paragraphs>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2024-06-27T11:40:00Z</dcterms:created>
  <dc:creator>Prof-SlejovaNA</dc:creator>
  <dc:description/>
  <dc:language>ru-RU</dc:language>
  <cp:lastModifiedBy/>
  <cp:lastPrinted>2026-06-04T16:26:49Z</cp:lastPrinted>
  <dcterms:modified xsi:type="dcterms:W3CDTF">2026-07-21T16:02:11Z</dcterms:modified>
  <cp:revision>34</cp:revision>
  <dc:subject/>
  <dc:title>Приложение 16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Фегер Евгения Сергеевна</vt:lpwstr>
  </property>
</Properties>
</file>