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eastAsia="Courier New"/>
          <w:sz w:val="16"/>
          <w:szCs w:val="16"/>
        </w:rPr>
      </w:pPr>
      <w:r>
        <w:rPr>
          <w:rFonts w:eastAsia="Courier New"/>
          <w:sz w:val="16"/>
          <w:szCs w:val="16"/>
        </w:rPr>
      </w:r>
    </w:p>
    <w:p>
      <w:pPr>
        <w:pStyle w:val="Normal"/>
        <w:jc w:val="center"/>
        <w:rPr/>
      </w:pPr>
      <w:r>
        <w:rPr>
          <w:rStyle w:val="Strong"/>
          <w:rFonts w:eastAsia="Courier New"/>
        </w:rPr>
        <w:t>Сообщение о существенном факте</w:t>
      </w:r>
    </w:p>
    <w:p>
      <w:pPr>
        <w:pStyle w:val="Normal"/>
        <w:jc w:val="center"/>
        <w:rPr/>
      </w:pPr>
      <w:r>
        <w:rPr>
          <w:rStyle w:val="Strong"/>
          <w:rFonts w:eastAsia="Courier New"/>
        </w:rPr>
        <w:t>«О совершении эмитентом существенной сделки»</w:t>
      </w:r>
    </w:p>
    <w:p>
      <w:pPr>
        <w:pStyle w:val="Normal"/>
        <w:jc w:val="both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</w:r>
    </w:p>
    <w:tbl>
      <w:tblPr>
        <w:tblW w:w="10228" w:type="dxa"/>
        <w:jc w:val="left"/>
        <w:tblInd w:w="15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5555"/>
        <w:gridCol w:w="4672"/>
      </w:tblGrid>
      <w:tr>
        <w:trPr/>
        <w:tc>
          <w:tcPr>
            <w:tcW w:w="10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jc w:val="center"/>
              <w:rPr/>
            </w:pPr>
            <w:r>
              <w:rPr>
                <w:sz w:val="24"/>
                <w:szCs w:val="24"/>
              </w:rPr>
              <w:t>1. Общие сведения</w:t>
            </w:r>
          </w:p>
        </w:tc>
      </w:tr>
      <w:tr>
        <w:trPr>
          <w:trHeight w:val="628" w:hRule="atLeast"/>
        </w:trPr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1.1. Полное фирменное наименование (для коммерческой организации)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Публичное акционерное общество энергетики и электрификации  «Камчатскэнерго»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>1.2. </w:t>
            </w:r>
            <w:r>
              <w:rPr>
                <w:sz w:val="24"/>
                <w:szCs w:val="24"/>
                <w:lang w:eastAsia="en-US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683000, Камчатский кр.,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г. Петропавловск-Камчатский,</w:t>
            </w:r>
          </w:p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rStyle w:val="SUBST"/>
                <w:sz w:val="24"/>
                <w:szCs w:val="24"/>
              </w:rPr>
              <w:t>ул. Набережная, д. 10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1.3. Основной государственный регистрационный номер (ОГРН) эмитента: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1024101024078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1.4.  Идентификационный номер налогоплательщика (ИНН) эмитента: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4100000668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1.5. Уникальный код эмитента, присвоенный Банком России: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00235-A</w:t>
            </w:r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1.6. Адрес страницы в сети «Интернет», используемой эмитентом для раскрытия информации: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i/>
                <w:i/>
                <w:sz w:val="24"/>
                <w:szCs w:val="24"/>
              </w:rPr>
            </w:pPr>
            <w:hyperlink r:id="rId2" w:tgtFrame="http://www.e-disclosure.ru/portal/company.aspx?id=1409">
              <w:r>
                <w:rPr>
                  <w:color w:val="0000FF"/>
                  <w:sz w:val="24"/>
                  <w:szCs w:val="24"/>
                  <w:u w:val="single"/>
                </w:rPr>
                <w:t>http://www.e-disclosure.ru/portal/company.aspx?id=1409</w:t>
              </w:r>
            </w:hyperlink>
            <w:r>
              <w:rPr>
                <w:b/>
                <w:i/>
                <w:sz w:val="24"/>
                <w:szCs w:val="24"/>
              </w:rPr>
              <w:t xml:space="preserve">, </w:t>
            </w:r>
            <w:hyperlink r:id="rId3" w:tgtFrame="http://www.kamenergo.ru/">
              <w:r>
                <w:rPr>
                  <w:color w:val="0000FF"/>
                  <w:sz w:val="24"/>
                  <w:szCs w:val="24"/>
                  <w:u w:val="single"/>
                </w:rPr>
                <w:t>http://www.kamenergo.r</w:t>
              </w:r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>u</w:t>
              </w:r>
            </w:hyperlink>
          </w:p>
        </w:tc>
      </w:tr>
      <w:tr>
        <w:trPr/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left="85" w:right="85" w:hanging="0"/>
              <w:jc w:val="both"/>
              <w:rPr/>
            </w:pPr>
            <w:r>
              <w:rPr>
                <w:sz w:val="24"/>
                <w:szCs w:val="24"/>
                <w:lang w:eastAsia="en-US"/>
              </w:rPr>
              <w:t>1.7. Дата наступления события (существенного факта), о котором составлено сообщение: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/>
              <w:ind w:right="85" w:hanging="0"/>
              <w:jc w:val="both"/>
              <w:rPr/>
            </w:pPr>
            <w:r>
              <w:rPr>
                <w:b/>
                <w:i/>
                <w:sz w:val="24"/>
                <w:szCs w:val="24"/>
              </w:rPr>
              <w:t>03.06.2026</w:t>
            </w:r>
          </w:p>
        </w:tc>
      </w:tr>
    </w:tbl>
    <w:p>
      <w:pPr>
        <w:pStyle w:val="Normal"/>
        <w:widowControl w:val="false"/>
        <w:tabs>
          <w:tab w:val="clear" w:pos="720"/>
          <w:tab w:val="left" w:pos="708" w:leader="none"/>
        </w:tabs>
        <w:spacing w:before="0" w:after="0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center"/>
        <w:rPr/>
      </w:pPr>
      <w:r>
        <w:rPr>
          <w:b/>
          <w:color w:val="000000"/>
          <w:sz w:val="24"/>
          <w:szCs w:val="24"/>
        </w:rPr>
        <w:t>2. Содержание сообщения</w:t>
      </w:r>
      <w:r>
        <w:rPr>
          <w:b/>
          <w:bCs/>
          <w:color w:val="000000"/>
          <w:sz w:val="24"/>
          <w:szCs w:val="24"/>
        </w:rPr>
        <w:t>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2.1. Лицо, которое совершило существенную сделку: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Эмитент.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2.2. Категория существенной сделки</w:t>
      </w:r>
      <w:r>
        <w:rPr>
          <w:bCs/>
          <w:iCs/>
          <w:sz w:val="24"/>
          <w:szCs w:val="24"/>
        </w:rPr>
        <w:t>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Существенная сделка, не являющаяся крупной.</w:t>
      </w:r>
    </w:p>
    <w:p>
      <w:pPr>
        <w:pStyle w:val="Normal"/>
        <w:widowControl w:val="false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Вид и предмет существенной сделки: </w:t>
      </w:r>
    </w:p>
    <w:p>
      <w:pPr>
        <w:pStyle w:val="Normal"/>
        <w:widowControl w:val="false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widowControl w:val="false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lang w:val="ru-RU" w:eastAsia="ru-RU" w:bidi="ar-SA"/>
        </w:rPr>
      </w:pPr>
      <w:r>
        <w:rPr>
          <w:color w:val="000000"/>
          <w:sz w:val="24"/>
          <w:szCs w:val="24"/>
        </w:rPr>
        <w:t xml:space="preserve">Вид существенной сделки: </w:t>
      </w:r>
    </w:p>
    <w:p>
      <w:pPr>
        <w:pStyle w:val="Normal"/>
        <w:widowControl w:val="false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Заключение Генерального соглашения № 700E01I9K от 03.06.2026 об открытии возобновляемой рамочной кредитной линии с дифференцированными процентными ставками </w:t>
      </w: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меж</w:t>
      </w:r>
      <w:r>
        <w:rPr>
          <w:color w:val="000000"/>
          <w:sz w:val="24"/>
          <w:szCs w:val="24"/>
        </w:rPr>
        <w:t xml:space="preserve">ду ПАО «Камчатскэнерго» и </w:t>
      </w:r>
      <w:r>
        <w:rPr>
          <w:b w:val="false"/>
          <w:bCs w:val="false"/>
          <w:color w:val="000000"/>
          <w:sz w:val="24"/>
          <w:szCs w:val="24"/>
        </w:rPr>
        <w:t>ПАО Сбербанк.</w:t>
      </w:r>
    </w:p>
    <w:p>
      <w:pPr>
        <w:pStyle w:val="Normal"/>
        <w:widowControl w:val="false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Предмет существенной сделки: </w:t>
      </w:r>
    </w:p>
    <w:p>
      <w:pPr>
        <w:pStyle w:val="Normal"/>
        <w:keepNext w:val="true"/>
        <w:widowControl w:val="false"/>
        <w:numPr>
          <w:ilvl w:val="0"/>
          <w:numId w:val="0"/>
        </w:numPr>
        <w:tabs>
          <w:tab w:val="clear" w:pos="720"/>
          <w:tab w:val="left" w:pos="993" w:leader="none"/>
        </w:tabs>
        <w:spacing w:before="0" w:after="0"/>
        <w:ind w:left="0" w:right="0" w:hanging="0"/>
        <w:contextualSpacing/>
        <w:jc w:val="both"/>
        <w:rPr>
          <w:sz w:val="24"/>
          <w:szCs w:val="24"/>
        </w:rPr>
      </w:pPr>
      <w:bookmarkStart w:id="0" w:name="_Ref294717454"/>
      <w:r>
        <w:rPr>
          <w:sz w:val="24"/>
          <w:szCs w:val="24"/>
        </w:rPr>
        <w:t>Кредитор открывает Заемщику возобновляемую рамочную кредитную линию для</w:t>
      </w:r>
      <w:bookmarkEnd w:id="0"/>
      <w:r>
        <w:rPr>
          <w:sz w:val="24"/>
          <w:szCs w:val="24"/>
        </w:rPr>
        <w:t xml:space="preserve"> финансирования текущей операционной деятельности и рефинансирования действующих кредитов и займов на срок по «03» июня 2033 г. с лимитом:</w:t>
      </w:r>
    </w:p>
    <w:p>
      <w:pPr>
        <w:pStyle w:val="Normal"/>
        <w:keepNext w:val="true"/>
        <w:widowControl w:val="false"/>
        <w:spacing w:before="0" w:after="0"/>
        <w:ind w:left="792" w:right="0" w:hanging="0"/>
        <w:contextualSpacing/>
        <w:jc w:val="both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9982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7"/>
        <w:gridCol w:w="4594"/>
      </w:tblGrid>
      <w:tr>
        <w:trPr/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center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Период действия лимита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6"/>
              <w:widowControl w:val="false"/>
              <w:spacing w:before="0" w:after="0"/>
              <w:contextualSpacing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Сумма лимита</w:t>
            </w:r>
          </w:p>
        </w:tc>
      </w:tr>
      <w:tr>
        <w:trPr/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center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С «03» июня 2026 г. по «03» июня 2033 г.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center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5 000 000 000 (Пять миллиардов) рублей</w:t>
            </w:r>
          </w:p>
        </w:tc>
      </w:tr>
    </w:tbl>
    <w:p>
      <w:pPr>
        <w:pStyle w:val="Normal"/>
        <w:keepNext w:val="true"/>
        <w:widowControl w:val="false"/>
        <w:spacing w:before="0" w:after="0"/>
        <w:ind w:left="0" w:right="0" w:firstLine="709"/>
        <w:contextualSpacing/>
        <w:jc w:val="both"/>
        <w:rPr>
          <w:rFonts w:eastAsia="Courier New" w:cs="Times New Roman"/>
          <w:color w:val="000000"/>
          <w:kern w:val="0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lang w:val="ru-RU" w:eastAsia="ru-RU" w:bidi="ar-SA"/>
        </w:rPr>
      </w:r>
    </w:p>
    <w:p>
      <w:pPr>
        <w:pStyle w:val="Normal"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2.4. Содержание существенной сделки, в том числе гражданские права и обязанности, на установление, изменение или прекращение которых направлена совершенная существенная сделка:</w:t>
      </w:r>
    </w:p>
    <w:p>
      <w:pPr>
        <w:pStyle w:val="Normal"/>
        <w:keepNext w:val="true"/>
        <w:widowControl w:val="false"/>
        <w:suppressAutoHyphens w:val="true"/>
        <w:bidi w:val="0"/>
        <w:spacing w:before="0" w:after="0"/>
        <w:ind w:left="0" w:right="0" w:firstLine="283"/>
        <w:contextualSpacing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В рамках Соглашения Кредитор и Заемщик заключают отдельные Кредитные сделки путем оформления и передачи Заемщиком Кредитору Подтверждений (оферты), которые являются неотъемлемой частью Соглашения, и акцепта Кредитором оферты Заемщика, который совершается путем предоставления (выдачи) кредита по Кредитной сделке.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283"/>
        <w:contextualSpacing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В течение срока действия Соглашения суммарная ссудная задолженность по всем Кредитным сделкам, заключаемым в рамках Соглашения, с учетом неиспользованных сумм по ним не может превышать сумму установленного лимита.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283"/>
        <w:contextualSpacing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Срок кредитования по любой Кредитной сделке не может превышать 60 (Шестьдесят) месяцев.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283"/>
        <w:contextualSpacing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Соглашение регулирует: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283"/>
        <w:contextualSpacing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- порядок заключения Кредитных сделок;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283"/>
        <w:contextualSpacing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- условия предоставления кредитов;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283"/>
        <w:contextualSpacing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- порядок определения и изменения размера процентных ставок в рамках Кредитных сделок;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283"/>
        <w:contextualSpacing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- порядок выдачи и погашения кредитов в рамках Кредитных сделок;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283"/>
        <w:contextualSpacing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- условия и порядок расчетов по Соглашению и Кредитным сделкам;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283"/>
        <w:contextualSpacing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- обязанности и права Сторон по Соглашению и Кредитным сделкам;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283"/>
        <w:contextualSpacing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- условия по оформлению обеспечения исполнения обязательств по Соглашению и Кредитным сделкам;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283"/>
        <w:contextualSpacing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- ответственность Сторон за неисполнение обязательств по Соглашению и Кредитным сделкам.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283"/>
        <w:contextualSpacing/>
        <w:jc w:val="both"/>
        <w:rPr/>
      </w:pPr>
      <w:r>
        <w:rPr>
          <w:rFonts w:eastAsia="Courier New" w:cs="Times New Roman"/>
          <w:color w:val="000000"/>
          <w:kern w:val="0"/>
          <w:sz w:val="24"/>
          <w:szCs w:val="24"/>
          <w:lang w:val="ru-RU" w:eastAsia="ru-RU" w:bidi="ar-SA"/>
        </w:rPr>
        <w:t>Действие Соглашения распространяется на каждую Кредитную сделку, заключенную Сторонами в рамках Соглашения.</w:t>
      </w:r>
    </w:p>
    <w:p>
      <w:pPr>
        <w:pStyle w:val="Normal"/>
        <w:widowControl w:val="false"/>
        <w:spacing w:before="0" w:after="0"/>
        <w:ind w:left="0" w:right="0" w:hanging="0"/>
        <w:contextualSpacing/>
        <w:jc w:val="both"/>
        <w:rPr>
          <w:rFonts w:eastAsia="Courier New" w:cs="Times New Roman"/>
          <w:color w:val="000000"/>
          <w:kern w:val="0"/>
          <w:sz w:val="12"/>
          <w:szCs w:val="12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12"/>
          <w:szCs w:val="12"/>
          <w:lang w:val="ru-RU" w:eastAsia="ru-RU" w:bidi="ar-SA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2.5. Стороны и выгодоприобретатели по существенной сделке:</w:t>
      </w:r>
    </w:p>
    <w:p>
      <w:pPr>
        <w:pStyle w:val="Normal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Стороны по существенной сделке:</w:t>
      </w:r>
    </w:p>
    <w:p>
      <w:pPr>
        <w:pStyle w:val="Normal"/>
        <w:jc w:val="both"/>
        <w:rPr/>
      </w:pPr>
      <w:r>
        <w:rPr>
          <w:sz w:val="24"/>
          <w:szCs w:val="24"/>
        </w:rPr>
        <w:t>Заемщик – ПАО «Камчатскэнерго»;</w:t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 xml:space="preserve">Кредитор </w:t>
      </w:r>
      <w:r>
        <w:rPr>
          <w:b w:val="false"/>
          <w:bCs w:val="false"/>
          <w:color w:val="000000"/>
          <w:sz w:val="24"/>
          <w:szCs w:val="24"/>
        </w:rPr>
        <w:t>– ПАО Сбербанк.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2.6. Срок исполнения обязательств по существенной сделке:</w:t>
      </w:r>
    </w:p>
    <w:p>
      <w:pPr>
        <w:pStyle w:val="Normal"/>
        <w:jc w:val="both"/>
        <w:rPr>
          <w:color w:val="000000"/>
          <w:sz w:val="16"/>
          <w:szCs w:val="16"/>
          <w:highlight w:val="none"/>
          <w:shd w:fill="auto" w:val="clear"/>
        </w:rPr>
      </w:pPr>
      <w:r>
        <w:rPr>
          <w:color w:val="000000"/>
          <w:sz w:val="16"/>
          <w:szCs w:val="16"/>
          <w:shd w:fill="auto" w:val="clear"/>
        </w:rPr>
      </w:r>
    </w:p>
    <w:p>
      <w:pPr>
        <w:pStyle w:val="Normal"/>
        <w:widowControl w:val="false"/>
        <w:rPr>
          <w:highlight w:val="none"/>
          <w:shd w:fill="auto" w:val="clear"/>
        </w:rPr>
      </w:pPr>
      <w:r>
        <w:rPr>
          <w:color w:val="000000"/>
          <w:sz w:val="24"/>
          <w:szCs w:val="24"/>
          <w:shd w:fill="auto" w:val="clear"/>
        </w:rPr>
        <w:t>С 03.06.2026 по 03.06.2033.</w:t>
      </w:r>
    </w:p>
    <w:p>
      <w:pPr>
        <w:pStyle w:val="Normal"/>
        <w:spacing w:lineRule="auto" w:line="240" w:before="60" w:after="60"/>
        <w:ind w:left="0" w:right="0" w:hanging="0"/>
        <w:jc w:val="both"/>
        <w:rPr>
          <w:highlight w:val="none"/>
          <w:shd w:fill="auto" w:val="clear"/>
        </w:rPr>
      </w:pPr>
      <w:r>
        <w:rPr>
          <w:rFonts w:eastAsia="Courier New" w:cs="Times New Roman"/>
          <w:iCs/>
          <w:color w:val="000000"/>
          <w:kern w:val="0"/>
          <w:sz w:val="24"/>
          <w:szCs w:val="24"/>
          <w:shd w:fill="auto" w:val="clear"/>
          <w:lang w:val="ru-RU" w:eastAsia="ru-RU" w:bidi="ar-SA"/>
        </w:rPr>
        <w:t>Соглашение действует до полного выполнения Сторонами своих обязательств по Соглашению и Кредитным сделкам, заключенным в рамках Соглашения.</w:t>
      </w:r>
    </w:p>
    <w:p>
      <w:pPr>
        <w:pStyle w:val="Normal"/>
        <w:jc w:val="both"/>
        <w:rPr>
          <w:rFonts w:ascii="Times New Roman" w:hAnsi="Times New Roman" w:eastAsia="Courier New" w:cs="Times New Roman"/>
          <w:color w:val="000000"/>
          <w:kern w:val="0"/>
          <w:sz w:val="16"/>
          <w:szCs w:val="16"/>
          <w:highlight w:val="none"/>
          <w:shd w:fill="auto" w:val="clear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16"/>
          <w:szCs w:val="16"/>
          <w:shd w:fill="auto" w:val="clear"/>
          <w:lang w:val="ru-RU" w:eastAsia="ru-RU" w:bidi="ar-SA"/>
        </w:rPr>
      </w:r>
    </w:p>
    <w:p>
      <w:pPr>
        <w:pStyle w:val="Normal"/>
        <w:jc w:val="both"/>
        <w:rPr>
          <w:highlight w:val="none"/>
          <w:shd w:fill="auto" w:val="clear"/>
        </w:rPr>
      </w:pPr>
      <w:r>
        <w:rPr>
          <w:color w:val="000000"/>
          <w:sz w:val="24"/>
          <w:szCs w:val="24"/>
          <w:shd w:fill="auto" w:val="clear"/>
        </w:rPr>
        <w:t>2.7. Размер существенной сделки в денежном выражении и в процентах от стоимости активов эмитента:</w:t>
      </w:r>
    </w:p>
    <w:p>
      <w:pPr>
        <w:pStyle w:val="Normal"/>
        <w:jc w:val="both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  <w:t>Размер сделки — 11</w:t>
      </w:r>
      <w:r>
        <w:rPr>
          <w:rStyle w:val="PlaceholderText"/>
          <w:rFonts w:eastAsia="Times New Roman" w:cs="Times New Roman"/>
          <w:color w:val="000000"/>
          <w:kern w:val="0"/>
          <w:sz w:val="22"/>
          <w:szCs w:val="22"/>
          <w:shd w:fill="auto" w:val="clear"/>
          <w:lang w:val="ru-RU" w:eastAsia="ru-RU" w:bidi="ar-SA"/>
        </w:rPr>
        <w:t xml:space="preserve"> 615 000</w:t>
      </w:r>
      <w:r>
        <w:rPr>
          <w:rFonts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 тыс. руб. (НДС не облагается), в т.ч.:</w:t>
      </w:r>
    </w:p>
    <w:p>
      <w:pPr>
        <w:pStyle w:val="Normal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  <w:t>5 000 000 тыс. руб. — сумма лимита;</w:t>
      </w:r>
    </w:p>
    <w:p>
      <w:pPr>
        <w:pStyle w:val="Normal"/>
        <w:rPr>
          <w:rFonts w:ascii="Times New Roman" w:hAnsi="Times New Roman"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  <w:t>6 615 000 тыс. руб. — проценты.</w:t>
      </w:r>
    </w:p>
    <w:p>
      <w:pPr>
        <w:pStyle w:val="Normal"/>
        <w:jc w:val="both"/>
        <w:rPr>
          <w:rFonts w:ascii="Times New Roman" w:hAnsi="Times New Roman" w:eastAsia="Courier New" w:cs="Times New Roman"/>
          <w:color w:val="000000"/>
          <w:kern w:val="0"/>
          <w:sz w:val="16"/>
          <w:szCs w:val="16"/>
          <w:shd w:fill="auto" w:val="clear"/>
          <w:lang w:val="ru-RU" w:eastAsia="ru-RU" w:bidi="ar-SA"/>
        </w:rPr>
      </w:pPr>
      <w:r>
        <w:rPr>
          <w:rFonts w:eastAsia="Courier New" w:cs="Times New Roman"/>
          <w:color w:val="000000"/>
          <w:kern w:val="0"/>
          <w:sz w:val="16"/>
          <w:szCs w:val="16"/>
          <w:shd w:fill="auto" w:val="clear"/>
          <w:lang w:val="ru-RU" w:eastAsia="ru-RU" w:bidi="ar-SA"/>
        </w:rPr>
      </w:r>
    </w:p>
    <w:p>
      <w:pPr>
        <w:pStyle w:val="ListParagraph"/>
        <w:shd w:val="clear" w:color="auto" w:fill="FFFFFF"/>
        <w:tabs>
          <w:tab w:val="clear" w:pos="720"/>
          <w:tab w:val="left" w:pos="426" w:leader="none"/>
        </w:tabs>
        <w:ind w:left="0" w:hanging="0"/>
        <w:jc w:val="both"/>
        <w:rPr/>
      </w:pPr>
      <w:r>
        <w:rPr>
          <w:color w:val="000000"/>
        </w:rPr>
        <w:t>Процентное соотношение цены Соглашения к балансовой стоимости активов: 23,49</w:t>
      </w:r>
      <w:r>
        <w:rPr>
          <w:color w:val="000000"/>
          <w:shd w:fill="auto" w:val="clear"/>
        </w:rPr>
        <w:t xml:space="preserve"> %.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2.8. Стоимость активов, определенная по данным консолидированной финансовой отчетности эмитента, на последнюю отчетную дату (дату окончания последнего завершенного отчетного периода, предшествующего дате совершения сделки): 49 449 000 000 рублей (на 31.12.2025).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2.9. Дата совершения существенной сделки (Дата заключения Соглашения): 03.06.2026.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2.10. Сведения о принятии решения о согласии на совершение или о последующем одобрении существенной сделки в случае, когда указанное решение было принято уполномоченным органом управления эмитента (наименование органа управления организации, принявшего решение о согласии на совершение или о последующем одобрении существенной сделки, дата принятия решения, дата составления и номер протокола собрания (заседания) органа управления организации, на котором принято указанное решение, если оно принималось коллегиальным органом управления организации), или указание на то, что решение о согласии на совершение или о последующем одобрении существенной сделки не принималось.</w:t>
      </w:r>
    </w:p>
    <w:p>
      <w:pPr>
        <w:pStyle w:val="Normal"/>
        <w:jc w:val="both"/>
        <w:rPr/>
      </w:pPr>
      <w:r>
        <w:rPr>
          <w:color w:val="000000"/>
          <w:sz w:val="24"/>
          <w:szCs w:val="24"/>
        </w:rPr>
        <w:t>Решение о согласии на совершение сделки Советом директоров ПАО «Камчатскэнерго» не принималось, так как не требуется.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center"/>
        <w:rPr/>
      </w:pPr>
      <w:r>
        <w:rPr>
          <w:b/>
          <w:sz w:val="23"/>
          <w:szCs w:val="23"/>
        </w:rPr>
        <w:t>3.</w:t>
        <w:tab/>
        <w:t>Подпись.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Начальник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 xml:space="preserve">Управления корпоративной работы 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и имущественных отношений ПАО «Камчатскэнерго»</w:t>
        <w:tab/>
        <w:tab/>
        <w:tab/>
        <w:tab/>
        <w:t xml:space="preserve">     К.С. Живодуева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sz w:val="24"/>
          <w:szCs w:val="24"/>
        </w:rPr>
        <w:t>(по доверенности от 12.03.2026 № КЭ-18-18-26/323Д)</w:t>
      </w:r>
    </w:p>
    <w:p>
      <w:pPr>
        <w:pStyle w:val="Normal"/>
        <w:widowControl w:val="false"/>
        <w:ind w:left="0" w:right="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ind w:left="0" w:right="0" w:hanging="0"/>
        <w:jc w:val="both"/>
        <w:rPr/>
      </w:pPr>
      <w:r>
        <w:rPr>
          <w:sz w:val="24"/>
          <w:szCs w:val="24"/>
        </w:rPr>
        <w:t>3.2. Дата.</w:t>
      </w:r>
    </w:p>
    <w:p>
      <w:pPr>
        <w:pStyle w:val="Normal"/>
        <w:widowControl w:val="false"/>
        <w:ind w:left="0" w:right="0" w:firstLine="6"/>
        <w:jc w:val="both"/>
        <w:rPr/>
      </w:pPr>
      <w:r>
        <w:rPr>
          <w:rStyle w:val="Strong"/>
          <w:rFonts w:eastAsia="Symbol"/>
          <w:b w:val="false"/>
        </w:rPr>
        <w:t>«04» июня 2026 г.</w:t>
      </w:r>
    </w:p>
    <w:sectPr>
      <w:headerReference w:type="default" r:id="rId4"/>
      <w:type w:val="nextPage"/>
      <w:pgSz w:w="11906" w:h="16838"/>
      <w:pgMar w:left="1134" w:right="851" w:gutter="0" w:header="397" w:top="454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Cambria">
    <w:charset w:val="01"/>
    <w:family w:val="roman"/>
    <w:pitch w:val="default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Symbol">
    <w:charset w:val="01"/>
    <w:family w:val="roman"/>
    <w:pitch w:val="default"/>
  </w:font>
  <w:font w:name="Courier New">
    <w:charset w:val="01"/>
    <w:family w:val="roman"/>
    <w:pitch w:val="default"/>
  </w:font>
  <w:font w:name="Verdana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0"/>
      <w:jc w:val="right"/>
      <w:rPr>
        <w:sz w:val="14"/>
        <w:szCs w:val="14"/>
      </w:rPr>
    </w:pPr>
    <w:r>
      <w:rPr>
        <w:sz w:val="14"/>
        <w:szCs w:val="14"/>
      </w:rPr>
    </w:r>
  </w:p>
</w:hdr>
</file>

<file path=word/settings.xml><?xml version="1.0" encoding="utf-8"?>
<w:settings xmlns:w="http://schemas.openxmlformats.org/wordprocessingml/2006/main">
  <w:zoom w:percent="11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ourier New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qFormat/>
    <w:pPr>
      <w:keepNext w:val="true"/>
      <w:ind w:right="-1" w:hanging="0"/>
      <w:outlineLvl w:val="0"/>
    </w:pPr>
    <w:rPr>
      <w:sz w:val="26"/>
      <w:szCs w:val="26"/>
    </w:rPr>
  </w:style>
  <w:style w:type="paragraph" w:styleId="2">
    <w:name w:val="Heading 2"/>
    <w:basedOn w:val="Normal"/>
    <w:qFormat/>
    <w:pPr>
      <w:keepNext w:val="true"/>
      <w:outlineLvl w:val="1"/>
    </w:pPr>
    <w:rPr>
      <w:sz w:val="26"/>
      <w:szCs w:val="26"/>
    </w:rPr>
  </w:style>
  <w:style w:type="paragraph" w:styleId="3">
    <w:name w:val="Heading 3"/>
    <w:basedOn w:val="Normal"/>
    <w:qFormat/>
    <w:pPr>
      <w:keepNext w:val="true"/>
      <w:tabs>
        <w:tab w:val="clear" w:pos="720"/>
        <w:tab w:val="left" w:pos="2977" w:leader="none"/>
      </w:tabs>
      <w:ind w:left="-426" w:hanging="0"/>
      <w:outlineLvl w:val="2"/>
    </w:pPr>
    <w:rPr>
      <w:b/>
      <w:bCs/>
      <w:sz w:val="28"/>
      <w:szCs w:val="28"/>
      <w:lang w:val="en-US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qFormat/>
    <w:pPr>
      <w:keepNext w:val="true"/>
      <w:ind w:left="-567" w:right="-70" w:hanging="0"/>
      <w:jc w:val="both"/>
      <w:outlineLvl w:val="6"/>
    </w:pPr>
    <w:rPr>
      <w:i/>
      <w:iCs/>
      <w:sz w:val="26"/>
      <w:szCs w:val="26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Style5" w:customStyle="1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Style7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11" w:customStyle="1">
    <w:name w:val="Заголовок 1 Знак"/>
    <w:basedOn w:val="DefaultParagraphFont"/>
    <w:qFormat/>
    <w:rPr>
      <w:rFonts w:ascii="Cambria" w:hAnsi="Cambria" w:eastAsia="Times New Roman"/>
      <w:b/>
      <w:bCs/>
      <w:color w:val="000000"/>
      <w:sz w:val="32"/>
      <w:szCs w:val="32"/>
    </w:rPr>
  </w:style>
  <w:style w:type="character" w:styleId="21" w:customStyle="1">
    <w:name w:val="Заголовок 2 Знак"/>
    <w:basedOn w:val="DefaultParagraphFont"/>
    <w:qFormat/>
    <w:rPr>
      <w:rFonts w:ascii="Cambria" w:hAnsi="Cambria" w:eastAsia="Times New Roman"/>
      <w:b/>
      <w:bCs/>
      <w:i/>
      <w:iCs/>
      <w:color w:val="000000"/>
      <w:sz w:val="28"/>
      <w:szCs w:val="28"/>
    </w:rPr>
  </w:style>
  <w:style w:type="character" w:styleId="31" w:customStyle="1">
    <w:name w:val="Заголовок 3 Знак"/>
    <w:basedOn w:val="DefaultParagraphFont"/>
    <w:qFormat/>
    <w:rPr>
      <w:rFonts w:ascii="Cambria" w:hAnsi="Cambria" w:eastAsia="Times New Roman"/>
      <w:b/>
      <w:bCs/>
      <w:color w:val="000000"/>
      <w:sz w:val="26"/>
      <w:szCs w:val="26"/>
    </w:rPr>
  </w:style>
  <w:style w:type="character" w:styleId="71" w:customStyle="1">
    <w:name w:val="Заголовок 7 Знак"/>
    <w:basedOn w:val="DefaultParagraphFont"/>
    <w:qFormat/>
    <w:rPr>
      <w:rFonts w:ascii="Calibri" w:hAnsi="Calibri" w:eastAsia="Times New Roman"/>
      <w:color w:val="000000"/>
      <w:sz w:val="24"/>
      <w:szCs w:val="24"/>
    </w:rPr>
  </w:style>
  <w:style w:type="character" w:styleId="Style9" w:customStyle="1">
    <w:name w:val="Текст выноски Знак"/>
    <w:basedOn w:val="DefaultParagraphFont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10" w:customStyle="1">
    <w:name w:val="Верхний колонтитул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Style11" w:customStyle="1">
    <w:name w:val="Нижний колонтитул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SUBST" w:customStyle="1">
    <w:name w:val="__SUBST"/>
    <w:qFormat/>
    <w:rPr>
      <w:b/>
      <w:i/>
      <w:sz w:val="22"/>
    </w:rPr>
  </w:style>
  <w:style w:type="character" w:styleId="-">
    <w:name w:val="Hyperlink"/>
    <w:basedOn w:val="DefaultParagraphFont"/>
    <w:rPr>
      <w:rFonts w:ascii="Times New Roman" w:hAnsi="Times New Roman" w:eastAsia="Times New Roman"/>
      <w:color w:val="0000FF"/>
      <w:sz w:val="24"/>
      <w:szCs w:val="24"/>
      <w:u w:val="single"/>
    </w:rPr>
  </w:style>
  <w:style w:type="character" w:styleId="1IniiaiieoaenoCiae1oaenooaaeeouIiaienu1" w:customStyle="1">
    <w:name w:val="Основной текст Знак1;Основной текст Знак Знак;Iniiaiie oaeno Ciae Знак;Îñíîâíîé òåêñò Çíàê Знак;Îñíîâíîé òåêñò Çíàê Çíàê Çíàê Çíàê Çíàê Çíàê Знак;òåêñò òàáëèöû Знак;Øàáëîí äëÿ îò÷åòîâ ïî îöåíêå Знак;Ïîäïèñü1 Знак;oaeno oaaeeou Знак;Iiaienu1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Strong">
    <w:name w:val="Strong"/>
    <w:basedOn w:val="DefaultParagraphFont"/>
    <w:qFormat/>
    <w:rPr>
      <w:rFonts w:ascii="Times New Roman" w:hAnsi="Times New Roman" w:eastAsia="Times New Roman"/>
      <w:b/>
      <w:bCs/>
      <w:color w:val="000000"/>
      <w:sz w:val="24"/>
      <w:szCs w:val="24"/>
    </w:rPr>
  </w:style>
  <w:style w:type="character" w:styleId="Style12" w:customStyle="1">
    <w:name w:val="Основной текст с отступом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2Char" w:customStyle="1">
    <w:name w:val="Основной текст 2 Знак;Char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32" w:customStyle="1">
    <w:name w:val="Основной текст 3 Знак"/>
    <w:basedOn w:val="DefaultParagraphFont"/>
    <w:qFormat/>
    <w:rPr>
      <w:rFonts w:eastAsia="Times New Roman"/>
      <w:color w:val="000000"/>
      <w:sz w:val="16"/>
      <w:szCs w:val="16"/>
    </w:rPr>
  </w:style>
  <w:style w:type="character" w:styleId="22" w:customStyle="1">
    <w:name w:val="Основной текст с отступом 2 Знак"/>
    <w:basedOn w:val="DefaultParagraphFont"/>
    <w:qFormat/>
    <w:rPr>
      <w:rFonts w:eastAsia="Times New Roman"/>
      <w:color w:val="000000"/>
      <w:sz w:val="24"/>
      <w:szCs w:val="24"/>
    </w:rPr>
  </w:style>
  <w:style w:type="character" w:styleId="33" w:customStyle="1">
    <w:name w:val="Основной текст с отступом 3 Знак"/>
    <w:basedOn w:val="DefaultParagraphFont"/>
    <w:qFormat/>
    <w:rPr>
      <w:rFonts w:eastAsia="Times New Roman"/>
      <w:color w:val="000000"/>
      <w:sz w:val="16"/>
      <w:szCs w:val="16"/>
    </w:rPr>
  </w:style>
  <w:style w:type="character" w:styleId="Style13">
    <w:name w:val="Emphasis"/>
    <w:basedOn w:val="DefaultParagraphFont"/>
    <w:qFormat/>
    <w:rPr>
      <w:rFonts w:eastAsia="Times New Roman"/>
      <w:i/>
      <w:iCs/>
      <w:color w:val="000000"/>
      <w:sz w:val="24"/>
      <w:szCs w:val="24"/>
    </w:rPr>
  </w:style>
  <w:style w:type="character" w:styleId="Style14" w:customStyle="1">
    <w:name w:val="Заголовок Знак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11" w:customStyle="1">
    <w:name w:val="Знак Знак11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23" w:customStyle="1">
    <w:name w:val="Красная строка 2 Знак"/>
    <w:basedOn w:val="Style12"/>
    <w:qFormat/>
    <w:rPr>
      <w:rFonts w:eastAsia="Times New Roman"/>
      <w:color w:val="000000"/>
      <w:sz w:val="24"/>
      <w:szCs w:val="24"/>
    </w:rPr>
  </w:style>
  <w:style w:type="character" w:styleId="12" w:customStyle="1">
    <w:name w:val="Знак Знак12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Messagein1" w:customStyle="1">
    <w:name w:val="messagein1"/>
    <w:basedOn w:val="DefaultParagraphFont"/>
    <w:qFormat/>
    <w:rPr>
      <w:rFonts w:ascii="Tahoma" w:hAnsi="Tahoma" w:eastAsia="Times New Roman" w:cs="Tahoma"/>
      <w:color w:val="000000"/>
      <w:sz w:val="16"/>
      <w:szCs w:val="16"/>
    </w:rPr>
  </w:style>
  <w:style w:type="character" w:styleId="13" w:customStyle="1">
    <w:name w:val="Знак Знак13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4" w:customStyle="1">
    <w:name w:val="Знак Знак14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5" w:customStyle="1">
    <w:name w:val="Знак Знак15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16" w:customStyle="1">
    <w:name w:val="Знак Знак16"/>
    <w:basedOn w:val="DefaultParagraphFont"/>
    <w:qFormat/>
    <w:rPr>
      <w:rFonts w:eastAsia="Times New Roman"/>
      <w:b/>
      <w:color w:val="000000"/>
      <w:sz w:val="28"/>
      <w:szCs w:val="24"/>
    </w:rPr>
  </w:style>
  <w:style w:type="character" w:styleId="Style15" w:customStyle="1">
    <w:name w:val="Основной текст_"/>
    <w:qFormat/>
    <w:rPr>
      <w:sz w:val="23"/>
      <w:shd w:fill="FFFFFF" w:val="clear"/>
    </w:rPr>
  </w:style>
  <w:style w:type="character" w:styleId="Style16" w:customStyle="1">
    <w:name w:val="Символ нумерации"/>
    <w:qFormat/>
    <w:rPr/>
  </w:style>
  <w:style w:type="character" w:styleId="WW8Num11z0" w:customStyle="1">
    <w:name w:val="WW8Num11z0"/>
    <w:qFormat/>
    <w:rPr/>
  </w:style>
  <w:style w:type="character" w:styleId="WW8Num11z1" w:customStyle="1">
    <w:name w:val="WW8Num11z1"/>
    <w:qFormat/>
    <w:rPr>
      <w:b w:val="false"/>
      <w:i w:val="false"/>
    </w:rPr>
  </w:style>
  <w:style w:type="character" w:styleId="Style17">
    <w:name w:val="Line Number"/>
    <w:rPr/>
  </w:style>
  <w:style w:type="character" w:styleId="WW8Num2z0">
    <w:name w:val="WW8Num2z0"/>
    <w:qFormat/>
    <w:rPr>
      <w:b/>
    </w:rPr>
  </w:style>
  <w:style w:type="character" w:styleId="WW8Num2z2">
    <w:name w:val="WW8Num2z2"/>
    <w:qFormat/>
    <w:rPr>
      <w:rFonts w:ascii="Symbol" w:hAnsi="Symbol" w:cs="Symbol"/>
      <w:b w:val="false"/>
      <w:sz w:val="18"/>
      <w:szCs w:val="18"/>
    </w:rPr>
  </w:style>
  <w:style w:type="character" w:styleId="WW8Num3z0">
    <w:name w:val="WW8Num3z0"/>
    <w:qFormat/>
    <w:rPr>
      <w:rFonts w:cs="Times New Roman"/>
    </w:rPr>
  </w:style>
  <w:style w:type="character" w:styleId="WW8Num3z1">
    <w:name w:val="WW8Num3z1"/>
    <w:qFormat/>
    <w:rPr>
      <w:rFonts w:cs="Times New Roman"/>
      <w:i w:val="false"/>
    </w:rPr>
  </w:style>
  <w:style w:type="character" w:styleId="WW8Num3z2">
    <w:name w:val="WW8Num3z2"/>
    <w:qFormat/>
    <w:rPr>
      <w:rFonts w:cs="Times New Roman"/>
      <w:i w:val="false"/>
      <w:position w:val="0"/>
      <w:sz w:val="20"/>
      <w:sz w:val="20"/>
      <w:vertAlign w:val="baseline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ascii="PT Astra Serif" w:hAnsi="PT Astra Serif" w:cs="Noto Sans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3">
    <w:name w:val="Title"/>
    <w:basedOn w:val="Normal"/>
    <w:next w:val="Style19"/>
    <w:qFormat/>
    <w:pPr>
      <w:jc w:val="center"/>
    </w:pPr>
    <w:rPr>
      <w:b/>
      <w:sz w:val="28"/>
    </w:rPr>
  </w:style>
  <w:style w:type="paragraph" w:styleId="Caption">
    <w:name w:val="caption"/>
    <w:basedOn w:val="Normal"/>
    <w:qFormat/>
    <w:pPr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Indexheading">
    <w:name w:val="index heading"/>
    <w:basedOn w:val="Style23"/>
    <w:qFormat/>
    <w:pPr/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PT Astra Serif" w:hAnsi="PT Astra Serif" w:eastAsia="Tahoma" w:cs="Noto Sans Devanagari"/>
      <w:color w:val="auto"/>
      <w:kern w:val="0"/>
      <w:sz w:val="24"/>
      <w:szCs w:val="24"/>
      <w:lang w:val="ru-RU" w:eastAsia="zh-CN" w:bidi="hi-IN"/>
    </w:rPr>
  </w:style>
  <w:style w:type="paragraph" w:styleId="Style24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25">
    <w:name w:val="Footnote Text"/>
    <w:basedOn w:val="Normal"/>
    <w:uiPriority w:val="99"/>
    <w:semiHidden/>
    <w:unhideWhenUsed/>
    <w:pPr>
      <w:spacing w:before="0" w:after="40"/>
    </w:pPr>
    <w:rPr>
      <w:sz w:val="18"/>
    </w:rPr>
  </w:style>
  <w:style w:type="paragraph" w:styleId="Style26">
    <w:name w:val="Endnote Text"/>
    <w:basedOn w:val="Normal"/>
    <w:uiPriority w:val="99"/>
    <w:semiHidden/>
    <w:unhideWhenUsed/>
    <w:pPr/>
    <w:rPr/>
  </w:style>
  <w:style w:type="paragraph" w:styleId="17">
    <w:name w:val="TOC 1"/>
    <w:basedOn w:val="Normal"/>
    <w:uiPriority w:val="39"/>
    <w:unhideWhenUsed/>
    <w:pPr>
      <w:spacing w:before="0" w:after="57"/>
    </w:pPr>
    <w:rPr/>
  </w:style>
  <w:style w:type="paragraph" w:styleId="24">
    <w:name w:val="TOC 2"/>
    <w:basedOn w:val="Normal"/>
    <w:uiPriority w:val="39"/>
    <w:unhideWhenUsed/>
    <w:pPr>
      <w:spacing w:before="0" w:after="57"/>
      <w:ind w:left="283" w:hanging="0"/>
    </w:pPr>
    <w:rPr/>
  </w:style>
  <w:style w:type="paragraph" w:styleId="34">
    <w:name w:val="TOC 3"/>
    <w:basedOn w:val="Normal"/>
    <w:uiPriority w:val="39"/>
    <w:unhideWhenUsed/>
    <w:pPr>
      <w:spacing w:before="0" w:after="57"/>
      <w:ind w:left="567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hanging="0"/>
    </w:pPr>
    <w:rPr/>
  </w:style>
  <w:style w:type="paragraph" w:styleId="72">
    <w:name w:val="TOC 7"/>
    <w:basedOn w:val="Normal"/>
    <w:uiPriority w:val="39"/>
    <w:unhideWhenUsed/>
    <w:pPr>
      <w:spacing w:before="0" w:after="57"/>
      <w:ind w:left="1701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hanging="0"/>
    </w:pPr>
    <w:rPr/>
  </w:style>
  <w:style w:type="paragraph" w:styleId="Style27">
    <w:name w:val="Index Heading"/>
    <w:basedOn w:val="Style18"/>
    <w:pPr/>
    <w:rPr/>
  </w:style>
  <w:style w:type="paragraph" w:styleId="Style28">
    <w:name w:val="TOC Heading"/>
    <w:uiPriority w:val="39"/>
    <w:unhideWhenUsed/>
    <w:pPr>
      <w:widowControl/>
      <w:suppressAutoHyphens w:val="true"/>
      <w:bidi w:val="0"/>
      <w:spacing w:before="0" w:after="0"/>
      <w:jc w:val="left"/>
    </w:pPr>
    <w:rPr>
      <w:rFonts w:ascii="PT Astra Serif" w:hAnsi="PT Astra Serif" w:eastAsia="Tahoma" w:cs="Noto Sans Devanagari"/>
      <w:color w:val="auto"/>
      <w:kern w:val="0"/>
      <w:sz w:val="24"/>
      <w:szCs w:val="24"/>
      <w:lang w:val="ru-RU" w:eastAsia="zh-CN" w:bidi="hi-IN"/>
    </w:rPr>
  </w:style>
  <w:style w:type="paragraph" w:styleId="Tableoffigures">
    <w:name w:val="table of figures"/>
    <w:basedOn w:val="Normal"/>
    <w:uiPriority w:val="99"/>
    <w:unhideWhenUsed/>
    <w:qFormat/>
    <w:pPr/>
    <w:rPr/>
  </w:style>
  <w:style w:type="paragraph" w:styleId="18" w:customStyle="1">
    <w:name w:val="Обычная таблица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ourier New" w:cs="Times New Roman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nsNormal" w:customStyle="1">
    <w:name w:val="ConsNormal"/>
    <w:qFormat/>
    <w:pPr>
      <w:widowControl/>
      <w:suppressAutoHyphens w:val="true"/>
      <w:bidi w:val="0"/>
      <w:spacing w:before="0" w:after="0"/>
      <w:ind w:right="19771" w:firstLine="539"/>
      <w:jc w:val="both"/>
    </w:pPr>
    <w:rPr>
      <w:rFonts w:ascii="Courier New" w:hAnsi="Courier New" w:eastAsia="Courier New" w:cs="Courier New"/>
      <w:color w:val="auto"/>
      <w:kern w:val="0"/>
      <w:sz w:val="20"/>
      <w:szCs w:val="20"/>
      <w:lang w:val="en-US" w:eastAsia="ru-RU" w:bidi="ar-SA"/>
    </w:rPr>
  </w:style>
  <w:style w:type="paragraph" w:styleId="ConsNonformat" w:customStyle="1">
    <w:name w:val="ConsNonformat"/>
    <w:qFormat/>
    <w:pPr>
      <w:widowControl w:val="false"/>
      <w:suppressAutoHyphens w:val="true"/>
      <w:bidi w:val="0"/>
      <w:spacing w:before="0" w:after="0"/>
      <w:jc w:val="both"/>
    </w:pPr>
    <w:rPr>
      <w:rFonts w:ascii="Courier New" w:hAnsi="Courier New" w:eastAsia="Courier New" w:cs="Courier New"/>
      <w:color w:val="auto"/>
      <w:kern w:val="0"/>
      <w:sz w:val="20"/>
      <w:szCs w:val="20"/>
      <w:lang w:val="ru-RU" w:eastAsia="ru-RU" w:bidi="ar-SA"/>
    </w:rPr>
  </w:style>
  <w:style w:type="paragraph" w:styleId="Style29" w:customStyle="1">
    <w:name w:val="Колонтитул"/>
    <w:basedOn w:val="Normal"/>
    <w:qFormat/>
    <w:pPr/>
    <w:rPr/>
  </w:style>
  <w:style w:type="paragraph" w:styleId="Style30">
    <w:name w:val="Head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Style31">
    <w:name w:val="Foot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BodyTextIniiaiieoaenoCiae1oaenooaaeeouOaaeiiaeyioaoiaiiioaieaIiaienu1" w:customStyle="1">
    <w:name w:val="Body Text;Основной текст Знак;Iniiaiie oaeno Ciae;Îñíîâíîé òåêñò Çíàê;Îñíîâíîé òåêñò Çíàê Çíàê Çíàê Çíàê Çíàê Çíàê;òåêñò òàáëèöû;Øàáëîí äëÿ îò÷åòîâ ïî îöåíêå;Ïîäïèñü1;oaeno oaaeeou;Oaaeii aey io?aoia ii ioaiea;Iiaienu1"/>
    <w:basedOn w:val="Normal"/>
    <w:qFormat/>
    <w:pPr>
      <w:ind w:right="85" w:hanging="0"/>
      <w:jc w:val="both"/>
    </w:pPr>
    <w:rPr>
      <w:rFonts w:ascii="Tahoma" w:hAnsi="Tahoma" w:cs="Tahoma"/>
    </w:rPr>
  </w:style>
  <w:style w:type="paragraph" w:styleId="Style32">
    <w:name w:val="Body Text Indent"/>
    <w:basedOn w:val="Normal"/>
    <w:pPr>
      <w:jc w:val="both"/>
    </w:pPr>
    <w:rPr>
      <w:sz w:val="24"/>
      <w:szCs w:val="24"/>
    </w:rPr>
  </w:style>
  <w:style w:type="paragraph" w:styleId="BodyText2Char" w:customStyle="1">
    <w:name w:val="Body Text 2;Char"/>
    <w:basedOn w:val="Normal"/>
    <w:qFormat/>
    <w:pPr>
      <w:tabs>
        <w:tab w:val="clear" w:pos="720"/>
        <w:tab w:val="left" w:pos="2977" w:leader="none"/>
      </w:tabs>
      <w:jc w:val="both"/>
    </w:pPr>
    <w:rPr>
      <w:sz w:val="28"/>
      <w:szCs w:val="28"/>
    </w:rPr>
  </w:style>
  <w:style w:type="paragraph" w:styleId="BodyText3">
    <w:name w:val="Body Text 3"/>
    <w:basedOn w:val="Normal"/>
    <w:qFormat/>
    <w:pPr>
      <w:spacing w:before="0" w:after="240"/>
      <w:jc w:val="center"/>
    </w:pPr>
    <w:rPr>
      <w:rFonts w:ascii="Tahoma" w:hAnsi="Tahoma" w:cs="Tahoma"/>
      <w:b/>
      <w:bCs/>
      <w:sz w:val="26"/>
      <w:szCs w:val="26"/>
    </w:rPr>
  </w:style>
  <w:style w:type="paragraph" w:styleId="BodyTextIndent2">
    <w:name w:val="Body Text Indent 2"/>
    <w:basedOn w:val="Normal"/>
    <w:qFormat/>
    <w:pPr>
      <w:ind w:left="540" w:hanging="0"/>
      <w:jc w:val="both"/>
    </w:pPr>
    <w:rPr>
      <w:rFonts w:ascii="Tahoma" w:hAnsi="Tahoma" w:cs="Tahoma"/>
      <w:sz w:val="24"/>
      <w:szCs w:val="24"/>
    </w:rPr>
  </w:style>
  <w:style w:type="paragraph" w:styleId="BodyTextIndent3">
    <w:name w:val="Body Text Indent 3"/>
    <w:basedOn w:val="Normal"/>
    <w:qFormat/>
    <w:pPr>
      <w:widowControl w:val="false"/>
      <w:ind w:left="567" w:hanging="0"/>
      <w:jc w:val="both"/>
    </w:pPr>
    <w:rPr/>
  </w:style>
  <w:style w:type="paragraph" w:styleId="Style33" w:customStyle="1">
    <w:name w:val="!Подпись"/>
    <w:basedOn w:val="Normal"/>
    <w:qFormat/>
    <w:pPr/>
    <w:rPr>
      <w:b/>
      <w:bCs/>
      <w:sz w:val="24"/>
      <w:szCs w:val="24"/>
    </w:rPr>
  </w:style>
  <w:style w:type="paragraph" w:styleId="BlockText">
    <w:name w:val="Block Text"/>
    <w:basedOn w:val="Normal"/>
    <w:qFormat/>
    <w:pPr>
      <w:ind w:left="-284" w:right="-70" w:firstLine="568"/>
      <w:jc w:val="both"/>
    </w:pPr>
    <w:rPr>
      <w:color w:val="000000"/>
      <w:sz w:val="26"/>
      <w:szCs w:val="26"/>
    </w:rPr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Courier New" w:cs="Courier New"/>
      <w:color w:val="auto"/>
      <w:kern w:val="0"/>
      <w:sz w:val="20"/>
      <w:szCs w:val="20"/>
      <w:lang w:val="ru-RU" w:eastAsia="ru-RU" w:bidi="ar-SA"/>
    </w:rPr>
  </w:style>
  <w:style w:type="paragraph" w:styleId="Style34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lang w:val="en-US" w:eastAsia="en-US"/>
    </w:rPr>
  </w:style>
  <w:style w:type="paragraph" w:styleId="19" w:customStyle="1">
    <w:name w:val="Знак1"/>
    <w:basedOn w:val="Normal"/>
    <w:qFormat/>
    <w:pPr>
      <w:spacing w:lineRule="exact" w:line="240" w:before="0" w:after="160"/>
    </w:pPr>
    <w:rPr>
      <w:rFonts w:ascii="Verdana" w:hAnsi="Verdana" w:cs="Verdana"/>
      <w:lang w:val="en-US" w:eastAsia="en-US"/>
    </w:rPr>
  </w:style>
  <w:style w:type="paragraph" w:styleId="BodyTextFirstIndent2">
    <w:name w:val="Body Text First Indent 2"/>
    <w:basedOn w:val="Style32"/>
    <w:qFormat/>
    <w:pPr>
      <w:spacing w:before="0" w:after="120"/>
      <w:ind w:left="283" w:firstLine="210"/>
    </w:pPr>
    <w:rPr/>
  </w:style>
  <w:style w:type="paragraph" w:styleId="ListBullet3">
    <w:name w:val="List Bullet 3"/>
    <w:basedOn w:val="Normal"/>
    <w:qFormat/>
    <w:pPr>
      <w:ind w:left="566" w:hanging="283"/>
    </w:pPr>
    <w:rPr>
      <w:sz w:val="24"/>
      <w:szCs w:val="24"/>
    </w:rPr>
  </w:style>
  <w:style w:type="paragraph" w:styleId="110" w:customStyle="1">
    <w:name w:val="Стиль1"/>
    <w:basedOn w:val="Normal"/>
    <w:qFormat/>
    <w:pPr/>
    <w:rPr>
      <w:sz w:val="24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>
      <w:sz w:val="24"/>
      <w:szCs w:val="24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Courier New" w:cs="Arial"/>
      <w:color w:val="auto"/>
      <w:kern w:val="0"/>
      <w:sz w:val="20"/>
      <w:szCs w:val="20"/>
      <w:lang w:val="ru-RU" w:eastAsia="ru-RU" w:bidi="ar-SA"/>
    </w:rPr>
  </w:style>
  <w:style w:type="paragraph" w:styleId="ListNumber">
    <w:name w:val="List Number"/>
    <w:basedOn w:val="Normal"/>
    <w:qFormat/>
    <w:pPr>
      <w:tabs>
        <w:tab w:val="clear" w:pos="720"/>
        <w:tab w:val="left" w:pos="360" w:leader="none"/>
      </w:tabs>
      <w:spacing w:before="0" w:after="0"/>
      <w:ind w:left="360" w:hanging="360"/>
      <w:contextualSpacing/>
    </w:pPr>
    <w:rPr>
      <w:sz w:val="24"/>
      <w:szCs w:val="24"/>
    </w:rPr>
  </w:style>
  <w:style w:type="paragraph" w:styleId="112" w:customStyle="1">
    <w:name w:val="Основной текст1"/>
    <w:basedOn w:val="Normal"/>
    <w:qFormat/>
    <w:pPr>
      <w:widowControl w:val="false"/>
      <w:shd w:val="clear" w:color="auto" w:fill="FFFFFF"/>
      <w:spacing w:lineRule="exact" w:line="277" w:before="240" w:after="0"/>
      <w:ind w:hanging="360"/>
      <w:jc w:val="both"/>
    </w:pPr>
    <w:rPr>
      <w:sz w:val="23"/>
      <w:szCs w:val="23"/>
    </w:rPr>
  </w:style>
  <w:style w:type="paragraph" w:styleId="ListParagraph211Table-NormalRSHBTable-Normal3" w:customStyle="1">
    <w:name w:val="List Paragraph;ПАРАГРАФ;Абзац списка2;Цветной список — акцент 11;Table-Normal;RSHB_Table-Normal;Заголовок_3;Подпись рисунка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Style35">
    <w:name w:val="Содержимое таблицы"/>
    <w:basedOn w:val="Normal"/>
    <w:qFormat/>
    <w:pPr>
      <w:widowControl w:val="false"/>
      <w:suppressLineNumbers/>
    </w:pPr>
    <w:rPr/>
  </w:style>
  <w:style w:type="paragraph" w:styleId="Style36">
    <w:name w:val="Заголовок таблицы"/>
    <w:basedOn w:val="Style3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WW8Num11" w:customStyle="1">
    <w:name w:val="WW8Num11"/>
    <w:qFormat/>
  </w:style>
  <w:style w:type="numbering" w:styleId="WW8Num2">
    <w:name w:val="WW8Num2"/>
    <w:qFormat/>
  </w:style>
  <w:style w:type="numbering" w:styleId="WW8Num3">
    <w:name w:val="WW8Num3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-disclosure.ru/portal/company.aspx?id=1409" TargetMode="External"/><Relationship Id="rId3" Type="http://schemas.openxmlformats.org/officeDocument/2006/relationships/hyperlink" Target="http://www.kamenergo.ru/" TargetMode="External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Application>LibreOffice/7.5.6.2$Linux_X86_64 LibreOffice_project/50$Build-2</Application>
  <AppVersion>15.0000</AppVersion>
  <Pages>2</Pages>
  <Words>641</Words>
  <Characters>4494</Characters>
  <CharactersWithSpaces>5085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2024-06-27T11:40:00Z</dcterms:created>
  <dc:creator>Prof-SlejovaNA</dc:creator>
  <dc:description/>
  <dc:language>ru-RU</dc:language>
  <cp:lastModifiedBy/>
  <cp:lastPrinted>2026-06-04T16:26:49Z</cp:lastPrinted>
  <dcterms:modified xsi:type="dcterms:W3CDTF">2026-06-04T16:34:05Z</dcterms:modified>
  <cp:revision>32</cp:revision>
  <dc:subject/>
  <dc:title>Приложение 16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Фегер Евгения Сергеевна</vt:lpwstr>
  </property>
</Properties>
</file>