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document.xml" ContentType="application/vnd.openxmlformats-officedocument.wordprocessingml.document.main+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uppressAutoHyphens w:val="true"/>
        <w:bidi w:val="0"/>
        <w:spacing w:before="20" w:after="40"/>
        <w:contextualSpacing w:val="false"/>
        <w:jc w:val="left"/>
        <w:rPr/>
      </w:pPr>
      <w:r>
        <w:rPr/>
      </w:r>
    </w:p>
    <w:p>
      <w:pPr>
        <w:pStyle w:val="Normal"/>
        <w:rPr/>
      </w:pPr>
      <w:r>
        <w:rPr/>
      </w:r>
    </w:p>
    <w:p>
      <w:pPr>
        <w:pStyle w:val="Normal"/>
        <w:spacing w:before="960" w:after="40"/>
        <w:contextualSpacing w:val="false"/>
        <w:jc w:val="center"/>
        <w:rPr/>
      </w:pPr>
      <w:r>
        <w:rPr>
          <w:b/>
          <w:sz w:val="32"/>
        </w:rPr>
        <w:t xml:space="preserve">ОТЧЕТ ЭМИТЕНТА </w:t>
      </w:r>
    </w:p>
    <w:p>
      <w:pPr>
        <w:pStyle w:val="Normal"/>
        <w:spacing w:before="958" w:after="40"/>
        <w:contextualSpacing/>
        <w:jc w:val="center"/>
        <w:rPr/>
      </w:pPr>
      <w:r>
        <w:rPr>
          <w:b/>
          <w:sz w:val="32"/>
        </w:rPr>
        <w:t>ЭМИССИОННЫХ ЦЕННЫХ БУМАГ</w:t>
      </w:r>
    </w:p>
    <w:p>
      <w:pPr>
        <w:pStyle w:val="Normal"/>
        <w:spacing w:before="600" w:after="40"/>
        <w:contextualSpacing w:val="false"/>
        <w:jc w:val="center"/>
        <w:rPr/>
      </w:pPr>
      <w:r>
        <w:rPr>
          <w:b/>
          <w:i/>
          <w:sz w:val="32"/>
        </w:rPr>
        <w:t>Публичное акционерное общество энергетики и электрификации «Камчатскэнерго»</w:t>
      </w:r>
    </w:p>
    <w:p>
      <w:pPr>
        <w:pStyle w:val="Normal"/>
        <w:spacing w:before="120" w:after="40"/>
        <w:contextualSpacing w:val="false"/>
        <w:jc w:val="center"/>
        <w:rPr/>
      </w:pPr>
      <w:r>
        <w:rPr>
          <w:b/>
          <w:i/>
          <w:sz w:val="28"/>
        </w:rPr>
        <w:t>Код эмитента: 00235-A</w:t>
      </w:r>
    </w:p>
    <w:p>
      <w:pPr>
        <w:pStyle w:val="Normal"/>
        <w:spacing w:before="360" w:after="40"/>
        <w:contextualSpacing w:val="false"/>
        <w:jc w:val="center"/>
        <w:rPr/>
      </w:pPr>
      <w:r>
        <w:rPr>
          <w:b/>
          <w:sz w:val="32"/>
        </w:rPr>
        <w:t>за 12 месяцев 2025 г.</w:t>
      </w:r>
    </w:p>
    <w:p>
      <w:pPr>
        <w:pStyle w:val="Normal"/>
        <w:spacing w:before="600" w:after="360"/>
        <w:contextualSpacing w:val="false"/>
        <w:jc w:val="center"/>
        <w:rPr/>
      </w:pPr>
      <w:r>
        <w:rPr>
          <w:b/>
          <w:sz w:val="24"/>
        </w:rPr>
        <w:t>Информация, содержащаяся в настоящем отчете эмитента, подлежит раскрытию в соответствии с законодательством Российской Федерации о ценных бумагах</w:t>
      </w:r>
    </w:p>
    <w:p>
      <w:pPr>
        <w:pStyle w:val="Normal"/>
        <w:rPr/>
      </w:pPr>
      <w:r>
        <w:rPr/>
      </w:r>
    </w:p>
    <w:tbl>
      <w:tblPr>
        <w:tblW w:w="9252" w:type="dxa"/>
        <w:jc w:val="left"/>
        <w:tblInd w:w="243" w:type="dxa"/>
        <w:tblLayout w:type="fixed"/>
        <w:tblCellMar>
          <w:top w:w="0" w:type="dxa"/>
          <w:left w:w="72" w:type="dxa"/>
          <w:bottom w:w="0" w:type="dxa"/>
          <w:right w:w="72" w:type="dxa"/>
        </w:tblCellMar>
        <w:tblLook w:noVBand="1" w:val="04a0" w:noHBand="0" w:lastColumn="0" w:firstColumn="1" w:lastRow="0" w:firstRow="1"/>
      </w:tblPr>
      <w:tblGrid>
        <w:gridCol w:w="1892"/>
        <w:gridCol w:w="1192"/>
        <w:gridCol w:w="4411"/>
        <w:gridCol w:w="1757"/>
      </w:tblGrid>
      <w:tr>
        <w:trPr/>
        <w:tc>
          <w:tcPr>
            <w:tcW w:w="1892" w:type="dxa"/>
            <w:tcBorders>
              <w:top w:val="single" w:sz="6" w:space="0" w:color="000000"/>
              <w:left w:val="single" w:sz="6" w:space="0" w:color="000000"/>
            </w:tcBorders>
          </w:tcPr>
          <w:p>
            <w:pPr>
              <w:pStyle w:val="Normal"/>
              <w:widowControl w:val="false"/>
              <w:spacing w:before="20" w:after="40"/>
              <w:contextualSpacing w:val="false"/>
              <w:rPr/>
            </w:pPr>
            <w:r>
              <w:rPr/>
              <w:t>Адрес эмитента</w:t>
            </w:r>
          </w:p>
        </w:tc>
        <w:tc>
          <w:tcPr>
            <w:tcW w:w="7360" w:type="dxa"/>
            <w:gridSpan w:val="3"/>
            <w:tcBorders>
              <w:top w:val="single" w:sz="6" w:space="0" w:color="000000"/>
              <w:right w:val="single" w:sz="6" w:space="0" w:color="000000"/>
            </w:tcBorders>
          </w:tcPr>
          <w:p>
            <w:pPr>
              <w:pStyle w:val="Normal"/>
              <w:widowControl w:val="false"/>
              <w:spacing w:before="20" w:after="40"/>
              <w:contextualSpacing w:val="false"/>
              <w:rPr/>
            </w:pPr>
            <w:r>
              <w:rPr>
                <w:b/>
              </w:rPr>
              <w:t>683000 Россия, г. Петропавловск-Камчатский, ул. Набережная 10</w:t>
            </w:r>
          </w:p>
        </w:tc>
      </w:tr>
      <w:tr>
        <w:trPr/>
        <w:tc>
          <w:tcPr>
            <w:tcW w:w="3084" w:type="dxa"/>
            <w:gridSpan w:val="2"/>
            <w:tcBorders>
              <w:left w:val="single" w:sz="6" w:space="0" w:color="000000"/>
              <w:bottom w:val="single" w:sz="6" w:space="0" w:color="000000"/>
            </w:tcBorders>
          </w:tcPr>
          <w:p>
            <w:pPr>
              <w:pStyle w:val="Normal"/>
              <w:widowControl w:val="false"/>
              <w:spacing w:before="20" w:after="40"/>
              <w:contextualSpacing w:val="false"/>
              <w:rPr/>
            </w:pPr>
            <w:r>
              <w:rPr/>
              <w:t>Контактное лицо эмитента</w:t>
            </w:r>
          </w:p>
        </w:tc>
        <w:tc>
          <w:tcPr>
            <w:tcW w:w="4411" w:type="dxa"/>
            <w:tcBorders>
              <w:bottom w:val="single" w:sz="6" w:space="0" w:color="000000"/>
              <w:right w:val="single" w:sz="6" w:space="0" w:color="000000"/>
            </w:tcBorders>
          </w:tcPr>
          <w:p>
            <w:pPr>
              <w:pStyle w:val="Normal"/>
              <w:widowControl w:val="false"/>
              <w:spacing w:before="20" w:after="40"/>
              <w:contextualSpacing w:val="false"/>
              <w:rPr/>
            </w:pPr>
            <w:r>
              <w:rPr>
                <w:b/>
              </w:rPr>
              <w:t xml:space="preserve">Живодуева Кристина Сергеевна, </w:t>
            </w:r>
            <w:r>
              <w:rPr/>
              <w:t>Начальник Управления корпоративной работы и имущественн</w:t>
            </w:r>
            <w:r>
              <w:rPr>
                <w:shd w:fill="auto" w:val="clear"/>
              </w:rPr>
              <w:t>ых отношений</w:t>
            </w:r>
          </w:p>
          <w:p>
            <w:pPr>
              <w:pStyle w:val="Normal"/>
              <w:widowControl w:val="false"/>
              <w:rPr>
                <w:highlight w:val="none"/>
                <w:shd w:fill="auto" w:val="clear"/>
              </w:rPr>
            </w:pPr>
            <w:r>
              <w:rPr>
                <w:shd w:fill="auto" w:val="clear"/>
              </w:rPr>
              <w:t>Телефон:</w:t>
            </w:r>
            <w:r>
              <w:rPr>
                <w:b/>
                <w:shd w:fill="auto" w:val="clear"/>
              </w:rPr>
              <w:t xml:space="preserve"> 8 (4152) 21-66-20</w:t>
            </w:r>
          </w:p>
          <w:p>
            <w:pPr>
              <w:pStyle w:val="Normal"/>
              <w:widowControl w:val="false"/>
              <w:spacing w:before="20" w:after="40"/>
              <w:contextualSpacing w:val="false"/>
              <w:rPr>
                <w:highlight w:val="none"/>
                <w:shd w:fill="auto" w:val="clear"/>
              </w:rPr>
            </w:pPr>
            <w:r>
              <w:rPr>
                <w:shd w:fill="auto" w:val="clear"/>
              </w:rPr>
              <w:t>Адрес электронной почты:</w:t>
            </w:r>
            <w:r>
              <w:rPr>
                <w:b/>
                <w:shd w:fill="auto" w:val="clear"/>
              </w:rPr>
              <w:t xml:space="preserve"> jivoduevaks@rushydro.ru</w:t>
            </w:r>
          </w:p>
        </w:tc>
        <w:tc>
          <w:tcPr>
            <w:tcW w:w="1757" w:type="dxa"/>
            <w:tcBorders/>
          </w:tcPr>
          <w:p>
            <w:pPr>
              <w:pStyle w:val="Normal"/>
              <w:widowControl w:val="false"/>
              <w:spacing w:before="0" w:after="0"/>
              <w:contextualSpacing w:val="false"/>
              <w:rPr/>
            </w:pPr>
            <w:r>
              <w:rPr/>
            </w:r>
          </w:p>
        </w:tc>
      </w:tr>
    </w:tbl>
    <w:p>
      <w:pPr>
        <w:pStyle w:val="Normal"/>
        <w:rPr/>
      </w:pPr>
      <w:r>
        <w:rPr/>
      </w:r>
    </w:p>
    <w:tbl>
      <w:tblPr>
        <w:tblW w:w="9231" w:type="dxa"/>
        <w:jc w:val="left"/>
        <w:tblInd w:w="243" w:type="dxa"/>
        <w:tblLayout w:type="fixed"/>
        <w:tblCellMar>
          <w:top w:w="0" w:type="dxa"/>
          <w:left w:w="72" w:type="dxa"/>
          <w:bottom w:w="0" w:type="dxa"/>
          <w:right w:w="72" w:type="dxa"/>
        </w:tblCellMar>
        <w:tblLook w:noVBand="1" w:val="04a0" w:noHBand="0" w:lastColumn="0" w:firstColumn="1" w:lastRow="0" w:firstRow="1"/>
      </w:tblPr>
      <w:tblGrid>
        <w:gridCol w:w="1876"/>
        <w:gridCol w:w="7354"/>
      </w:tblGrid>
      <w:tr>
        <w:trPr/>
        <w:tc>
          <w:tcPr>
            <w:tcW w:w="1876" w:type="dxa"/>
            <w:tcBorders>
              <w:top w:val="single" w:sz="6" w:space="0" w:color="000000"/>
              <w:left w:val="single" w:sz="6" w:space="0" w:color="000000"/>
              <w:bottom w:val="single" w:sz="6" w:space="0" w:color="000000"/>
            </w:tcBorders>
          </w:tcPr>
          <w:p>
            <w:pPr>
              <w:pStyle w:val="Normal"/>
              <w:widowControl w:val="false"/>
              <w:spacing w:before="20" w:after="40"/>
              <w:contextualSpacing w:val="false"/>
              <w:rPr/>
            </w:pPr>
            <w:r>
              <w:rPr/>
              <w:t>Адрес страницы в сети Интернет</w:t>
            </w:r>
          </w:p>
        </w:tc>
        <w:tc>
          <w:tcPr>
            <w:tcW w:w="7354" w:type="dxa"/>
            <w:tcBorders>
              <w:top w:val="single" w:sz="6" w:space="0" w:color="000000"/>
              <w:bottom w:val="single" w:sz="6" w:space="0" w:color="000000"/>
              <w:right w:val="single" w:sz="6" w:space="0" w:color="000000"/>
            </w:tcBorders>
          </w:tcPr>
          <w:p>
            <w:pPr>
              <w:pStyle w:val="Normal"/>
              <w:widowControl w:val="false"/>
              <w:spacing w:before="20" w:after="40"/>
              <w:contextualSpacing w:val="false"/>
              <w:rPr/>
            </w:pPr>
            <w:r>
              <w:rPr/>
              <w:t>kamenergo.ru/invest/raskrytie-informatsii/ezhekvartalnye-otchety/;    http://www.e-disclosure.ru/portal/company.aspx?id=1409</w:t>
            </w:r>
          </w:p>
        </w:tc>
      </w:tr>
    </w:tbl>
    <w:p>
      <w:pPr>
        <w:pStyle w:val="Normal"/>
        <w:rPr/>
      </w:pPr>
      <w:r>
        <w:rPr/>
      </w:r>
    </w:p>
    <w:tbl>
      <w:tblPr>
        <w:tblW w:w="9231" w:type="dxa"/>
        <w:jc w:val="left"/>
        <w:tblInd w:w="243" w:type="dxa"/>
        <w:tblLayout w:type="fixed"/>
        <w:tblCellMar>
          <w:top w:w="0" w:type="dxa"/>
          <w:left w:w="72" w:type="dxa"/>
          <w:bottom w:w="0" w:type="dxa"/>
          <w:right w:w="72" w:type="dxa"/>
        </w:tblCellMar>
        <w:tblLook w:noVBand="1" w:val="04a0" w:noHBand="0" w:lastColumn="0" w:firstColumn="1" w:lastRow="0" w:firstRow="1"/>
      </w:tblPr>
      <w:tblGrid>
        <w:gridCol w:w="5560"/>
        <w:gridCol w:w="3670"/>
      </w:tblGrid>
      <w:tr>
        <w:trPr/>
        <w:tc>
          <w:tcPr>
            <w:tcW w:w="5560" w:type="dxa"/>
            <w:tcBorders>
              <w:top w:val="single" w:sz="6" w:space="0" w:color="000000"/>
              <w:left w:val="single" w:sz="6" w:space="0" w:color="000000"/>
              <w:bottom w:val="single" w:sz="6" w:space="0" w:color="000000"/>
            </w:tcBorders>
          </w:tcPr>
          <w:p>
            <w:pPr>
              <w:pStyle w:val="Normal"/>
              <w:widowControl w:val="false"/>
              <w:spacing w:before="120" w:after="40"/>
              <w:contextualSpacing w:val="false"/>
              <w:rPr/>
            </w:pPr>
            <w:r>
              <w:rPr/>
            </w:r>
          </w:p>
          <w:p>
            <w:pPr>
              <w:pStyle w:val="Normal"/>
              <w:widowControl w:val="false"/>
              <w:spacing w:before="200" w:after="40"/>
              <w:contextualSpacing w:val="false"/>
              <w:rPr/>
            </w:pPr>
            <w:r>
              <w:rPr/>
              <w:t xml:space="preserve">Генеральный директор ПАО </w:t>
            </w:r>
            <w:r>
              <w:rPr>
                <w:rFonts w:eastAsia="0" w:cs="0"/>
                <w:color w:val="000000"/>
                <w:kern w:val="0"/>
                <w:sz w:val="20"/>
                <w:szCs w:val="24"/>
                <w:lang w:val="ru-RU" w:eastAsia="zh-CN" w:bidi="hi-IN"/>
              </w:rPr>
              <w:t>«Камчатскэнерго»</w:t>
            </w:r>
          </w:p>
          <w:p>
            <w:pPr>
              <w:pStyle w:val="Normal"/>
              <w:widowControl w:val="false"/>
              <w:spacing w:before="20" w:after="40"/>
              <w:contextualSpacing w:val="false"/>
              <w:rPr>
                <w:highlight w:val="none"/>
                <w:shd w:fill="auto" w:val="clear"/>
              </w:rPr>
            </w:pPr>
            <w:r>
              <w:rPr>
                <w:shd w:fill="auto" w:val="clear"/>
              </w:rPr>
              <w:t>Дата: 30.04.2026</w:t>
            </w:r>
          </w:p>
        </w:tc>
        <w:tc>
          <w:tcPr>
            <w:tcW w:w="3670" w:type="dxa"/>
            <w:tcBorders>
              <w:top w:val="single" w:sz="6" w:space="0" w:color="000000"/>
              <w:bottom w:val="single" w:sz="6" w:space="0" w:color="000000"/>
              <w:right w:val="single" w:sz="6" w:space="0" w:color="000000"/>
            </w:tcBorders>
          </w:tcPr>
          <w:p>
            <w:pPr>
              <w:pStyle w:val="Normal"/>
              <w:widowControl w:val="false"/>
              <w:spacing w:before="20" w:after="40"/>
              <w:contextualSpacing w:val="false"/>
              <w:rPr/>
            </w:pPr>
            <w:r>
              <w:rPr/>
            </w:r>
          </w:p>
          <w:p>
            <w:pPr>
              <w:pStyle w:val="Normal"/>
              <w:widowControl w:val="false"/>
              <w:spacing w:before="200" w:after="200"/>
              <w:contextualSpacing w:val="false"/>
              <w:rPr/>
            </w:pPr>
            <w:r>
              <w:rPr/>
              <w:br/>
              <w:t>____________ А.Н. Новиков</w:t>
              <w:br/>
              <w:t>        подпись</w:t>
            </w:r>
          </w:p>
        </w:tc>
      </w:tr>
    </w:tbl>
    <w:p>
      <w:pPr>
        <w:pStyle w:val="Normal"/>
        <w:rPr/>
      </w:pPr>
      <w:r>
        <w:rPr/>
      </w:r>
    </w:p>
    <w:p>
      <w:pPr>
        <w:pStyle w:val="Normal"/>
        <w:rPr/>
      </w:pPr>
      <w:r>
        <w:rPr/>
      </w:r>
    </w:p>
    <w:p>
      <w:pPr>
        <w:pStyle w:val="Normal"/>
        <w:spacing w:before="360" w:after="120"/>
        <w:contextualSpacing w:val="false"/>
        <w:jc w:val="center"/>
        <w:rPr>
          <w:b/>
          <w:sz w:val="28"/>
        </w:rPr>
      </w:pPr>
      <w:r>
        <w:rPr>
          <w:b/>
          <w:sz w:val="28"/>
        </w:rPr>
      </w:r>
      <w:r>
        <w:br w:type="page"/>
      </w:r>
    </w:p>
    <w:p>
      <w:pPr>
        <w:pStyle w:val="Normal"/>
        <w:spacing w:before="360" w:after="120"/>
        <w:contextualSpacing w:val="false"/>
        <w:jc w:val="center"/>
        <w:rPr/>
      </w:pPr>
      <w:r>
        <w:rPr>
          <w:b/>
          <w:sz w:val="28"/>
        </w:rPr>
        <w:t>Оглавление</w:t>
      </w:r>
    </w:p>
    <w:tbl>
      <w:tblPr>
        <w:tblW w:w="9287" w:type="dxa"/>
        <w:jc w:val="left"/>
        <w:tblInd w:w="108" w:type="dxa"/>
        <w:tblLayout w:type="fixed"/>
        <w:tblCellMar>
          <w:top w:w="0" w:type="dxa"/>
          <w:left w:w="108" w:type="dxa"/>
          <w:bottom w:w="0" w:type="dxa"/>
          <w:right w:w="108" w:type="dxa"/>
        </w:tblCellMar>
        <w:tblLook w:noVBand="1" w:val="04a0" w:noHBand="0" w:lastColumn="0" w:firstColumn="1" w:lastRow="0" w:firstRow="1"/>
      </w:tblPr>
      <w:tblGrid>
        <w:gridCol w:w="780"/>
        <w:gridCol w:w="7890"/>
        <w:gridCol w:w="617"/>
      </w:tblGrid>
      <w:tr>
        <w:trPr/>
        <w:tc>
          <w:tcPr>
            <w:tcW w:w="8670" w:type="dxa"/>
            <w:gridSpan w:val="2"/>
            <w:tcBorders/>
          </w:tcPr>
          <w:p>
            <w:pPr>
              <w:pStyle w:val="Normal"/>
              <w:widowControl w:val="false"/>
              <w:spacing w:before="20" w:after="40"/>
              <w:contextualSpacing w:val="false"/>
              <w:rPr>
                <w:highlight w:val="none"/>
                <w:shd w:fill="auto" w:val="clear"/>
              </w:rPr>
            </w:pPr>
            <w:r>
              <w:rPr>
                <w:sz w:val="22"/>
                <w:shd w:fill="auto" w:val="clear"/>
              </w:rPr>
              <w:t>Раздел 1. Управленческий отчет эмитента</w:t>
            </w:r>
          </w:p>
        </w:tc>
        <w:tc>
          <w:tcPr>
            <w:tcW w:w="617" w:type="dxa"/>
            <w:tcBorders/>
          </w:tcPr>
          <w:p>
            <w:pPr>
              <w:pStyle w:val="Normal"/>
              <w:widowControl w:val="false"/>
              <w:spacing w:before="0" w:after="0"/>
              <w:contextualSpacing w:val="false"/>
              <w:jc w:val="right"/>
              <w:rPr/>
            </w:pPr>
            <w:r>
              <w:rPr/>
            </w:r>
          </w:p>
        </w:tc>
      </w:tr>
      <w:tr>
        <w:trPr/>
        <w:tc>
          <w:tcPr>
            <w:tcW w:w="780" w:type="dxa"/>
            <w:tcBorders/>
          </w:tcPr>
          <w:p>
            <w:pPr>
              <w:pStyle w:val="Normal"/>
              <w:widowControl w:val="false"/>
              <w:spacing w:before="20" w:after="40"/>
              <w:contextualSpacing w:val="false"/>
              <w:rPr>
                <w:highlight w:val="none"/>
                <w:shd w:fill="auto" w:val="clear"/>
              </w:rPr>
            </w:pPr>
            <w:r>
              <w:rPr>
                <w:sz w:val="22"/>
                <w:shd w:fill="auto" w:val="clear"/>
              </w:rPr>
              <w:t>1.1.</w:t>
            </w:r>
          </w:p>
        </w:tc>
        <w:tc>
          <w:tcPr>
            <w:tcW w:w="7890" w:type="dxa"/>
            <w:tcBorders/>
          </w:tcPr>
          <w:p>
            <w:pPr>
              <w:pStyle w:val="Normal"/>
              <w:widowControl w:val="false"/>
              <w:spacing w:before="20" w:after="40"/>
              <w:contextualSpacing w:val="false"/>
              <w:rPr>
                <w:highlight w:val="none"/>
                <w:shd w:fill="auto" w:val="clear"/>
              </w:rPr>
            </w:pPr>
            <w:r>
              <w:rPr>
                <w:sz w:val="22"/>
                <w:shd w:fill="auto" w:val="clear"/>
              </w:rPr>
              <w:t>Общие сведения об эмитенте и его деятельности…………………………………………………………….....….….</w:t>
            </w:r>
          </w:p>
        </w:tc>
        <w:tc>
          <w:tcPr>
            <w:tcW w:w="617" w:type="dxa"/>
            <w:tcBorders/>
          </w:tcPr>
          <w:p>
            <w:pPr>
              <w:pStyle w:val="Normal"/>
              <w:widowControl w:val="false"/>
              <w:spacing w:before="20" w:after="40"/>
              <w:contextualSpacing w:val="false"/>
              <w:jc w:val="right"/>
              <w:rPr/>
            </w:pPr>
            <w:r>
              <w:rPr>
                <w:u w:val="single"/>
              </w:rPr>
              <w:t>5</w:t>
            </w:r>
          </w:p>
        </w:tc>
      </w:tr>
      <w:tr>
        <w:trPr/>
        <w:tc>
          <w:tcPr>
            <w:tcW w:w="780" w:type="dxa"/>
            <w:tcBorders/>
          </w:tcPr>
          <w:p>
            <w:pPr>
              <w:pStyle w:val="Normal"/>
              <w:widowControl w:val="false"/>
              <w:spacing w:before="20" w:after="40"/>
              <w:contextualSpacing w:val="false"/>
              <w:rPr>
                <w:highlight w:val="none"/>
                <w:shd w:fill="auto" w:val="clear"/>
              </w:rPr>
            </w:pPr>
            <w:r>
              <w:rPr>
                <w:sz w:val="22"/>
                <w:shd w:fill="auto" w:val="clear"/>
              </w:rPr>
              <w:t>1.2.</w:t>
            </w:r>
          </w:p>
        </w:tc>
        <w:tc>
          <w:tcPr>
            <w:tcW w:w="7890" w:type="dxa"/>
            <w:tcBorders/>
          </w:tcPr>
          <w:p>
            <w:pPr>
              <w:pStyle w:val="Normal"/>
              <w:widowControl w:val="false"/>
              <w:spacing w:before="20" w:after="40"/>
              <w:contextualSpacing w:val="false"/>
              <w:rPr>
                <w:highlight w:val="none"/>
                <w:shd w:fill="auto" w:val="clear"/>
              </w:rPr>
            </w:pPr>
            <w:r>
              <w:rPr>
                <w:sz w:val="22"/>
                <w:shd w:fill="auto" w:val="clear"/>
              </w:rPr>
              <w:t>Сведения о положении эмитента в отрасли…………………….……...</w:t>
            </w:r>
          </w:p>
        </w:tc>
        <w:tc>
          <w:tcPr>
            <w:tcW w:w="617" w:type="dxa"/>
            <w:tcBorders/>
          </w:tcPr>
          <w:p>
            <w:pPr>
              <w:pStyle w:val="Normal"/>
              <w:widowControl w:val="false"/>
              <w:spacing w:before="20" w:after="40"/>
              <w:contextualSpacing w:val="false"/>
              <w:jc w:val="right"/>
              <w:rPr/>
            </w:pPr>
            <w:r>
              <w:rPr>
                <w:u w:val="single"/>
              </w:rPr>
              <w:t>7</w:t>
            </w:r>
          </w:p>
        </w:tc>
      </w:tr>
      <w:tr>
        <w:trPr/>
        <w:tc>
          <w:tcPr>
            <w:tcW w:w="780" w:type="dxa"/>
            <w:tcBorders/>
          </w:tcPr>
          <w:p>
            <w:pPr>
              <w:pStyle w:val="Normal"/>
              <w:widowControl w:val="false"/>
              <w:spacing w:before="20" w:after="40"/>
              <w:contextualSpacing w:val="false"/>
              <w:rPr>
                <w:highlight w:val="none"/>
                <w:shd w:fill="auto" w:val="clear"/>
              </w:rPr>
            </w:pPr>
            <w:r>
              <w:rPr>
                <w:sz w:val="22"/>
                <w:shd w:fill="auto" w:val="clear"/>
              </w:rPr>
              <w:t>1.3.</w:t>
            </w:r>
          </w:p>
        </w:tc>
        <w:tc>
          <w:tcPr>
            <w:tcW w:w="7890" w:type="dxa"/>
            <w:tcBorders/>
          </w:tcPr>
          <w:p>
            <w:pPr>
              <w:pStyle w:val="Normal"/>
              <w:widowControl w:val="false"/>
              <w:spacing w:before="20" w:after="40"/>
              <w:contextualSpacing w:val="false"/>
              <w:rPr>
                <w:highlight w:val="none"/>
                <w:shd w:fill="auto" w:val="clear"/>
              </w:rPr>
            </w:pPr>
            <w:r>
              <w:rPr>
                <w:sz w:val="22"/>
                <w:shd w:fill="auto" w:val="clear"/>
              </w:rPr>
              <w:t>Основные операционные показатели, характеризующие деятельность эмитента…………………………………………...…………..</w:t>
            </w:r>
          </w:p>
        </w:tc>
        <w:tc>
          <w:tcPr>
            <w:tcW w:w="617" w:type="dxa"/>
            <w:tcBorders/>
          </w:tcPr>
          <w:p>
            <w:pPr>
              <w:pStyle w:val="Normal"/>
              <w:widowControl w:val="false"/>
              <w:spacing w:before="20" w:after="40"/>
              <w:contextualSpacing w:val="false"/>
              <w:jc w:val="right"/>
              <w:rPr>
                <w:u w:val="single"/>
              </w:rPr>
            </w:pPr>
            <w:r>
              <w:rPr>
                <w:u w:val="single"/>
              </w:rPr>
            </w:r>
          </w:p>
          <w:p>
            <w:pPr>
              <w:pStyle w:val="Normal"/>
              <w:widowControl w:val="false"/>
              <w:spacing w:before="20" w:after="40"/>
              <w:contextualSpacing w:val="false"/>
              <w:jc w:val="right"/>
              <w:rPr/>
            </w:pPr>
            <w:r>
              <w:rPr>
                <w:u w:val="single"/>
              </w:rPr>
              <w:t>12</w:t>
            </w:r>
          </w:p>
        </w:tc>
      </w:tr>
      <w:tr>
        <w:trPr/>
        <w:tc>
          <w:tcPr>
            <w:tcW w:w="780" w:type="dxa"/>
            <w:tcBorders/>
          </w:tcPr>
          <w:p>
            <w:pPr>
              <w:pStyle w:val="Normal"/>
              <w:widowControl w:val="false"/>
              <w:spacing w:before="20" w:after="40"/>
              <w:contextualSpacing w:val="false"/>
              <w:rPr>
                <w:highlight w:val="none"/>
                <w:shd w:fill="auto" w:val="clear"/>
              </w:rPr>
            </w:pPr>
            <w:r>
              <w:rPr>
                <w:sz w:val="22"/>
                <w:shd w:fill="auto" w:val="clear"/>
              </w:rPr>
              <w:t>1.4.</w:t>
            </w:r>
          </w:p>
        </w:tc>
        <w:tc>
          <w:tcPr>
            <w:tcW w:w="7890" w:type="dxa"/>
            <w:tcBorders/>
          </w:tcPr>
          <w:p>
            <w:pPr>
              <w:pStyle w:val="Normal"/>
              <w:widowControl w:val="false"/>
              <w:spacing w:before="20" w:after="40"/>
              <w:contextualSpacing w:val="false"/>
              <w:rPr>
                <w:highlight w:val="none"/>
                <w:shd w:fill="auto" w:val="clear"/>
              </w:rPr>
            </w:pPr>
            <w:r>
              <w:rPr>
                <w:sz w:val="22"/>
                <w:shd w:fill="auto" w:val="clear"/>
              </w:rPr>
              <w:t>Основные финансовые показатели эмитента………………………….</w:t>
            </w:r>
          </w:p>
        </w:tc>
        <w:tc>
          <w:tcPr>
            <w:tcW w:w="617" w:type="dxa"/>
            <w:tcBorders/>
          </w:tcPr>
          <w:p>
            <w:pPr>
              <w:pStyle w:val="Normal"/>
              <w:widowControl w:val="false"/>
              <w:spacing w:before="20" w:after="40"/>
              <w:contextualSpacing w:val="false"/>
              <w:jc w:val="right"/>
              <w:rPr/>
            </w:pPr>
            <w:r>
              <w:rPr>
                <w:u w:val="single"/>
              </w:rPr>
              <w:t>14</w:t>
            </w:r>
          </w:p>
        </w:tc>
      </w:tr>
      <w:tr>
        <w:trPr/>
        <w:tc>
          <w:tcPr>
            <w:tcW w:w="780" w:type="dxa"/>
            <w:tcBorders/>
          </w:tcPr>
          <w:p>
            <w:pPr>
              <w:pStyle w:val="Normal"/>
              <w:widowControl w:val="false"/>
              <w:spacing w:before="20" w:after="40"/>
              <w:contextualSpacing w:val="false"/>
              <w:rPr>
                <w:highlight w:val="none"/>
                <w:shd w:fill="auto" w:val="clear"/>
              </w:rPr>
            </w:pPr>
            <w:r>
              <w:rPr>
                <w:sz w:val="22"/>
                <w:shd w:fill="auto" w:val="clear"/>
              </w:rPr>
              <w:t>1.5.</w:t>
            </w:r>
          </w:p>
        </w:tc>
        <w:tc>
          <w:tcPr>
            <w:tcW w:w="7890" w:type="dxa"/>
            <w:tcBorders/>
          </w:tcPr>
          <w:p>
            <w:pPr>
              <w:pStyle w:val="Normal"/>
              <w:widowControl w:val="false"/>
              <w:spacing w:before="20" w:after="40"/>
              <w:contextualSpacing w:val="false"/>
              <w:rPr>
                <w:highlight w:val="none"/>
                <w:shd w:fill="auto" w:val="clear"/>
              </w:rPr>
            </w:pPr>
            <w:r>
              <w:rPr>
                <w:sz w:val="22"/>
                <w:shd w:fill="auto" w:val="clear"/>
              </w:rPr>
              <w:t>Сведения об основных поставщиках, имеющих для эмитента существенное значение……..…………………………………………….…..</w:t>
            </w:r>
          </w:p>
        </w:tc>
        <w:tc>
          <w:tcPr>
            <w:tcW w:w="617" w:type="dxa"/>
            <w:tcBorders/>
          </w:tcPr>
          <w:p>
            <w:pPr>
              <w:pStyle w:val="Normal"/>
              <w:widowControl w:val="false"/>
              <w:spacing w:before="20" w:after="40"/>
              <w:contextualSpacing w:val="false"/>
              <w:jc w:val="right"/>
              <w:rPr>
                <w:u w:val="single"/>
              </w:rPr>
            </w:pPr>
            <w:r>
              <w:rPr>
                <w:u w:val="single"/>
              </w:rPr>
            </w:r>
          </w:p>
          <w:p>
            <w:pPr>
              <w:pStyle w:val="Normal"/>
              <w:widowControl w:val="false"/>
              <w:spacing w:before="20" w:after="40"/>
              <w:contextualSpacing w:val="false"/>
              <w:jc w:val="right"/>
              <w:rPr/>
            </w:pPr>
            <w:r>
              <w:rPr>
                <w:u w:val="single"/>
              </w:rPr>
              <w:t>16</w:t>
            </w:r>
          </w:p>
        </w:tc>
      </w:tr>
      <w:tr>
        <w:trPr/>
        <w:tc>
          <w:tcPr>
            <w:tcW w:w="780" w:type="dxa"/>
            <w:tcBorders/>
          </w:tcPr>
          <w:p>
            <w:pPr>
              <w:pStyle w:val="Normal"/>
              <w:widowControl w:val="false"/>
              <w:spacing w:before="20" w:after="40"/>
              <w:contextualSpacing w:val="false"/>
              <w:rPr>
                <w:highlight w:val="none"/>
                <w:shd w:fill="auto" w:val="clear"/>
              </w:rPr>
            </w:pPr>
            <w:r>
              <w:rPr>
                <w:sz w:val="22"/>
                <w:shd w:fill="auto" w:val="clear"/>
              </w:rPr>
              <w:t>1.6.</w:t>
            </w:r>
          </w:p>
        </w:tc>
        <w:tc>
          <w:tcPr>
            <w:tcW w:w="7890" w:type="dxa"/>
            <w:tcBorders/>
          </w:tcPr>
          <w:p>
            <w:pPr>
              <w:pStyle w:val="Normal"/>
              <w:widowControl w:val="false"/>
              <w:spacing w:before="20" w:after="40"/>
              <w:contextualSpacing w:val="false"/>
              <w:jc w:val="both"/>
              <w:rPr>
                <w:highlight w:val="none"/>
                <w:shd w:fill="auto" w:val="clear"/>
              </w:rPr>
            </w:pPr>
            <w:r>
              <w:rPr>
                <w:sz w:val="22"/>
                <w:shd w:fill="auto" w:val="clear"/>
              </w:rPr>
              <w:t>Сведения об основных дебиторах, имеющих для эмитента существенное Значение</w:t>
            </w:r>
          </w:p>
        </w:tc>
        <w:tc>
          <w:tcPr>
            <w:tcW w:w="617" w:type="dxa"/>
            <w:tcBorders/>
          </w:tcPr>
          <w:p>
            <w:pPr>
              <w:pStyle w:val="Normal"/>
              <w:widowControl w:val="false"/>
              <w:spacing w:before="20" w:after="40"/>
              <w:contextualSpacing w:val="false"/>
              <w:jc w:val="right"/>
              <w:rPr>
                <w:u w:val="single"/>
              </w:rPr>
            </w:pPr>
            <w:r>
              <w:rPr>
                <w:u w:val="single"/>
              </w:rPr>
            </w:r>
          </w:p>
          <w:p>
            <w:pPr>
              <w:pStyle w:val="Normal"/>
              <w:widowControl w:val="false"/>
              <w:spacing w:before="20" w:after="40"/>
              <w:contextualSpacing w:val="false"/>
              <w:jc w:val="right"/>
              <w:rPr/>
            </w:pPr>
            <w:r>
              <w:rPr>
                <w:u w:val="single"/>
              </w:rPr>
              <w:t>17</w:t>
            </w:r>
          </w:p>
        </w:tc>
      </w:tr>
      <w:tr>
        <w:trPr/>
        <w:tc>
          <w:tcPr>
            <w:tcW w:w="780" w:type="dxa"/>
            <w:tcBorders/>
          </w:tcPr>
          <w:p>
            <w:pPr>
              <w:pStyle w:val="Normal"/>
              <w:widowControl w:val="false"/>
              <w:spacing w:before="20" w:after="40"/>
              <w:contextualSpacing w:val="false"/>
              <w:rPr>
                <w:highlight w:val="none"/>
                <w:shd w:fill="auto" w:val="clear"/>
              </w:rPr>
            </w:pPr>
            <w:r>
              <w:rPr>
                <w:sz w:val="22"/>
                <w:shd w:fill="auto" w:val="clear"/>
              </w:rPr>
              <w:t>1.7.</w:t>
            </w:r>
          </w:p>
        </w:tc>
        <w:tc>
          <w:tcPr>
            <w:tcW w:w="7890" w:type="dxa"/>
            <w:tcBorders/>
          </w:tcPr>
          <w:p>
            <w:pPr>
              <w:pStyle w:val="Normal"/>
              <w:widowControl w:val="false"/>
              <w:spacing w:before="20" w:after="40"/>
              <w:contextualSpacing w:val="false"/>
              <w:rPr>
                <w:highlight w:val="none"/>
                <w:shd w:fill="auto" w:val="clear"/>
              </w:rPr>
            </w:pPr>
            <w:r>
              <w:rPr>
                <w:sz w:val="22"/>
                <w:shd w:fill="auto" w:val="clear"/>
              </w:rPr>
              <w:t>Сведения об обязательствах эмитента  …………………………..….…</w:t>
            </w:r>
          </w:p>
        </w:tc>
        <w:tc>
          <w:tcPr>
            <w:tcW w:w="617" w:type="dxa"/>
            <w:tcBorders/>
          </w:tcPr>
          <w:p>
            <w:pPr>
              <w:pStyle w:val="Normal"/>
              <w:widowControl w:val="false"/>
              <w:spacing w:before="20" w:after="40"/>
              <w:contextualSpacing w:val="false"/>
              <w:jc w:val="right"/>
              <w:rPr/>
            </w:pPr>
            <w:r>
              <w:rPr>
                <w:u w:val="single"/>
              </w:rPr>
              <w:t>17</w:t>
            </w:r>
          </w:p>
        </w:tc>
      </w:tr>
      <w:tr>
        <w:trPr/>
        <w:tc>
          <w:tcPr>
            <w:tcW w:w="780" w:type="dxa"/>
            <w:tcBorders/>
          </w:tcPr>
          <w:p>
            <w:pPr>
              <w:pStyle w:val="Normal"/>
              <w:widowControl w:val="false"/>
              <w:spacing w:before="20" w:after="40"/>
              <w:contextualSpacing w:val="false"/>
              <w:rPr>
                <w:highlight w:val="none"/>
                <w:shd w:fill="auto" w:val="clear"/>
              </w:rPr>
            </w:pPr>
            <w:r>
              <w:rPr>
                <w:sz w:val="22"/>
                <w:shd w:fill="auto" w:val="clear"/>
              </w:rPr>
              <w:t>1.8.</w:t>
            </w:r>
          </w:p>
        </w:tc>
        <w:tc>
          <w:tcPr>
            <w:tcW w:w="7890" w:type="dxa"/>
            <w:tcBorders/>
          </w:tcPr>
          <w:p>
            <w:pPr>
              <w:pStyle w:val="Normal"/>
              <w:widowControl w:val="false"/>
              <w:spacing w:before="20" w:after="40"/>
              <w:contextualSpacing w:val="false"/>
              <w:rPr>
                <w:highlight w:val="none"/>
                <w:shd w:fill="auto" w:val="clear"/>
              </w:rPr>
            </w:pPr>
            <w:r>
              <w:rPr>
                <w:sz w:val="22"/>
                <w:shd w:fill="auto" w:val="clear"/>
              </w:rPr>
              <w:t>Сведения о перспективах развития эмитента……………… …….….</w:t>
            </w:r>
          </w:p>
        </w:tc>
        <w:tc>
          <w:tcPr>
            <w:tcW w:w="617" w:type="dxa"/>
            <w:tcBorders/>
          </w:tcPr>
          <w:p>
            <w:pPr>
              <w:pStyle w:val="Normal"/>
              <w:widowControl w:val="false"/>
              <w:spacing w:before="20" w:after="40"/>
              <w:contextualSpacing w:val="false"/>
              <w:jc w:val="right"/>
              <w:rPr/>
            </w:pPr>
            <w:r>
              <w:rPr>
                <w:u w:val="single"/>
              </w:rPr>
              <w:t>20</w:t>
            </w:r>
          </w:p>
        </w:tc>
      </w:tr>
      <w:tr>
        <w:trPr/>
        <w:tc>
          <w:tcPr>
            <w:tcW w:w="780" w:type="dxa"/>
            <w:tcBorders/>
          </w:tcPr>
          <w:p>
            <w:pPr>
              <w:pStyle w:val="Normal"/>
              <w:widowControl w:val="false"/>
              <w:spacing w:before="20" w:after="40"/>
              <w:contextualSpacing w:val="false"/>
              <w:rPr>
                <w:highlight w:val="none"/>
                <w:shd w:fill="auto" w:val="clear"/>
              </w:rPr>
            </w:pPr>
            <w:r>
              <w:rPr>
                <w:sz w:val="22"/>
                <w:shd w:fill="auto" w:val="clear"/>
              </w:rPr>
              <w:t>1.9.</w:t>
            </w:r>
          </w:p>
        </w:tc>
        <w:tc>
          <w:tcPr>
            <w:tcW w:w="7890" w:type="dxa"/>
            <w:tcBorders/>
          </w:tcPr>
          <w:p>
            <w:pPr>
              <w:pStyle w:val="Normal"/>
              <w:widowControl w:val="false"/>
              <w:spacing w:before="20" w:after="40"/>
              <w:contextualSpacing w:val="false"/>
              <w:rPr>
                <w:highlight w:val="none"/>
                <w:shd w:fill="auto" w:val="clear"/>
              </w:rPr>
            </w:pPr>
            <w:r>
              <w:rPr>
                <w:sz w:val="22"/>
                <w:shd w:fill="auto" w:val="clear"/>
              </w:rPr>
              <w:t>Сведения о рисках, связанных с деятельностью эмитента… ...…</w:t>
            </w:r>
          </w:p>
        </w:tc>
        <w:tc>
          <w:tcPr>
            <w:tcW w:w="617" w:type="dxa"/>
            <w:tcBorders/>
          </w:tcPr>
          <w:p>
            <w:pPr>
              <w:pStyle w:val="Normal"/>
              <w:widowControl w:val="false"/>
              <w:spacing w:before="20" w:after="40"/>
              <w:contextualSpacing w:val="false"/>
              <w:jc w:val="right"/>
              <w:rPr/>
            </w:pPr>
            <w:r>
              <w:rPr>
                <w:u w:val="single"/>
              </w:rPr>
              <w:t>21</w:t>
            </w:r>
          </w:p>
        </w:tc>
      </w:tr>
      <w:tr>
        <w:trPr/>
        <w:tc>
          <w:tcPr>
            <w:tcW w:w="8670" w:type="dxa"/>
            <w:gridSpan w:val="2"/>
            <w:tcBorders/>
          </w:tcPr>
          <w:p>
            <w:pPr>
              <w:pStyle w:val="Normal"/>
              <w:widowControl w:val="false"/>
              <w:spacing w:before="20" w:after="40"/>
              <w:contextualSpacing w:val="false"/>
              <w:rPr>
                <w:sz w:val="22"/>
                <w:highlight w:val="none"/>
                <w:shd w:fill="auto" w:val="clear"/>
              </w:rPr>
            </w:pPr>
            <w:r>
              <w:rPr>
                <w:sz w:val="22"/>
                <w:shd w:fill="auto" w:val="clear"/>
              </w:rPr>
            </w:r>
          </w:p>
          <w:p>
            <w:pPr>
              <w:pStyle w:val="Normal"/>
              <w:widowControl w:val="false"/>
              <w:spacing w:before="20" w:after="40"/>
              <w:contextualSpacing w:val="false"/>
              <w:rPr>
                <w:highlight w:val="none"/>
                <w:shd w:fill="auto" w:val="clear"/>
              </w:rPr>
            </w:pPr>
            <w:r>
              <w:rPr>
                <w:sz w:val="22"/>
                <w:shd w:fill="auto" w:val="clear"/>
              </w:rPr>
              <w:t>Раздел 2. Сведения о лицах, входящих в состав органов управления эмитента, сведения об организации в эмитенте управления рисками, контроля за финансово-хозяйственной деятельностью и внутреннего контроля, внутреннего аудита, а также сведения о работниках эмитента</w:t>
            </w:r>
          </w:p>
        </w:tc>
        <w:tc>
          <w:tcPr>
            <w:tcW w:w="617" w:type="dxa"/>
            <w:tcBorders/>
          </w:tcPr>
          <w:p>
            <w:pPr>
              <w:pStyle w:val="Normal"/>
              <w:widowControl w:val="false"/>
              <w:spacing w:before="20" w:after="40"/>
              <w:contextualSpacing w:val="false"/>
              <w:jc w:val="right"/>
              <w:rPr>
                <w:u w:val="single"/>
              </w:rPr>
            </w:pPr>
            <w:r>
              <w:rPr>
                <w:u w:val="single"/>
              </w:rPr>
            </w:r>
          </w:p>
          <w:p>
            <w:pPr>
              <w:pStyle w:val="Normal"/>
              <w:widowControl w:val="false"/>
              <w:jc w:val="right"/>
              <w:rPr>
                <w:u w:val="single"/>
              </w:rPr>
            </w:pPr>
            <w:r>
              <w:rPr>
                <w:u w:val="single"/>
              </w:rPr>
            </w:r>
          </w:p>
          <w:p>
            <w:pPr>
              <w:pStyle w:val="Normal"/>
              <w:widowControl w:val="false"/>
              <w:jc w:val="right"/>
              <w:rPr>
                <w:u w:val="single"/>
              </w:rPr>
            </w:pPr>
            <w:r>
              <w:rPr>
                <w:u w:val="single"/>
              </w:rPr>
            </w:r>
          </w:p>
          <w:p>
            <w:pPr>
              <w:pStyle w:val="Normal"/>
              <w:widowControl w:val="false"/>
              <w:jc w:val="right"/>
              <w:rPr>
                <w:u w:val="single"/>
              </w:rPr>
            </w:pPr>
            <w:r>
              <w:rPr>
                <w:u w:val="single"/>
              </w:rPr>
            </w:r>
          </w:p>
          <w:p>
            <w:pPr>
              <w:pStyle w:val="Normal"/>
              <w:widowControl w:val="false"/>
              <w:spacing w:before="0" w:after="0"/>
              <w:contextualSpacing w:val="false"/>
              <w:jc w:val="right"/>
              <w:rPr>
                <w:u w:val="single"/>
              </w:rPr>
            </w:pPr>
            <w:r>
              <w:rPr>
                <w:u w:val="single"/>
              </w:rPr>
            </w:r>
          </w:p>
        </w:tc>
      </w:tr>
      <w:tr>
        <w:trPr/>
        <w:tc>
          <w:tcPr>
            <w:tcW w:w="780" w:type="dxa"/>
            <w:tcBorders/>
          </w:tcPr>
          <w:p>
            <w:pPr>
              <w:pStyle w:val="Normal"/>
              <w:widowControl w:val="false"/>
              <w:spacing w:before="20" w:after="40"/>
              <w:contextualSpacing w:val="false"/>
              <w:rPr>
                <w:highlight w:val="none"/>
                <w:shd w:fill="auto" w:val="clear"/>
              </w:rPr>
            </w:pPr>
            <w:r>
              <w:rPr>
                <w:sz w:val="22"/>
                <w:shd w:fill="auto" w:val="clear"/>
              </w:rPr>
              <w:t>2.1.</w:t>
            </w:r>
          </w:p>
        </w:tc>
        <w:tc>
          <w:tcPr>
            <w:tcW w:w="7890" w:type="dxa"/>
            <w:tcBorders/>
          </w:tcPr>
          <w:p>
            <w:pPr>
              <w:pStyle w:val="Normal"/>
              <w:widowControl w:val="false"/>
              <w:spacing w:before="20" w:after="40"/>
              <w:contextualSpacing w:val="false"/>
              <w:rPr>
                <w:highlight w:val="none"/>
                <w:shd w:fill="auto" w:val="clear"/>
              </w:rPr>
            </w:pPr>
            <w:r>
              <w:rPr>
                <w:sz w:val="22"/>
                <w:shd w:fill="auto" w:val="clear"/>
              </w:rPr>
              <w:t>Информация о лицах, входящих в состав органов управления эмитента………………………………………………………….…………...…...</w:t>
            </w:r>
          </w:p>
        </w:tc>
        <w:tc>
          <w:tcPr>
            <w:tcW w:w="617" w:type="dxa"/>
            <w:tcBorders/>
          </w:tcPr>
          <w:p>
            <w:pPr>
              <w:pStyle w:val="Normal"/>
              <w:widowControl w:val="false"/>
              <w:spacing w:before="20" w:after="40"/>
              <w:contextualSpacing w:val="false"/>
              <w:jc w:val="right"/>
              <w:rPr/>
            </w:pPr>
            <w:r>
              <w:rPr>
                <w:u w:val="single"/>
              </w:rPr>
              <w:t>27</w:t>
            </w:r>
          </w:p>
        </w:tc>
      </w:tr>
      <w:tr>
        <w:trPr/>
        <w:tc>
          <w:tcPr>
            <w:tcW w:w="780" w:type="dxa"/>
            <w:tcBorders/>
          </w:tcPr>
          <w:p>
            <w:pPr>
              <w:pStyle w:val="Normal"/>
              <w:widowControl w:val="false"/>
              <w:spacing w:before="20" w:after="40"/>
              <w:contextualSpacing w:val="false"/>
              <w:rPr>
                <w:highlight w:val="none"/>
                <w:shd w:fill="auto" w:val="clear"/>
              </w:rPr>
            </w:pPr>
            <w:r>
              <w:rPr>
                <w:sz w:val="22"/>
                <w:shd w:fill="auto" w:val="clear"/>
              </w:rPr>
              <w:t>2.2.</w:t>
            </w:r>
          </w:p>
        </w:tc>
        <w:tc>
          <w:tcPr>
            <w:tcW w:w="7890" w:type="dxa"/>
            <w:tcBorders/>
          </w:tcPr>
          <w:p>
            <w:pPr>
              <w:pStyle w:val="Normal"/>
              <w:widowControl w:val="false"/>
              <w:spacing w:before="20" w:after="40"/>
              <w:contextualSpacing w:val="false"/>
              <w:rPr>
                <w:highlight w:val="none"/>
                <w:shd w:fill="auto" w:val="clear"/>
              </w:rPr>
            </w:pPr>
            <w:r>
              <w:rPr>
                <w:sz w:val="22"/>
                <w:shd w:fill="auto" w:val="clear"/>
              </w:rPr>
              <w:t>Сведения о политике в области вознаграждения и (или) компенсации расходов, а также о размере вознаграждения и (или) компенсации расходов по каждому органу управления эмитента……………………………………………………..………………......</w:t>
            </w:r>
          </w:p>
        </w:tc>
        <w:tc>
          <w:tcPr>
            <w:tcW w:w="617" w:type="dxa"/>
            <w:tcBorders/>
          </w:tcPr>
          <w:p>
            <w:pPr>
              <w:pStyle w:val="Normal"/>
              <w:widowControl w:val="false"/>
              <w:spacing w:before="20" w:after="40"/>
              <w:contextualSpacing w:val="false"/>
              <w:jc w:val="right"/>
              <w:rPr>
                <w:u w:val="single"/>
              </w:rPr>
            </w:pPr>
            <w:r>
              <w:rPr>
                <w:u w:val="single"/>
              </w:rPr>
            </w:r>
          </w:p>
          <w:p>
            <w:pPr>
              <w:pStyle w:val="Normal"/>
              <w:widowControl w:val="false"/>
              <w:jc w:val="right"/>
              <w:rPr>
                <w:u w:val="single"/>
              </w:rPr>
            </w:pPr>
            <w:r>
              <w:rPr>
                <w:u w:val="single"/>
              </w:rPr>
            </w:r>
          </w:p>
          <w:p>
            <w:pPr>
              <w:pStyle w:val="Normal"/>
              <w:widowControl w:val="false"/>
              <w:spacing w:before="20" w:after="40"/>
              <w:contextualSpacing w:val="false"/>
              <w:jc w:val="right"/>
              <w:rPr/>
            </w:pPr>
            <w:r>
              <w:rPr>
                <w:u w:val="single"/>
              </w:rPr>
              <w:t>40</w:t>
            </w:r>
          </w:p>
        </w:tc>
      </w:tr>
      <w:tr>
        <w:trPr/>
        <w:tc>
          <w:tcPr>
            <w:tcW w:w="780" w:type="dxa"/>
            <w:tcBorders/>
          </w:tcPr>
          <w:p>
            <w:pPr>
              <w:pStyle w:val="Normal"/>
              <w:widowControl w:val="false"/>
              <w:spacing w:before="20" w:after="40"/>
              <w:contextualSpacing w:val="false"/>
              <w:rPr>
                <w:highlight w:val="none"/>
                <w:shd w:fill="auto" w:val="clear"/>
              </w:rPr>
            </w:pPr>
            <w:r>
              <w:rPr>
                <w:sz w:val="22"/>
                <w:shd w:fill="auto" w:val="clear"/>
              </w:rPr>
              <w:t>2.3.</w:t>
            </w:r>
          </w:p>
        </w:tc>
        <w:tc>
          <w:tcPr>
            <w:tcW w:w="7890" w:type="dxa"/>
            <w:tcBorders/>
          </w:tcPr>
          <w:p>
            <w:pPr>
              <w:pStyle w:val="Normal"/>
              <w:widowControl w:val="false"/>
              <w:spacing w:before="20" w:after="40"/>
              <w:contextualSpacing w:val="false"/>
              <w:rPr>
                <w:highlight w:val="none"/>
                <w:shd w:fill="auto" w:val="clear"/>
              </w:rPr>
            </w:pPr>
            <w:r>
              <w:rPr>
                <w:sz w:val="22"/>
                <w:shd w:fill="auto" w:val="clear"/>
              </w:rPr>
              <w:t>Сведения об организации в эмитенте управления рисками, контроля за финансово-хозяйственной деятельностью, внутреннего контроля и внутреннего аудит………………………….</w:t>
            </w:r>
          </w:p>
        </w:tc>
        <w:tc>
          <w:tcPr>
            <w:tcW w:w="617" w:type="dxa"/>
            <w:tcBorders/>
          </w:tcPr>
          <w:p>
            <w:pPr>
              <w:pStyle w:val="Normal"/>
              <w:widowControl w:val="false"/>
              <w:spacing w:before="20" w:after="40"/>
              <w:contextualSpacing w:val="false"/>
              <w:jc w:val="right"/>
              <w:rPr>
                <w:u w:val="single"/>
              </w:rPr>
            </w:pPr>
            <w:r>
              <w:rPr>
                <w:u w:val="single"/>
              </w:rPr>
            </w:r>
          </w:p>
          <w:p>
            <w:pPr>
              <w:pStyle w:val="Normal"/>
              <w:widowControl w:val="false"/>
              <w:jc w:val="right"/>
              <w:rPr>
                <w:u w:val="single"/>
              </w:rPr>
            </w:pPr>
            <w:r>
              <w:rPr>
                <w:u w:val="single"/>
              </w:rPr>
            </w:r>
          </w:p>
          <w:p>
            <w:pPr>
              <w:pStyle w:val="Normal"/>
              <w:widowControl w:val="false"/>
              <w:spacing w:before="20" w:after="40"/>
              <w:contextualSpacing w:val="false"/>
              <w:jc w:val="right"/>
              <w:rPr/>
            </w:pPr>
            <w:r>
              <w:rPr>
                <w:u w:val="single"/>
              </w:rPr>
              <w:t>42</w:t>
            </w:r>
          </w:p>
        </w:tc>
      </w:tr>
      <w:tr>
        <w:trPr/>
        <w:tc>
          <w:tcPr>
            <w:tcW w:w="780" w:type="dxa"/>
            <w:tcBorders/>
          </w:tcPr>
          <w:p>
            <w:pPr>
              <w:pStyle w:val="Normal"/>
              <w:widowControl w:val="false"/>
              <w:spacing w:before="20" w:after="40"/>
              <w:contextualSpacing w:val="false"/>
              <w:rPr>
                <w:highlight w:val="none"/>
                <w:shd w:fill="auto" w:val="clear"/>
              </w:rPr>
            </w:pPr>
            <w:r>
              <w:rPr>
                <w:sz w:val="22"/>
                <w:shd w:fill="auto" w:val="clear"/>
              </w:rPr>
              <w:t>2.4.</w:t>
            </w:r>
          </w:p>
        </w:tc>
        <w:tc>
          <w:tcPr>
            <w:tcW w:w="7890" w:type="dxa"/>
            <w:tcBorders/>
          </w:tcPr>
          <w:p>
            <w:pPr>
              <w:pStyle w:val="Normal"/>
              <w:widowControl w:val="false"/>
              <w:spacing w:before="20" w:after="40"/>
              <w:contextualSpacing w:val="false"/>
              <w:jc w:val="both"/>
              <w:rPr>
                <w:highlight w:val="none"/>
                <w:shd w:fill="auto" w:val="clear"/>
              </w:rPr>
            </w:pPr>
            <w:r>
              <w:rPr>
                <w:sz w:val="22"/>
                <w:shd w:fill="auto" w:val="clear"/>
              </w:rPr>
              <w:t>Информация о лицах, ответственных в эмитенте за организацию и осуществление управления рисками, контроля за финансово-хозяйственной деятельностью и внутреннего контроля, внутреннего аудита………..……………………………...…..</w:t>
            </w:r>
          </w:p>
        </w:tc>
        <w:tc>
          <w:tcPr>
            <w:tcW w:w="617" w:type="dxa"/>
            <w:tcBorders/>
          </w:tcPr>
          <w:p>
            <w:pPr>
              <w:pStyle w:val="Normal"/>
              <w:widowControl w:val="false"/>
              <w:spacing w:before="20" w:after="40"/>
              <w:contextualSpacing w:val="false"/>
              <w:jc w:val="right"/>
              <w:rPr>
                <w:u w:val="single"/>
              </w:rPr>
            </w:pPr>
            <w:r>
              <w:rPr>
                <w:u w:val="single"/>
              </w:rPr>
            </w:r>
          </w:p>
          <w:p>
            <w:pPr>
              <w:pStyle w:val="Normal"/>
              <w:widowControl w:val="false"/>
              <w:jc w:val="right"/>
              <w:rPr>
                <w:u w:val="single"/>
              </w:rPr>
            </w:pPr>
            <w:r>
              <w:rPr>
                <w:u w:val="single"/>
              </w:rPr>
            </w:r>
          </w:p>
          <w:p>
            <w:pPr>
              <w:pStyle w:val="Normal"/>
              <w:widowControl w:val="false"/>
              <w:spacing w:before="20" w:after="40"/>
              <w:contextualSpacing w:val="false"/>
              <w:jc w:val="right"/>
              <w:rPr/>
            </w:pPr>
            <w:r>
              <w:rPr>
                <w:u w:val="single"/>
              </w:rPr>
              <w:t>47</w:t>
            </w:r>
          </w:p>
        </w:tc>
      </w:tr>
      <w:tr>
        <w:trPr/>
        <w:tc>
          <w:tcPr>
            <w:tcW w:w="780" w:type="dxa"/>
            <w:tcBorders/>
          </w:tcPr>
          <w:p>
            <w:pPr>
              <w:pStyle w:val="Normal"/>
              <w:widowControl w:val="false"/>
              <w:spacing w:before="20" w:after="40"/>
              <w:contextualSpacing w:val="false"/>
              <w:rPr>
                <w:highlight w:val="none"/>
                <w:shd w:fill="auto" w:val="clear"/>
              </w:rPr>
            </w:pPr>
            <w:r>
              <w:rPr>
                <w:sz w:val="22"/>
                <w:shd w:fill="auto" w:val="clear"/>
              </w:rPr>
              <w:t>2.5.</w:t>
            </w:r>
          </w:p>
        </w:tc>
        <w:tc>
          <w:tcPr>
            <w:tcW w:w="7890" w:type="dxa"/>
            <w:tcBorders/>
          </w:tcPr>
          <w:p>
            <w:pPr>
              <w:pStyle w:val="Normal"/>
              <w:widowControl w:val="false"/>
              <w:spacing w:before="20" w:after="40"/>
              <w:contextualSpacing w:val="false"/>
              <w:rPr>
                <w:highlight w:val="none"/>
                <w:shd w:fill="auto" w:val="clear"/>
              </w:rPr>
            </w:pPr>
            <w:r>
              <w:rPr>
                <w:sz w:val="22"/>
                <w:shd w:fill="auto" w:val="clear"/>
              </w:rPr>
              <w:t>Сведения о любых обязательствах эмитента перед работниками эмитента и работниками подконтрольных эмитенту организаций, касающихся возможности их участия в уставном капитале эмитента………………………………………………………...…</w:t>
            </w:r>
          </w:p>
        </w:tc>
        <w:tc>
          <w:tcPr>
            <w:tcW w:w="617" w:type="dxa"/>
            <w:tcBorders/>
          </w:tcPr>
          <w:p>
            <w:pPr>
              <w:pStyle w:val="Normal"/>
              <w:widowControl w:val="false"/>
              <w:spacing w:before="20" w:after="40"/>
              <w:contextualSpacing w:val="false"/>
              <w:jc w:val="right"/>
              <w:rPr>
                <w:u w:val="single"/>
              </w:rPr>
            </w:pPr>
            <w:r>
              <w:rPr>
                <w:u w:val="single"/>
              </w:rPr>
            </w:r>
          </w:p>
          <w:p>
            <w:pPr>
              <w:pStyle w:val="Normal"/>
              <w:widowControl w:val="false"/>
              <w:jc w:val="right"/>
              <w:rPr>
                <w:u w:val="single"/>
              </w:rPr>
            </w:pPr>
            <w:r>
              <w:rPr>
                <w:u w:val="single"/>
              </w:rPr>
            </w:r>
          </w:p>
          <w:p>
            <w:pPr>
              <w:pStyle w:val="Normal"/>
              <w:widowControl w:val="false"/>
              <w:spacing w:before="20" w:after="40"/>
              <w:contextualSpacing w:val="false"/>
              <w:jc w:val="right"/>
              <w:rPr/>
            </w:pPr>
            <w:r>
              <w:rPr>
                <w:u w:val="single"/>
              </w:rPr>
              <w:t>54</w:t>
            </w:r>
          </w:p>
        </w:tc>
      </w:tr>
      <w:tr>
        <w:trPr/>
        <w:tc>
          <w:tcPr>
            <w:tcW w:w="8670" w:type="dxa"/>
            <w:gridSpan w:val="2"/>
            <w:tcBorders/>
          </w:tcPr>
          <w:p>
            <w:pPr>
              <w:pStyle w:val="Normal"/>
              <w:widowControl w:val="false"/>
              <w:spacing w:before="20" w:after="40"/>
              <w:contextualSpacing w:val="false"/>
              <w:jc w:val="both"/>
              <w:rPr>
                <w:sz w:val="22"/>
                <w:highlight w:val="none"/>
                <w:shd w:fill="auto" w:val="clear"/>
              </w:rPr>
            </w:pPr>
            <w:r>
              <w:rPr>
                <w:sz w:val="22"/>
                <w:shd w:fill="auto" w:val="clear"/>
              </w:rPr>
            </w:r>
          </w:p>
          <w:p>
            <w:pPr>
              <w:pStyle w:val="Normal"/>
              <w:widowControl w:val="false"/>
              <w:spacing w:before="20" w:after="40"/>
              <w:contextualSpacing w:val="false"/>
              <w:jc w:val="both"/>
              <w:rPr>
                <w:highlight w:val="none"/>
                <w:shd w:fill="auto" w:val="clear"/>
              </w:rPr>
            </w:pPr>
            <w:r>
              <w:rPr>
                <w:sz w:val="22"/>
                <w:shd w:fill="auto" w:val="clear"/>
              </w:rPr>
              <w:t>Раздел 3. Сведения об акционерах (участниках, членах) эмитента, а также о сделках эмитента, в совершении которых имелась заинтересованность, и крупных сделках эмитента</w:t>
            </w:r>
          </w:p>
        </w:tc>
        <w:tc>
          <w:tcPr>
            <w:tcW w:w="617" w:type="dxa"/>
            <w:tcBorders/>
          </w:tcPr>
          <w:p>
            <w:pPr>
              <w:pStyle w:val="Normal"/>
              <w:widowControl w:val="false"/>
              <w:spacing w:before="20" w:after="40"/>
              <w:contextualSpacing w:val="false"/>
              <w:jc w:val="right"/>
              <w:rPr>
                <w:u w:val="single"/>
              </w:rPr>
            </w:pPr>
            <w:r>
              <w:rPr>
                <w:u w:val="single"/>
              </w:rPr>
            </w:r>
          </w:p>
          <w:p>
            <w:pPr>
              <w:pStyle w:val="Normal"/>
              <w:widowControl w:val="false"/>
              <w:jc w:val="right"/>
              <w:rPr>
                <w:u w:val="single"/>
              </w:rPr>
            </w:pPr>
            <w:r>
              <w:rPr>
                <w:u w:val="single"/>
              </w:rPr>
            </w:r>
          </w:p>
          <w:p>
            <w:pPr>
              <w:pStyle w:val="Normal"/>
              <w:widowControl w:val="false"/>
              <w:jc w:val="right"/>
              <w:rPr>
                <w:u w:val="single"/>
              </w:rPr>
            </w:pPr>
            <w:r>
              <w:rPr>
                <w:u w:val="single"/>
              </w:rPr>
            </w:r>
          </w:p>
          <w:p>
            <w:pPr>
              <w:pStyle w:val="Normal"/>
              <w:widowControl w:val="false"/>
              <w:spacing w:before="0" w:after="0"/>
              <w:contextualSpacing w:val="false"/>
              <w:jc w:val="right"/>
              <w:rPr>
                <w:u w:val="single"/>
              </w:rPr>
            </w:pPr>
            <w:r>
              <w:rPr>
                <w:u w:val="single"/>
              </w:rPr>
            </w:r>
          </w:p>
        </w:tc>
      </w:tr>
      <w:tr>
        <w:trPr/>
        <w:tc>
          <w:tcPr>
            <w:tcW w:w="780" w:type="dxa"/>
            <w:tcBorders/>
          </w:tcPr>
          <w:p>
            <w:pPr>
              <w:pStyle w:val="Normal"/>
              <w:widowControl w:val="false"/>
              <w:spacing w:before="20" w:after="40"/>
              <w:contextualSpacing w:val="false"/>
              <w:rPr>
                <w:highlight w:val="none"/>
                <w:shd w:fill="auto" w:val="clear"/>
              </w:rPr>
            </w:pPr>
            <w:r>
              <w:rPr>
                <w:sz w:val="22"/>
                <w:shd w:fill="auto" w:val="clear"/>
              </w:rPr>
              <w:t>3.1.</w:t>
            </w:r>
          </w:p>
        </w:tc>
        <w:tc>
          <w:tcPr>
            <w:tcW w:w="7890" w:type="dxa"/>
            <w:tcBorders/>
          </w:tcPr>
          <w:p>
            <w:pPr>
              <w:pStyle w:val="Normal"/>
              <w:widowControl w:val="false"/>
              <w:spacing w:before="20" w:after="40"/>
              <w:contextualSpacing w:val="false"/>
              <w:jc w:val="both"/>
              <w:rPr>
                <w:highlight w:val="none"/>
                <w:shd w:fill="auto" w:val="clear"/>
              </w:rPr>
            </w:pPr>
            <w:r>
              <w:rPr>
                <w:sz w:val="22"/>
                <w:shd w:fill="auto" w:val="clear"/>
              </w:rPr>
              <w:t>Сведения об общем количестве акционеров (участников, членов) эмитента………………………………………………………..……..</w:t>
            </w:r>
          </w:p>
        </w:tc>
        <w:tc>
          <w:tcPr>
            <w:tcW w:w="617" w:type="dxa"/>
            <w:tcBorders/>
          </w:tcPr>
          <w:p>
            <w:pPr>
              <w:pStyle w:val="Normal"/>
              <w:widowControl w:val="false"/>
              <w:spacing w:before="20" w:after="40"/>
              <w:contextualSpacing w:val="false"/>
              <w:jc w:val="right"/>
              <w:rPr/>
            </w:pPr>
            <w:r>
              <w:rPr>
                <w:u w:val="single"/>
              </w:rPr>
              <w:t>54</w:t>
            </w:r>
          </w:p>
        </w:tc>
      </w:tr>
      <w:tr>
        <w:trPr/>
        <w:tc>
          <w:tcPr>
            <w:tcW w:w="780" w:type="dxa"/>
            <w:tcBorders/>
          </w:tcPr>
          <w:p>
            <w:pPr>
              <w:pStyle w:val="Normal"/>
              <w:widowControl w:val="false"/>
              <w:spacing w:before="20" w:after="40"/>
              <w:contextualSpacing w:val="false"/>
              <w:rPr>
                <w:highlight w:val="none"/>
                <w:shd w:fill="auto" w:val="clear"/>
              </w:rPr>
            </w:pPr>
            <w:r>
              <w:rPr>
                <w:sz w:val="22"/>
                <w:shd w:fill="auto" w:val="clear"/>
              </w:rPr>
              <w:t>3.2.</w:t>
            </w:r>
          </w:p>
        </w:tc>
        <w:tc>
          <w:tcPr>
            <w:tcW w:w="7890" w:type="dxa"/>
            <w:tcBorders/>
          </w:tcPr>
          <w:p>
            <w:pPr>
              <w:pStyle w:val="Normal"/>
              <w:widowControl w:val="false"/>
              <w:spacing w:before="20" w:after="40"/>
              <w:contextualSpacing w:val="false"/>
              <w:jc w:val="both"/>
              <w:rPr>
                <w:highlight w:val="none"/>
                <w:shd w:fill="auto" w:val="clear"/>
              </w:rPr>
            </w:pPr>
            <w:r>
              <w:rPr>
                <w:sz w:val="22"/>
                <w:shd w:fill="auto" w:val="clear"/>
              </w:rPr>
              <w:t>Сведения об акционерах (участниках, членах) эмитента или лицах, имеющих право распоряжаться голосами, приходящимися на голосующие акции (доли), составляющие уставный (складочный) капитал (паевой фонд) эмитента…………………………………………………………………………..</w:t>
            </w:r>
          </w:p>
        </w:tc>
        <w:tc>
          <w:tcPr>
            <w:tcW w:w="617" w:type="dxa"/>
            <w:tcBorders/>
          </w:tcPr>
          <w:p>
            <w:pPr>
              <w:pStyle w:val="Normal"/>
              <w:widowControl w:val="false"/>
              <w:spacing w:before="20" w:after="40"/>
              <w:contextualSpacing w:val="false"/>
              <w:jc w:val="right"/>
              <w:rPr>
                <w:u w:val="single"/>
              </w:rPr>
            </w:pPr>
            <w:r>
              <w:rPr>
                <w:u w:val="single"/>
              </w:rPr>
            </w:r>
          </w:p>
          <w:p>
            <w:pPr>
              <w:pStyle w:val="Normal"/>
              <w:widowControl w:val="false"/>
              <w:jc w:val="right"/>
              <w:rPr>
                <w:u w:val="single"/>
              </w:rPr>
            </w:pPr>
            <w:r>
              <w:rPr>
                <w:u w:val="single"/>
              </w:rPr>
            </w:r>
          </w:p>
          <w:p>
            <w:pPr>
              <w:pStyle w:val="Normal"/>
              <w:widowControl w:val="false"/>
              <w:jc w:val="right"/>
              <w:rPr>
                <w:u w:val="single"/>
              </w:rPr>
            </w:pPr>
            <w:r>
              <w:rPr>
                <w:u w:val="single"/>
              </w:rPr>
            </w:r>
          </w:p>
          <w:p>
            <w:pPr>
              <w:pStyle w:val="Normal"/>
              <w:widowControl w:val="false"/>
              <w:spacing w:before="20" w:after="40"/>
              <w:contextualSpacing w:val="false"/>
              <w:jc w:val="right"/>
              <w:rPr/>
            </w:pPr>
            <w:r>
              <w:rPr>
                <w:u w:val="single"/>
              </w:rPr>
              <w:t>55</w:t>
            </w:r>
          </w:p>
        </w:tc>
      </w:tr>
      <w:tr>
        <w:trPr/>
        <w:tc>
          <w:tcPr>
            <w:tcW w:w="780" w:type="dxa"/>
            <w:tcBorders/>
          </w:tcPr>
          <w:p>
            <w:pPr>
              <w:pStyle w:val="Normal"/>
              <w:widowControl w:val="false"/>
              <w:spacing w:before="20" w:after="40"/>
              <w:contextualSpacing w:val="false"/>
              <w:rPr>
                <w:highlight w:val="none"/>
                <w:shd w:fill="auto" w:val="clear"/>
              </w:rPr>
            </w:pPr>
            <w:r>
              <w:rPr>
                <w:sz w:val="22"/>
                <w:shd w:fill="auto" w:val="clear"/>
              </w:rPr>
              <w:t>3.3.</w:t>
            </w:r>
          </w:p>
        </w:tc>
        <w:tc>
          <w:tcPr>
            <w:tcW w:w="7890" w:type="dxa"/>
            <w:tcBorders/>
          </w:tcPr>
          <w:p>
            <w:pPr>
              <w:pStyle w:val="Normal"/>
              <w:widowControl w:val="false"/>
              <w:spacing w:before="20" w:after="40"/>
              <w:contextualSpacing w:val="false"/>
              <w:jc w:val="both"/>
              <w:rPr>
                <w:highlight w:val="none"/>
                <w:shd w:fill="auto" w:val="clear"/>
              </w:rPr>
            </w:pPr>
            <w:r>
              <w:rPr>
                <w:sz w:val="22"/>
                <w:shd w:fill="auto" w:val="clear"/>
              </w:rPr>
              <w:t>Сведения о доле участия Российской Федерации, субъекта Российской Федерации или муниципального образования в уставном капитале эмитента, наличии специального права (золотой акции)………………………………...……………………………..…</w:t>
            </w:r>
          </w:p>
        </w:tc>
        <w:tc>
          <w:tcPr>
            <w:tcW w:w="617" w:type="dxa"/>
            <w:tcBorders/>
          </w:tcPr>
          <w:p>
            <w:pPr>
              <w:pStyle w:val="Normal"/>
              <w:widowControl w:val="false"/>
              <w:spacing w:before="20" w:after="40"/>
              <w:contextualSpacing w:val="false"/>
              <w:jc w:val="right"/>
              <w:rPr>
                <w:u w:val="single"/>
              </w:rPr>
            </w:pPr>
            <w:r>
              <w:rPr>
                <w:u w:val="single"/>
              </w:rPr>
            </w:r>
          </w:p>
          <w:p>
            <w:pPr>
              <w:pStyle w:val="Normal"/>
              <w:widowControl w:val="false"/>
              <w:jc w:val="right"/>
              <w:rPr>
                <w:u w:val="single"/>
              </w:rPr>
            </w:pPr>
            <w:r>
              <w:rPr>
                <w:u w:val="single"/>
              </w:rPr>
            </w:r>
          </w:p>
          <w:p>
            <w:pPr>
              <w:pStyle w:val="Normal"/>
              <w:widowControl w:val="false"/>
              <w:spacing w:before="20" w:after="40"/>
              <w:contextualSpacing w:val="false"/>
              <w:jc w:val="right"/>
              <w:rPr/>
            </w:pPr>
            <w:r>
              <w:rPr>
                <w:u w:val="single"/>
              </w:rPr>
              <w:t>56</w:t>
            </w:r>
          </w:p>
        </w:tc>
      </w:tr>
      <w:tr>
        <w:trPr/>
        <w:tc>
          <w:tcPr>
            <w:tcW w:w="780" w:type="dxa"/>
            <w:tcBorders/>
          </w:tcPr>
          <w:p>
            <w:pPr>
              <w:pStyle w:val="Normal"/>
              <w:widowControl w:val="false"/>
              <w:spacing w:before="20" w:after="40"/>
              <w:contextualSpacing w:val="false"/>
              <w:rPr>
                <w:highlight w:val="none"/>
                <w:shd w:fill="auto" w:val="clear"/>
              </w:rPr>
            </w:pPr>
            <w:r>
              <w:rPr>
                <w:sz w:val="22"/>
                <w:shd w:fill="auto" w:val="clear"/>
              </w:rPr>
              <w:t>3.4.</w:t>
            </w:r>
          </w:p>
        </w:tc>
        <w:tc>
          <w:tcPr>
            <w:tcW w:w="7890" w:type="dxa"/>
            <w:tcBorders/>
          </w:tcPr>
          <w:p>
            <w:pPr>
              <w:pStyle w:val="Normal"/>
              <w:widowControl w:val="false"/>
              <w:spacing w:before="20" w:after="40"/>
              <w:contextualSpacing w:val="false"/>
              <w:jc w:val="both"/>
              <w:rPr>
                <w:highlight w:val="none"/>
                <w:shd w:fill="auto" w:val="clear"/>
              </w:rPr>
            </w:pPr>
            <w:r>
              <w:rPr>
                <w:sz w:val="22"/>
                <w:shd w:fill="auto" w:val="clear"/>
              </w:rPr>
              <w:t>Сделки эмитента, в совершении которых имелась заинтересованность………………………………………………………..….</w:t>
            </w:r>
          </w:p>
        </w:tc>
        <w:tc>
          <w:tcPr>
            <w:tcW w:w="617" w:type="dxa"/>
            <w:tcBorders/>
          </w:tcPr>
          <w:p>
            <w:pPr>
              <w:pStyle w:val="Normal"/>
              <w:widowControl w:val="false"/>
              <w:spacing w:before="20" w:after="40"/>
              <w:contextualSpacing w:val="false"/>
              <w:jc w:val="right"/>
              <w:rPr/>
            </w:pPr>
            <w:r>
              <w:rPr>
                <w:u w:val="single"/>
              </w:rPr>
              <w:t>57</w:t>
            </w:r>
          </w:p>
        </w:tc>
      </w:tr>
      <w:tr>
        <w:trPr/>
        <w:tc>
          <w:tcPr>
            <w:tcW w:w="780" w:type="dxa"/>
            <w:tcBorders/>
          </w:tcPr>
          <w:p>
            <w:pPr>
              <w:pStyle w:val="Normal"/>
              <w:widowControl w:val="false"/>
              <w:spacing w:before="20" w:after="40"/>
              <w:contextualSpacing w:val="false"/>
              <w:rPr>
                <w:highlight w:val="none"/>
                <w:shd w:fill="auto" w:val="clear"/>
              </w:rPr>
            </w:pPr>
            <w:r>
              <w:rPr>
                <w:sz w:val="22"/>
                <w:shd w:fill="auto" w:val="clear"/>
              </w:rPr>
              <w:t>3.5.</w:t>
            </w:r>
          </w:p>
        </w:tc>
        <w:tc>
          <w:tcPr>
            <w:tcW w:w="7890" w:type="dxa"/>
            <w:tcBorders/>
          </w:tcPr>
          <w:p>
            <w:pPr>
              <w:pStyle w:val="Normal"/>
              <w:widowControl w:val="false"/>
              <w:spacing w:before="20" w:after="40"/>
              <w:contextualSpacing w:val="false"/>
              <w:jc w:val="both"/>
              <w:rPr>
                <w:highlight w:val="none"/>
                <w:shd w:fill="auto" w:val="clear"/>
              </w:rPr>
            </w:pPr>
            <w:r>
              <w:rPr>
                <w:sz w:val="22"/>
                <w:shd w:fill="auto" w:val="clear"/>
              </w:rPr>
              <w:t>Крупные сделки эмитента……………………………….……….…………</w:t>
            </w:r>
          </w:p>
        </w:tc>
        <w:tc>
          <w:tcPr>
            <w:tcW w:w="617" w:type="dxa"/>
            <w:tcBorders/>
          </w:tcPr>
          <w:p>
            <w:pPr>
              <w:pStyle w:val="Normal"/>
              <w:widowControl w:val="false"/>
              <w:spacing w:before="20" w:after="40"/>
              <w:contextualSpacing w:val="false"/>
              <w:jc w:val="right"/>
              <w:rPr/>
            </w:pPr>
            <w:r>
              <w:rPr>
                <w:u w:val="single"/>
              </w:rPr>
              <w:t>77</w:t>
            </w:r>
          </w:p>
        </w:tc>
      </w:tr>
      <w:tr>
        <w:trPr/>
        <w:tc>
          <w:tcPr>
            <w:tcW w:w="8670" w:type="dxa"/>
            <w:gridSpan w:val="2"/>
            <w:tcBorders/>
          </w:tcPr>
          <w:p>
            <w:pPr>
              <w:pStyle w:val="Normal"/>
              <w:widowControl w:val="false"/>
              <w:spacing w:before="20" w:after="40"/>
              <w:contextualSpacing w:val="false"/>
              <w:jc w:val="both"/>
              <w:rPr>
                <w:sz w:val="22"/>
                <w:highlight w:val="none"/>
                <w:shd w:fill="auto" w:val="clear"/>
              </w:rPr>
            </w:pPr>
            <w:r>
              <w:rPr>
                <w:sz w:val="22"/>
                <w:shd w:fill="auto" w:val="clear"/>
              </w:rPr>
            </w:r>
          </w:p>
          <w:p>
            <w:pPr>
              <w:pStyle w:val="Normal"/>
              <w:widowControl w:val="false"/>
              <w:spacing w:before="20" w:after="40"/>
              <w:contextualSpacing w:val="false"/>
              <w:jc w:val="both"/>
              <w:rPr>
                <w:highlight w:val="none"/>
                <w:shd w:fill="auto" w:val="clear"/>
              </w:rPr>
            </w:pPr>
            <w:r>
              <w:rPr>
                <w:sz w:val="22"/>
                <w:shd w:fill="auto" w:val="clear"/>
              </w:rPr>
              <w:t>Раздел 4. Дополнительные сведения об эмитенте и о размещенных им ценных бумагах</w:t>
            </w:r>
          </w:p>
        </w:tc>
        <w:tc>
          <w:tcPr>
            <w:tcW w:w="617" w:type="dxa"/>
            <w:tcBorders/>
          </w:tcPr>
          <w:p>
            <w:pPr>
              <w:pStyle w:val="Normal"/>
              <w:widowControl w:val="false"/>
              <w:spacing w:before="20" w:after="40"/>
              <w:contextualSpacing w:val="false"/>
              <w:jc w:val="right"/>
              <w:rPr>
                <w:u w:val="single"/>
              </w:rPr>
            </w:pPr>
            <w:r>
              <w:rPr>
                <w:u w:val="single"/>
              </w:rPr>
            </w:r>
          </w:p>
          <w:p>
            <w:pPr>
              <w:pStyle w:val="Normal"/>
              <w:widowControl w:val="false"/>
              <w:jc w:val="right"/>
              <w:rPr>
                <w:u w:val="single"/>
              </w:rPr>
            </w:pPr>
            <w:r>
              <w:rPr>
                <w:u w:val="single"/>
              </w:rPr>
            </w:r>
          </w:p>
          <w:p>
            <w:pPr>
              <w:pStyle w:val="Normal"/>
              <w:widowControl w:val="false"/>
              <w:spacing w:before="0" w:after="0"/>
              <w:contextualSpacing w:val="false"/>
              <w:jc w:val="right"/>
              <w:rPr/>
            </w:pPr>
            <w:r>
              <w:rPr/>
            </w:r>
          </w:p>
        </w:tc>
      </w:tr>
      <w:tr>
        <w:trPr/>
        <w:tc>
          <w:tcPr>
            <w:tcW w:w="780" w:type="dxa"/>
            <w:tcBorders/>
          </w:tcPr>
          <w:p>
            <w:pPr>
              <w:pStyle w:val="Normal"/>
              <w:widowControl w:val="false"/>
              <w:spacing w:before="20" w:after="40"/>
              <w:contextualSpacing w:val="false"/>
              <w:rPr>
                <w:highlight w:val="none"/>
                <w:shd w:fill="auto" w:val="clear"/>
              </w:rPr>
            </w:pPr>
            <w:r>
              <w:rPr>
                <w:sz w:val="22"/>
                <w:shd w:fill="auto" w:val="clear"/>
              </w:rPr>
              <w:t>4.1.</w:t>
            </w:r>
          </w:p>
        </w:tc>
        <w:tc>
          <w:tcPr>
            <w:tcW w:w="7890" w:type="dxa"/>
            <w:tcBorders/>
          </w:tcPr>
          <w:p>
            <w:pPr>
              <w:pStyle w:val="Normal"/>
              <w:widowControl w:val="false"/>
              <w:spacing w:before="20" w:after="40"/>
              <w:contextualSpacing w:val="false"/>
              <w:jc w:val="both"/>
              <w:rPr>
                <w:highlight w:val="none"/>
                <w:shd w:fill="auto" w:val="clear"/>
              </w:rPr>
            </w:pPr>
            <w:r>
              <w:rPr>
                <w:sz w:val="22"/>
                <w:shd w:fill="auto" w:val="clear"/>
              </w:rPr>
              <w:t>Подконтрольные эмитенту организации, имеющие для него существенное значение ………………………..…………………………….</w:t>
            </w:r>
          </w:p>
        </w:tc>
        <w:tc>
          <w:tcPr>
            <w:tcW w:w="617" w:type="dxa"/>
            <w:tcBorders/>
          </w:tcPr>
          <w:p>
            <w:pPr>
              <w:pStyle w:val="Normal"/>
              <w:widowControl w:val="false"/>
              <w:spacing w:before="20" w:after="40"/>
              <w:contextualSpacing w:val="false"/>
              <w:jc w:val="right"/>
              <w:rPr>
                <w:u w:val="single"/>
              </w:rPr>
            </w:pPr>
            <w:r>
              <w:rPr>
                <w:u w:val="single"/>
              </w:rPr>
            </w:r>
          </w:p>
          <w:p>
            <w:pPr>
              <w:pStyle w:val="Normal"/>
              <w:widowControl w:val="false"/>
              <w:spacing w:before="20" w:after="40"/>
              <w:contextualSpacing w:val="false"/>
              <w:jc w:val="right"/>
              <w:rPr/>
            </w:pPr>
            <w:r>
              <w:rPr>
                <w:u w:val="single"/>
              </w:rPr>
              <w:t>77</w:t>
            </w:r>
          </w:p>
        </w:tc>
      </w:tr>
      <w:tr>
        <w:trPr/>
        <w:tc>
          <w:tcPr>
            <w:tcW w:w="780" w:type="dxa"/>
            <w:tcBorders/>
          </w:tcPr>
          <w:p>
            <w:pPr>
              <w:pStyle w:val="Normal"/>
              <w:widowControl w:val="false"/>
              <w:spacing w:before="20" w:after="40"/>
              <w:contextualSpacing w:val="false"/>
              <w:rPr>
                <w:highlight w:val="none"/>
                <w:shd w:fill="auto" w:val="clear"/>
              </w:rPr>
            </w:pPr>
            <w:r>
              <w:rPr>
                <w:sz w:val="22"/>
                <w:shd w:fill="auto" w:val="clear"/>
              </w:rPr>
              <w:t>4.2.</w:t>
            </w:r>
          </w:p>
        </w:tc>
        <w:tc>
          <w:tcPr>
            <w:tcW w:w="7890" w:type="dxa"/>
            <w:tcBorders/>
          </w:tcPr>
          <w:p>
            <w:pPr>
              <w:pStyle w:val="Normal"/>
              <w:widowControl w:val="false"/>
              <w:spacing w:before="20" w:after="40"/>
              <w:contextualSpacing w:val="false"/>
              <w:jc w:val="both"/>
              <w:rPr>
                <w:highlight w:val="none"/>
                <w:shd w:fill="auto" w:val="clear"/>
              </w:rPr>
            </w:pPr>
            <w:r>
              <w:rPr>
                <w:sz w:val="22"/>
                <w:shd w:fill="auto" w:val="clear"/>
              </w:rPr>
              <w:t>Дополнительные сведения, раскрываемые эмитентами облигаций с целевым использованием денежных средств, полученных от их размещения…………………………………....……….</w:t>
            </w:r>
          </w:p>
        </w:tc>
        <w:tc>
          <w:tcPr>
            <w:tcW w:w="617" w:type="dxa"/>
            <w:tcBorders/>
          </w:tcPr>
          <w:p>
            <w:pPr>
              <w:pStyle w:val="Normal"/>
              <w:widowControl w:val="false"/>
              <w:spacing w:before="20" w:after="40"/>
              <w:contextualSpacing w:val="false"/>
              <w:jc w:val="right"/>
              <w:rPr>
                <w:u w:val="single"/>
              </w:rPr>
            </w:pPr>
            <w:r>
              <w:rPr>
                <w:u w:val="single"/>
              </w:rPr>
            </w:r>
          </w:p>
          <w:p>
            <w:pPr>
              <w:pStyle w:val="Normal"/>
              <w:widowControl w:val="false"/>
              <w:spacing w:before="20" w:after="40"/>
              <w:contextualSpacing w:val="false"/>
              <w:jc w:val="right"/>
              <w:rPr/>
            </w:pPr>
            <w:r>
              <w:rPr>
                <w:u w:val="single"/>
              </w:rPr>
              <w:t>78</w:t>
            </w:r>
          </w:p>
        </w:tc>
      </w:tr>
      <w:tr>
        <w:trPr/>
        <w:tc>
          <w:tcPr>
            <w:tcW w:w="780" w:type="dxa"/>
            <w:tcBorders/>
          </w:tcPr>
          <w:p>
            <w:pPr>
              <w:pStyle w:val="Normal"/>
              <w:widowControl w:val="false"/>
              <w:spacing w:before="20" w:after="40"/>
              <w:contextualSpacing w:val="false"/>
              <w:rPr>
                <w:highlight w:val="none"/>
                <w:shd w:fill="auto" w:val="clear"/>
              </w:rPr>
            </w:pPr>
            <w:r>
              <w:rPr>
                <w:sz w:val="22"/>
                <w:shd w:fill="auto" w:val="clear"/>
              </w:rPr>
              <w:t>4.3.</w:t>
            </w:r>
          </w:p>
        </w:tc>
        <w:tc>
          <w:tcPr>
            <w:tcW w:w="7890" w:type="dxa"/>
            <w:tcBorders/>
          </w:tcPr>
          <w:p>
            <w:pPr>
              <w:pStyle w:val="Normal"/>
              <w:widowControl w:val="false"/>
              <w:spacing w:before="20" w:after="40"/>
              <w:contextualSpacing w:val="false"/>
              <w:rPr>
                <w:highlight w:val="none"/>
                <w:shd w:fill="auto" w:val="clear"/>
              </w:rPr>
            </w:pPr>
            <w:r>
              <w:rPr>
                <w:sz w:val="22"/>
                <w:shd w:fill="auto" w:val="clear"/>
              </w:rPr>
              <w:t>Сведения о лице (лицах), предоставившем (предоставивших) обеспечение по облигациям эмитента с обеспечением, а также об обеспечении, предоставленном по облигациям эмитента с обеспечением…………………………………….………………………..…....</w:t>
            </w:r>
          </w:p>
        </w:tc>
        <w:tc>
          <w:tcPr>
            <w:tcW w:w="617" w:type="dxa"/>
            <w:tcBorders/>
          </w:tcPr>
          <w:p>
            <w:pPr>
              <w:pStyle w:val="Normal"/>
              <w:widowControl w:val="false"/>
              <w:spacing w:before="20" w:after="40"/>
              <w:contextualSpacing w:val="false"/>
              <w:jc w:val="right"/>
              <w:rPr>
                <w:u w:val="single"/>
              </w:rPr>
            </w:pPr>
            <w:r>
              <w:rPr>
                <w:u w:val="single"/>
              </w:rPr>
            </w:r>
          </w:p>
          <w:p>
            <w:pPr>
              <w:pStyle w:val="Normal"/>
              <w:widowControl w:val="false"/>
              <w:jc w:val="right"/>
              <w:rPr>
                <w:u w:val="single"/>
              </w:rPr>
            </w:pPr>
            <w:r>
              <w:rPr>
                <w:u w:val="single"/>
              </w:rPr>
            </w:r>
          </w:p>
          <w:p>
            <w:pPr>
              <w:pStyle w:val="Normal"/>
              <w:widowControl w:val="false"/>
              <w:spacing w:before="20" w:after="40"/>
              <w:contextualSpacing w:val="false"/>
              <w:jc w:val="right"/>
              <w:rPr/>
            </w:pPr>
            <w:r>
              <w:rPr>
                <w:u w:val="single"/>
              </w:rPr>
              <w:t>78</w:t>
            </w:r>
          </w:p>
        </w:tc>
      </w:tr>
      <w:tr>
        <w:trPr/>
        <w:tc>
          <w:tcPr>
            <w:tcW w:w="780" w:type="dxa"/>
            <w:tcBorders/>
          </w:tcPr>
          <w:p>
            <w:pPr>
              <w:pStyle w:val="Normal"/>
              <w:widowControl w:val="false"/>
              <w:spacing w:before="20" w:after="40"/>
              <w:contextualSpacing w:val="false"/>
              <w:rPr>
                <w:highlight w:val="none"/>
                <w:shd w:fill="auto" w:val="clear"/>
              </w:rPr>
            </w:pPr>
            <w:r>
              <w:rPr>
                <w:sz w:val="22"/>
                <w:shd w:fill="auto" w:val="clear"/>
              </w:rPr>
              <w:t>4.4.</w:t>
            </w:r>
          </w:p>
        </w:tc>
        <w:tc>
          <w:tcPr>
            <w:tcW w:w="7890" w:type="dxa"/>
            <w:tcBorders/>
          </w:tcPr>
          <w:p>
            <w:pPr>
              <w:pStyle w:val="Normal"/>
              <w:widowControl w:val="false"/>
              <w:spacing w:before="20" w:after="40"/>
              <w:contextualSpacing w:val="false"/>
              <w:jc w:val="both"/>
              <w:rPr>
                <w:highlight w:val="none"/>
                <w:shd w:fill="auto" w:val="clear"/>
              </w:rPr>
            </w:pPr>
            <w:r>
              <w:rPr>
                <w:sz w:val="22"/>
                <w:shd w:fill="auto" w:val="clear"/>
              </w:rPr>
              <w:t>Сведения об объявленных и выплаченных дивидендах по акциям эмитента………………………………………………………………..</w:t>
            </w:r>
          </w:p>
        </w:tc>
        <w:tc>
          <w:tcPr>
            <w:tcW w:w="617" w:type="dxa"/>
            <w:tcBorders/>
          </w:tcPr>
          <w:p>
            <w:pPr>
              <w:pStyle w:val="Normal"/>
              <w:widowControl w:val="false"/>
              <w:spacing w:before="20" w:after="40"/>
              <w:contextualSpacing w:val="false"/>
              <w:jc w:val="right"/>
              <w:rPr/>
            </w:pPr>
            <w:r>
              <w:rPr>
                <w:u w:val="single"/>
              </w:rPr>
              <w:t>79</w:t>
            </w:r>
          </w:p>
        </w:tc>
      </w:tr>
      <w:tr>
        <w:trPr/>
        <w:tc>
          <w:tcPr>
            <w:tcW w:w="780" w:type="dxa"/>
            <w:tcBorders/>
          </w:tcPr>
          <w:p>
            <w:pPr>
              <w:pStyle w:val="Normal"/>
              <w:widowControl w:val="false"/>
              <w:spacing w:before="20" w:after="40"/>
              <w:contextualSpacing w:val="false"/>
              <w:rPr>
                <w:highlight w:val="none"/>
                <w:shd w:fill="auto" w:val="clear"/>
              </w:rPr>
            </w:pPr>
            <w:r>
              <w:rPr>
                <w:sz w:val="22"/>
                <w:shd w:fill="auto" w:val="clear"/>
              </w:rPr>
              <w:t>4.5.</w:t>
            </w:r>
          </w:p>
        </w:tc>
        <w:tc>
          <w:tcPr>
            <w:tcW w:w="7890" w:type="dxa"/>
            <w:tcBorders/>
          </w:tcPr>
          <w:p>
            <w:pPr>
              <w:pStyle w:val="Normal"/>
              <w:widowControl w:val="false"/>
              <w:spacing w:before="20" w:after="40"/>
              <w:contextualSpacing w:val="false"/>
              <w:jc w:val="both"/>
              <w:rPr>
                <w:highlight w:val="none"/>
                <w:shd w:fill="auto" w:val="clear"/>
              </w:rPr>
            </w:pPr>
            <w:r>
              <w:rPr>
                <w:sz w:val="22"/>
                <w:shd w:fill="auto" w:val="clear"/>
              </w:rPr>
              <w:t>Сведения об организациях, осуществляющих учет прав на эмиссионные ценные бумаги эмитента ………………………………...</w:t>
            </w:r>
          </w:p>
        </w:tc>
        <w:tc>
          <w:tcPr>
            <w:tcW w:w="617" w:type="dxa"/>
            <w:tcBorders/>
          </w:tcPr>
          <w:p>
            <w:pPr>
              <w:pStyle w:val="Normal"/>
              <w:widowControl w:val="false"/>
              <w:spacing w:before="20" w:after="40"/>
              <w:contextualSpacing w:val="false"/>
              <w:jc w:val="right"/>
              <w:rPr>
                <w:u w:val="single"/>
              </w:rPr>
            </w:pPr>
            <w:r>
              <w:rPr>
                <w:u w:val="single"/>
              </w:rPr>
            </w:r>
          </w:p>
          <w:p>
            <w:pPr>
              <w:pStyle w:val="Normal"/>
              <w:widowControl w:val="false"/>
              <w:spacing w:before="20" w:after="40"/>
              <w:contextualSpacing w:val="false"/>
              <w:jc w:val="right"/>
              <w:rPr/>
            </w:pPr>
            <w:r>
              <w:rPr>
                <w:u w:val="single"/>
              </w:rPr>
              <w:t>79</w:t>
            </w:r>
          </w:p>
        </w:tc>
      </w:tr>
      <w:tr>
        <w:trPr/>
        <w:tc>
          <w:tcPr>
            <w:tcW w:w="780" w:type="dxa"/>
            <w:tcBorders/>
          </w:tcPr>
          <w:p>
            <w:pPr>
              <w:pStyle w:val="Normal"/>
              <w:widowControl w:val="false"/>
              <w:spacing w:before="20" w:after="40"/>
              <w:contextualSpacing w:val="false"/>
              <w:rPr>
                <w:highlight w:val="none"/>
                <w:shd w:fill="auto" w:val="clear"/>
              </w:rPr>
            </w:pPr>
            <w:r>
              <w:rPr>
                <w:sz w:val="22"/>
                <w:shd w:fill="auto" w:val="clear"/>
              </w:rPr>
              <w:t>4.6.</w:t>
            </w:r>
          </w:p>
        </w:tc>
        <w:tc>
          <w:tcPr>
            <w:tcW w:w="7890" w:type="dxa"/>
            <w:tcBorders/>
          </w:tcPr>
          <w:p>
            <w:pPr>
              <w:pStyle w:val="Normal"/>
              <w:widowControl w:val="false"/>
              <w:spacing w:before="20" w:after="40"/>
              <w:contextualSpacing w:val="false"/>
              <w:jc w:val="both"/>
              <w:rPr>
                <w:highlight w:val="none"/>
                <w:shd w:fill="auto" w:val="clear"/>
              </w:rPr>
            </w:pPr>
            <w:r>
              <w:rPr>
                <w:sz w:val="22"/>
                <w:shd w:fill="auto" w:val="clear"/>
              </w:rPr>
              <w:t>Информация об аудиторе эмитента……………………………………...</w:t>
            </w:r>
          </w:p>
        </w:tc>
        <w:tc>
          <w:tcPr>
            <w:tcW w:w="617" w:type="dxa"/>
            <w:tcBorders/>
          </w:tcPr>
          <w:p>
            <w:pPr>
              <w:pStyle w:val="Normal"/>
              <w:widowControl w:val="false"/>
              <w:spacing w:before="20" w:after="40"/>
              <w:contextualSpacing w:val="false"/>
              <w:jc w:val="right"/>
              <w:rPr/>
            </w:pPr>
            <w:r>
              <w:rPr>
                <w:u w:val="single"/>
              </w:rPr>
              <w:t>80</w:t>
            </w:r>
          </w:p>
        </w:tc>
      </w:tr>
      <w:tr>
        <w:trPr/>
        <w:tc>
          <w:tcPr>
            <w:tcW w:w="8670" w:type="dxa"/>
            <w:gridSpan w:val="2"/>
            <w:tcBorders/>
          </w:tcPr>
          <w:p>
            <w:pPr>
              <w:pStyle w:val="Normal"/>
              <w:widowControl w:val="false"/>
              <w:spacing w:before="20" w:after="40"/>
              <w:contextualSpacing w:val="false"/>
              <w:jc w:val="both"/>
              <w:rPr>
                <w:sz w:val="22"/>
                <w:highlight w:val="none"/>
                <w:shd w:fill="auto" w:val="clear"/>
              </w:rPr>
            </w:pPr>
            <w:r>
              <w:rPr>
                <w:sz w:val="22"/>
                <w:shd w:fill="auto" w:val="clear"/>
              </w:rPr>
            </w:r>
          </w:p>
          <w:p>
            <w:pPr>
              <w:pStyle w:val="Normal"/>
              <w:widowControl w:val="false"/>
              <w:spacing w:before="20" w:after="40"/>
              <w:contextualSpacing w:val="false"/>
              <w:jc w:val="both"/>
              <w:rPr>
                <w:highlight w:val="none"/>
                <w:shd w:fill="auto" w:val="clear"/>
              </w:rPr>
            </w:pPr>
            <w:r>
              <w:rPr>
                <w:sz w:val="22"/>
                <w:shd w:fill="auto" w:val="clear"/>
              </w:rPr>
              <w:t>Раздел 5. Консолидированная финансовая отчетность (финансовая отчетность), бухгалтерская (финансовая) отчетность эмитента</w:t>
            </w:r>
          </w:p>
        </w:tc>
        <w:tc>
          <w:tcPr>
            <w:tcW w:w="617" w:type="dxa"/>
            <w:tcBorders/>
          </w:tcPr>
          <w:p>
            <w:pPr>
              <w:pStyle w:val="Normal"/>
              <w:widowControl w:val="false"/>
              <w:spacing w:before="20" w:after="40"/>
              <w:contextualSpacing w:val="false"/>
              <w:jc w:val="right"/>
              <w:rPr>
                <w:u w:val="single"/>
              </w:rPr>
            </w:pPr>
            <w:r>
              <w:rPr>
                <w:u w:val="single"/>
              </w:rPr>
            </w:r>
          </w:p>
          <w:p>
            <w:pPr>
              <w:pStyle w:val="Normal"/>
              <w:widowControl w:val="false"/>
              <w:spacing w:before="0" w:after="0"/>
              <w:contextualSpacing w:val="false"/>
              <w:jc w:val="right"/>
              <w:rPr>
                <w:u w:val="single"/>
              </w:rPr>
            </w:pPr>
            <w:r>
              <w:rPr>
                <w:u w:val="single"/>
              </w:rPr>
            </w:r>
          </w:p>
        </w:tc>
      </w:tr>
      <w:tr>
        <w:trPr/>
        <w:tc>
          <w:tcPr>
            <w:tcW w:w="780" w:type="dxa"/>
            <w:tcBorders/>
          </w:tcPr>
          <w:p>
            <w:pPr>
              <w:pStyle w:val="Normal"/>
              <w:widowControl w:val="false"/>
              <w:spacing w:before="20" w:after="40"/>
              <w:contextualSpacing w:val="false"/>
              <w:rPr>
                <w:highlight w:val="none"/>
                <w:shd w:fill="auto" w:val="clear"/>
              </w:rPr>
            </w:pPr>
            <w:r>
              <w:rPr>
                <w:sz w:val="22"/>
                <w:shd w:fill="auto" w:val="clear"/>
              </w:rPr>
              <w:t>5.1.</w:t>
            </w:r>
          </w:p>
        </w:tc>
        <w:tc>
          <w:tcPr>
            <w:tcW w:w="7890" w:type="dxa"/>
            <w:tcBorders/>
          </w:tcPr>
          <w:p>
            <w:pPr>
              <w:pStyle w:val="Normal"/>
              <w:widowControl w:val="false"/>
              <w:spacing w:before="20" w:after="40"/>
              <w:contextualSpacing w:val="false"/>
              <w:jc w:val="both"/>
              <w:rPr>
                <w:highlight w:val="none"/>
                <w:shd w:fill="auto" w:val="clear"/>
              </w:rPr>
            </w:pPr>
            <w:r>
              <w:rPr>
                <w:sz w:val="22"/>
                <w:shd w:fill="auto" w:val="clear"/>
              </w:rPr>
              <w:t>Консолидированная финансовая отчетность (финансовая отчетность) эмитента…………………………………………………………..</w:t>
            </w:r>
          </w:p>
        </w:tc>
        <w:tc>
          <w:tcPr>
            <w:tcW w:w="617" w:type="dxa"/>
            <w:tcBorders/>
          </w:tcPr>
          <w:p>
            <w:pPr>
              <w:pStyle w:val="Normal"/>
              <w:widowControl w:val="false"/>
              <w:spacing w:before="20" w:after="40"/>
              <w:contextualSpacing w:val="false"/>
              <w:jc w:val="right"/>
              <w:rPr>
                <w:u w:val="single"/>
              </w:rPr>
            </w:pPr>
            <w:r>
              <w:rPr>
                <w:u w:val="single"/>
              </w:rPr>
            </w:r>
          </w:p>
          <w:p>
            <w:pPr>
              <w:pStyle w:val="Normal"/>
              <w:widowControl w:val="false"/>
              <w:spacing w:before="20" w:after="40"/>
              <w:contextualSpacing w:val="false"/>
              <w:jc w:val="right"/>
              <w:rPr/>
            </w:pPr>
            <w:r>
              <w:rPr>
                <w:u w:val="single"/>
              </w:rPr>
              <w:t>86</w:t>
            </w:r>
          </w:p>
        </w:tc>
      </w:tr>
      <w:tr>
        <w:trPr/>
        <w:tc>
          <w:tcPr>
            <w:tcW w:w="780" w:type="dxa"/>
            <w:tcBorders/>
          </w:tcPr>
          <w:p>
            <w:pPr>
              <w:pStyle w:val="Normal"/>
              <w:widowControl w:val="false"/>
              <w:spacing w:before="20" w:after="40"/>
              <w:contextualSpacing w:val="false"/>
              <w:rPr>
                <w:highlight w:val="none"/>
                <w:shd w:fill="auto" w:val="clear"/>
              </w:rPr>
            </w:pPr>
            <w:r>
              <w:rPr>
                <w:sz w:val="22"/>
                <w:shd w:fill="auto" w:val="clear"/>
              </w:rPr>
              <w:t>5.2.</w:t>
            </w:r>
          </w:p>
        </w:tc>
        <w:tc>
          <w:tcPr>
            <w:tcW w:w="7890" w:type="dxa"/>
            <w:tcBorders/>
          </w:tcPr>
          <w:p>
            <w:pPr>
              <w:pStyle w:val="Normal"/>
              <w:widowControl w:val="false"/>
              <w:spacing w:before="20" w:after="40"/>
              <w:contextualSpacing w:val="false"/>
              <w:jc w:val="both"/>
              <w:rPr>
                <w:highlight w:val="none"/>
                <w:shd w:fill="auto" w:val="clear"/>
              </w:rPr>
            </w:pPr>
            <w:r>
              <w:rPr>
                <w:sz w:val="22"/>
                <w:shd w:fill="auto" w:val="clear"/>
              </w:rPr>
              <w:t>Бухгалтерская (финансовая) отчетность</w:t>
            </w:r>
          </w:p>
        </w:tc>
        <w:tc>
          <w:tcPr>
            <w:tcW w:w="617" w:type="dxa"/>
            <w:tcBorders/>
          </w:tcPr>
          <w:p>
            <w:pPr>
              <w:pStyle w:val="Normal"/>
              <w:widowControl w:val="false"/>
              <w:spacing w:before="20" w:after="40"/>
              <w:contextualSpacing w:val="false"/>
              <w:jc w:val="right"/>
              <w:rPr/>
            </w:pPr>
            <w:r>
              <w:rPr>
                <w:u w:val="single"/>
              </w:rPr>
              <w:t>86</w:t>
            </w:r>
          </w:p>
        </w:tc>
      </w:tr>
    </w:tbl>
    <w:p>
      <w:pPr>
        <w:pStyle w:val="1"/>
        <w:rPr/>
      </w:pPr>
      <w:r>
        <w:rPr/>
      </w:r>
    </w:p>
    <w:p>
      <w:pPr>
        <w:pStyle w:val="1"/>
        <w:rPr/>
      </w:pPr>
      <w:r>
        <w:rPr/>
      </w:r>
    </w:p>
    <w:p>
      <w:pPr>
        <w:pStyle w:val="1"/>
        <w:rPr/>
      </w:pPr>
      <w:r>
        <w:rPr/>
      </w:r>
    </w:p>
    <w:p>
      <w:pPr>
        <w:pStyle w:val="1"/>
        <w:rPr/>
      </w:pPr>
      <w:r>
        <w:rPr/>
      </w:r>
    </w:p>
    <w:p>
      <w:pPr>
        <w:pStyle w:val="1"/>
        <w:rPr/>
      </w:pPr>
      <w:r>
        <w:rPr/>
      </w:r>
    </w:p>
    <w:p>
      <w:pPr>
        <w:pStyle w:val="1"/>
        <w:rPr/>
      </w:pPr>
      <w:r>
        <w:rPr/>
      </w:r>
    </w:p>
    <w:p>
      <w:pPr>
        <w:pStyle w:val="1"/>
        <w:rPr/>
      </w:pPr>
      <w:r>
        <w:rPr/>
      </w:r>
    </w:p>
    <w:p>
      <w:pPr>
        <w:pStyle w:val="1"/>
        <w:rPr/>
      </w:pPr>
      <w:r>
        <w:rPr/>
      </w:r>
    </w:p>
    <w:p>
      <w:pPr>
        <w:pStyle w:val="1"/>
        <w:rPr/>
      </w:pPr>
      <w:r>
        <w:rPr/>
        <w:t>Введение</w:t>
      </w:r>
    </w:p>
    <w:p>
      <w:pPr>
        <w:pStyle w:val="Normal"/>
        <w:rPr>
          <w:i w:val="false"/>
          <w:i w:val="false"/>
          <w:iCs w:val="false"/>
        </w:rPr>
      </w:pPr>
      <w:r>
        <w:rPr>
          <w:i w:val="false"/>
          <w:iCs w:val="false"/>
        </w:rPr>
        <w:t>Основания возникновения у эмитента обязанности осуществлять раскрытие информации в форме отчета эмитента</w:t>
      </w:r>
    </w:p>
    <w:p>
      <w:pPr>
        <w:pStyle w:val="Normal"/>
        <w:ind w:firstLine="567"/>
        <w:jc w:val="both"/>
        <w:rPr/>
      </w:pPr>
      <w:r>
        <w:rPr>
          <w:b/>
          <w:i/>
        </w:rPr>
        <w:t>В отношении ценных бумаг эмитента осуществлена регистрация проспекта ценных бумаг</w:t>
      </w:r>
    </w:p>
    <w:p>
      <w:pPr>
        <w:pStyle w:val="Normal"/>
        <w:ind w:firstLine="567"/>
        <w:jc w:val="both"/>
        <w:rPr/>
      </w:pPr>
      <w:r>
        <w:rPr>
          <w:b/>
          <w:i/>
        </w:rPr>
        <w:t>Государственная регистрация выпуска (дополнительного выпуска) ценных бумаг эмитента сопровождалась регистрацией проспекта эмиссии ценных бумаг, при этом размещение таких ценных бумаг осуществлялось путем открытой подписки или путем закрытой подписки среди круга лиц, число которых превышало 500</w:t>
      </w:r>
    </w:p>
    <w:p>
      <w:pPr>
        <w:pStyle w:val="Normal"/>
        <w:ind w:firstLine="567"/>
        <w:jc w:val="both"/>
        <w:rPr/>
      </w:pPr>
      <w:r>
        <w:rPr>
          <w:b/>
          <w:i/>
        </w:rPr>
        <w:t>Эмитент является акционерным обществом, созданным при приватизации государственных и/или муниципальных предприятий (их подразделений), и в соответствии с планом приватизации, утвержденным в установленном порядке и являвшимся на дату его утверждения проспектом эмиссии акций такого эмитента, была предусмотрена возможность отчуждения акций эмитента более чем 500 приобретателям либо неограниченному кругу лиц</w:t>
      </w:r>
    </w:p>
    <w:p>
      <w:pPr>
        <w:pStyle w:val="Normal"/>
        <w:ind w:firstLine="567"/>
        <w:jc w:val="both"/>
        <w:rPr/>
      </w:pPr>
      <w:r>
        <w:rPr/>
      </w:r>
    </w:p>
    <w:p>
      <w:pPr>
        <w:pStyle w:val="Normal"/>
        <w:ind w:firstLine="567"/>
        <w:jc w:val="both"/>
        <w:rPr/>
      </w:pPr>
      <w:r>
        <w:rPr>
          <w:b/>
          <w:i/>
        </w:rPr>
        <w:t>Эмитент является публичным акционерным обществом</w:t>
      </w:r>
    </w:p>
    <w:p>
      <w:pPr>
        <w:pStyle w:val="Normal"/>
        <w:ind w:firstLine="567"/>
        <w:jc w:val="both"/>
        <w:rPr/>
      </w:pPr>
      <w:r>
        <w:rPr/>
      </w:r>
    </w:p>
    <w:p>
      <w:pPr>
        <w:pStyle w:val="Normal"/>
        <w:ind w:firstLine="567"/>
        <w:jc w:val="both"/>
        <w:rPr>
          <w:i w:val="false"/>
          <w:i w:val="false"/>
          <w:iCs w:val="false"/>
        </w:rPr>
      </w:pPr>
      <w:r>
        <w:rPr>
          <w:i w:val="false"/>
          <w:iCs w:val="false"/>
        </w:rPr>
        <w:t>Сведения об отчетности, ссылка на которую содержится в отчете эмитента и на основании которой в отчете эмитента раскрывается информация о финансово-хозяйственной деятельности эмитента:</w:t>
      </w:r>
    </w:p>
    <w:p>
      <w:pPr>
        <w:pStyle w:val="Normal"/>
        <w:ind w:firstLine="567"/>
        <w:jc w:val="both"/>
        <w:rPr/>
      </w:pPr>
      <w:r>
        <w:rPr>
          <w:b/>
          <w:i/>
        </w:rPr>
        <w:t>В отчёте содержится консолидированная финансовая отчетность, на основании которой в отчете эмитента раскрывается информация о финансово-хозяйственной деятельности эмитента</w:t>
      </w:r>
    </w:p>
    <w:p>
      <w:pPr>
        <w:pStyle w:val="ThinDelim"/>
        <w:ind w:firstLine="567"/>
        <w:jc w:val="both"/>
        <w:rPr/>
      </w:pPr>
      <w:r>
        <w:rPr/>
      </w:r>
    </w:p>
    <w:p>
      <w:pPr>
        <w:pStyle w:val="Normal"/>
        <w:ind w:firstLine="567"/>
        <w:jc w:val="both"/>
        <w:rPr>
          <w:i/>
          <w:i/>
          <w:iCs/>
        </w:rPr>
      </w:pPr>
      <w:r>
        <w:rPr>
          <w:i/>
          <w:iCs/>
        </w:rPr>
        <w:t>Информация о финансово-хозяйственной деятельности эмитента отражает его деятельность в качестве организации, которая вместе с другими организациями в соответствии с МСФО определяется как группа.</w:t>
      </w:r>
    </w:p>
    <w:p>
      <w:pPr>
        <w:pStyle w:val="Normal"/>
        <w:ind w:firstLine="567"/>
        <w:jc w:val="both"/>
        <w:rPr>
          <w:i/>
          <w:i/>
          <w:iCs/>
        </w:rPr>
      </w:pPr>
      <w:r>
        <w:rPr>
          <w:i/>
          <w:iCs/>
        </w:rPr>
        <w:t>Консолидированная финансовая отчетность, на основании которой в настоящем отчете эмитента раскрыта информация о финансово-хозяйственной деятельности эмитента, дает объективное и достоверное представление об активах, обязательствах, финансовом состоянии, прибыли или убытке эмитента. Информация о финансовом состоянии и результатах деятельности эмитента содержит достоверное представление о деятельности эмитента, а также об основных рисках, связанных с его деятельностью.</w:t>
      </w:r>
    </w:p>
    <w:p>
      <w:pPr>
        <w:pStyle w:val="Normal"/>
        <w:ind w:firstLine="567"/>
        <w:jc w:val="both"/>
        <w:rPr>
          <w:i/>
          <w:i/>
          <w:iCs/>
        </w:rPr>
      </w:pPr>
      <w:r>
        <w:rPr>
          <w:i/>
          <w:iCs/>
        </w:rPr>
        <w:t>Настоящий отчет эмитента содержит оценки и прогнозы в отношении будущих событий и (или) действий, перспектив развития отрасли экономики, в которой эмитент осуществляет основную деятельность, и результатов деятельности эмитента, его планов, вероятности наступления определенных событий и совершения определенных действий. Инвесторы не должны полностью полагаться на оценки и прогнозы, приведенные в настоящем отчете эмитента, так как фактические результаты деятельности эмитента в будущем могут отличаться от прогнозируемых результатов по многим причинам. Приобретение ценных бумаг эмитента связано с рисками, в том числе описанными в настоящем отчете эмитента.</w:t>
      </w:r>
    </w:p>
    <w:p>
      <w:pPr>
        <w:pStyle w:val="Normal"/>
        <w:ind w:firstLine="567"/>
        <w:jc w:val="both"/>
        <w:rPr>
          <w:i/>
          <w:i/>
          <w:iCs/>
        </w:rPr>
      </w:pPr>
      <w:r>
        <w:rPr>
          <w:i/>
          <w:iCs/>
        </w:rPr>
      </w:r>
    </w:p>
    <w:p>
      <w:pPr>
        <w:pStyle w:val="Normal"/>
        <w:ind w:firstLine="567"/>
        <w:jc w:val="both"/>
        <w:rPr/>
      </w:pPr>
      <w:r>
        <w:rPr>
          <w:i/>
          <w:iCs/>
        </w:rPr>
        <w:t>Иная информация, которая, по мнению эмитента, будет полезна для заинтересованных лиц при принятии ими экономических решений:</w:t>
      </w:r>
      <w:r>
        <w:rPr>
          <w:b/>
          <w:i/>
          <w:iCs/>
        </w:rPr>
        <w:t xml:space="preserve"> </w:t>
      </w:r>
      <w:r>
        <w:rPr>
          <w:b/>
          <w:i/>
        </w:rPr>
        <w:t>Используемые в тексте настоящего Отчета эмитента  наименования и сокращения:</w:t>
      </w:r>
    </w:p>
    <w:p>
      <w:pPr>
        <w:pStyle w:val="Normal"/>
        <w:jc w:val="both"/>
        <w:rPr>
          <w:highlight w:val="none"/>
          <w:shd w:fill="auto" w:val="clear"/>
        </w:rPr>
      </w:pPr>
      <w:r>
        <w:rPr>
          <w:b/>
          <w:i/>
        </w:rPr>
        <w:t>ПАО  «Камчатскэнерго» - Эмитент, Общество, Компания.</w:t>
      </w:r>
    </w:p>
    <w:p>
      <w:pPr>
        <w:pStyle w:val="Normal"/>
        <w:jc w:val="both"/>
        <w:rPr>
          <w:highlight w:val="none"/>
          <w:shd w:fill="auto" w:val="clear"/>
        </w:rPr>
      </w:pPr>
      <w:r>
        <w:rPr>
          <w:b/>
          <w:i/>
          <w:shd w:fill="auto" w:val="clear"/>
        </w:rPr>
        <w:t>Организация ПАО   «Камчатскэнерго», АО «ЮЭСК», ООО «Геотермальная энергетика» - Группа ПАО «Камчатскэнерго».</w:t>
      </w:r>
    </w:p>
    <w:p>
      <w:pPr>
        <w:pStyle w:val="Normal"/>
        <w:jc w:val="both"/>
        <w:rPr>
          <w:highlight w:val="none"/>
          <w:shd w:fill="auto" w:val="clear"/>
        </w:rPr>
      </w:pPr>
      <w:r>
        <w:rPr>
          <w:b/>
          <w:i/>
          <w:shd w:fill="auto" w:val="clear"/>
        </w:rPr>
        <w:t xml:space="preserve"> </w:t>
      </w:r>
    </w:p>
    <w:p>
      <w:pPr>
        <w:pStyle w:val="1"/>
        <w:jc w:val="both"/>
        <w:rPr>
          <w:highlight w:val="none"/>
          <w:shd w:fill="FFFF00" w:val="clear"/>
        </w:rPr>
      </w:pPr>
      <w:r>
        <w:rPr>
          <w:shd w:fill="FFFF00" w:val="clear"/>
        </w:rPr>
      </w:r>
    </w:p>
    <w:p>
      <w:pPr>
        <w:pStyle w:val="1"/>
        <w:jc w:val="both"/>
        <w:rPr>
          <w:highlight w:val="none"/>
          <w:shd w:fill="FFFF00" w:val="clear"/>
        </w:rPr>
      </w:pPr>
      <w:r>
        <w:rPr>
          <w:shd w:fill="FFFF00" w:val="clear"/>
        </w:rPr>
      </w:r>
    </w:p>
    <w:p>
      <w:pPr>
        <w:pStyle w:val="1"/>
        <w:jc w:val="both"/>
        <w:rPr/>
      </w:pPr>
      <w:r>
        <w:rPr/>
        <w:t>Раздел 1. Управленческий отчет эмитента</w:t>
      </w:r>
    </w:p>
    <w:p>
      <w:pPr>
        <w:pStyle w:val="2"/>
        <w:jc w:val="both"/>
        <w:rPr/>
      </w:pPr>
      <w:r>
        <w:rPr/>
        <w:t>1.1. Общие сведения об эмитенте и его деятельности.</w:t>
      </w:r>
    </w:p>
    <w:p>
      <w:pPr>
        <w:pStyle w:val="Normal"/>
        <w:spacing w:before="20" w:after="40"/>
        <w:contextualSpacing/>
        <w:jc w:val="both"/>
        <w:rPr>
          <w:i w:val="false"/>
          <w:i w:val="false"/>
          <w:iCs w:val="false"/>
        </w:rPr>
      </w:pPr>
      <w:r>
        <w:rPr>
          <w:i w:val="false"/>
          <w:iCs w:val="false"/>
        </w:rPr>
      </w:r>
    </w:p>
    <w:p>
      <w:pPr>
        <w:pStyle w:val="Normal"/>
        <w:spacing w:before="20" w:after="40"/>
        <w:contextualSpacing/>
        <w:jc w:val="both"/>
        <w:rPr/>
      </w:pPr>
      <w:r>
        <w:rPr>
          <w:i w:val="false"/>
          <w:iCs w:val="false"/>
        </w:rPr>
        <w:t>Полное фирменное наименование эмитента:</w:t>
      </w:r>
      <w:r>
        <w:rPr>
          <w:b/>
          <w:i w:val="false"/>
          <w:iCs w:val="false"/>
        </w:rPr>
        <w:t xml:space="preserve"> </w:t>
      </w:r>
      <w:r>
        <w:rPr>
          <w:b/>
          <w:i/>
        </w:rPr>
        <w:t>Публичное акционерное общество энергетики и электрификации «Камчатскэнерго»</w:t>
      </w:r>
    </w:p>
    <w:p>
      <w:pPr>
        <w:pStyle w:val="Normal"/>
        <w:spacing w:before="20" w:after="40"/>
        <w:contextualSpacing/>
        <w:jc w:val="both"/>
        <w:rPr>
          <w:i/>
          <w:i/>
          <w:iCs/>
        </w:rPr>
      </w:pPr>
      <w:r>
        <w:rPr>
          <w:i/>
          <w:iCs/>
        </w:rPr>
      </w:r>
    </w:p>
    <w:p>
      <w:pPr>
        <w:pStyle w:val="Normal"/>
        <w:spacing w:before="20" w:after="40"/>
        <w:contextualSpacing/>
        <w:jc w:val="both"/>
        <w:rPr/>
      </w:pPr>
      <w:r>
        <w:rPr>
          <w:i/>
          <w:iCs/>
        </w:rPr>
        <w:t>Сокращенное фирменное наименование эмитента:</w:t>
      </w:r>
      <w:r>
        <w:rPr>
          <w:b/>
          <w:i/>
        </w:rPr>
        <w:t xml:space="preserve"> ПАО «Камчатскэнерго»</w:t>
      </w:r>
    </w:p>
    <w:p>
      <w:pPr>
        <w:pStyle w:val="Normal"/>
        <w:spacing w:before="20" w:after="40"/>
        <w:contextualSpacing/>
        <w:jc w:val="both"/>
        <w:rPr/>
      </w:pPr>
      <w:r>
        <w:rPr/>
      </w:r>
    </w:p>
    <w:p>
      <w:pPr>
        <w:pStyle w:val="Normal"/>
        <w:spacing w:before="20" w:after="40"/>
        <w:contextualSpacing/>
        <w:jc w:val="both"/>
        <w:rPr/>
      </w:pPr>
      <w:r>
        <w:rPr>
          <w:b/>
          <w:i/>
        </w:rPr>
        <w:t>В уставе эмитента зарегистрировано наименование на иностранном языке</w:t>
      </w:r>
    </w:p>
    <w:p>
      <w:pPr>
        <w:pStyle w:val="Normal"/>
        <w:spacing w:before="20" w:after="40"/>
        <w:contextualSpacing/>
        <w:jc w:val="both"/>
        <w:rPr/>
      </w:pPr>
      <w:r>
        <w:rPr>
          <w:rFonts w:eastAsia="0" w:cs="0"/>
          <w:b/>
          <w:i w:val="false"/>
          <w:iCs w:val="false"/>
          <w:color w:val="000000"/>
          <w:sz w:val="20"/>
        </w:rPr>
        <w:t>Наименование эмитента на иностранном языке:</w:t>
      </w:r>
      <w:r>
        <w:rPr>
          <w:b/>
          <w:i/>
        </w:rPr>
        <w:t xml:space="preserve"> Public Joint-Stock Company «Kamchatskenergo».</w:t>
      </w:r>
    </w:p>
    <w:p>
      <w:pPr>
        <w:pStyle w:val="Normal"/>
        <w:spacing w:before="20" w:after="40"/>
        <w:contextualSpacing/>
        <w:jc w:val="both"/>
        <w:rPr/>
      </w:pPr>
      <w:r>
        <w:rPr/>
      </w:r>
    </w:p>
    <w:p>
      <w:pPr>
        <w:pStyle w:val="Normal"/>
        <w:spacing w:before="20" w:after="40"/>
        <w:contextualSpacing/>
        <w:jc w:val="both"/>
        <w:rPr/>
      </w:pPr>
      <w:r>
        <w:rPr>
          <w:rFonts w:eastAsia="0" w:cs="0"/>
          <w:b w:val="false"/>
          <w:bCs w:val="false"/>
          <w:i w:val="false"/>
          <w:iCs w:val="false"/>
          <w:color w:val="000000"/>
          <w:sz w:val="20"/>
        </w:rPr>
        <w:t>Место нахождения эмитента:</w:t>
      </w:r>
      <w:r>
        <w:rPr>
          <w:b/>
          <w:i/>
        </w:rPr>
        <w:t xml:space="preserve"> Российская Федерация, г.  Петропавловск-Камчатский.</w:t>
      </w:r>
    </w:p>
    <w:p>
      <w:pPr>
        <w:pStyle w:val="Normal"/>
        <w:spacing w:before="20" w:after="40"/>
        <w:contextualSpacing/>
        <w:jc w:val="both"/>
        <w:rPr/>
      </w:pPr>
      <w:r>
        <w:rPr>
          <w:rFonts w:eastAsia="0" w:cs="0"/>
          <w:b w:val="false"/>
          <w:bCs w:val="false"/>
          <w:i w:val="false"/>
          <w:iCs w:val="false"/>
          <w:color w:val="000000"/>
          <w:sz w:val="20"/>
        </w:rPr>
        <w:t>Адрес эмитента:</w:t>
      </w:r>
      <w:r>
        <w:rPr>
          <w:b/>
          <w:i/>
        </w:rPr>
        <w:t xml:space="preserve"> 683000 Россия, г. Петропавловск-Камчатский, ул. Набережная 10.</w:t>
      </w:r>
    </w:p>
    <w:p>
      <w:pPr>
        <w:pStyle w:val="Normal"/>
        <w:spacing w:before="20" w:after="40"/>
        <w:contextualSpacing/>
        <w:jc w:val="both"/>
        <w:rPr/>
      </w:pPr>
      <w:r>
        <w:rPr/>
      </w:r>
    </w:p>
    <w:p>
      <w:pPr>
        <w:pStyle w:val="Normal"/>
        <w:spacing w:before="20" w:after="40"/>
        <w:contextualSpacing/>
        <w:jc w:val="both"/>
        <w:rPr/>
      </w:pPr>
      <w:r>
        <w:rPr>
          <w:rFonts w:eastAsia="0" w:cs="0"/>
          <w:i/>
          <w:iCs/>
          <w:color w:val="000000"/>
          <w:sz w:val="20"/>
        </w:rPr>
        <w:t>Сведения о способе создания эмитента:</w:t>
      </w:r>
      <w:r>
        <w:rPr/>
        <w:t xml:space="preserve"> </w:t>
      </w:r>
      <w:r>
        <w:rPr>
          <w:b/>
          <w:i/>
        </w:rPr>
        <w:t>ПАО «Камчатскэнерго» (далее – «Общество») учреждено в соответствии с Указами Президента Российской Федерации от 14 августа 1992 г. № 922 «Об особенностях преобразования государственных предприятий, объединений, организаций топливно-энергетического комплекса в акционерные общества», от 15 августа 1992 г. №  923 «Об организации управления электроэнергетическим комплексом Российской Федерации в условиях приватизации», от 05 ноября 1992 г. № 1334 «О реализации в электроэнергетической промышленности Указа Президента Российской Федерации от 14 августа 1992 г. № 922 «Об особенностях преобразования государственных предприятий, объединений, организаций топливно-энергетического комплекса в акционерные общества», от 16 ноября 1992 г. № 1392 «О мерах по реализации промышленной политики при приватизации государственных предприятий», от 01 июля 1992 № 721 «Об организационных мерах по преобразованию государственных предприятий, добровольных объединений государственных предприятий в акционерные общества», Гражданским кодексом Российской Федерации, Федеральным законом «Об акционерных обществах», иными нормативными правовыми актами Российской Федерации и в своей деятельности руководствуется законодательством Российской Федерации и Уставом Общества.</w:t>
      </w:r>
    </w:p>
    <w:p>
      <w:pPr>
        <w:pStyle w:val="Normal"/>
        <w:spacing w:before="20" w:after="40"/>
        <w:contextualSpacing/>
        <w:jc w:val="both"/>
        <w:rPr/>
      </w:pPr>
      <w:r>
        <w:rPr/>
      </w:r>
    </w:p>
    <w:p>
      <w:pPr>
        <w:pStyle w:val="Normal"/>
        <w:spacing w:before="20" w:after="40"/>
        <w:contextualSpacing/>
        <w:jc w:val="both"/>
        <w:rPr/>
      </w:pPr>
      <w:r>
        <w:rPr>
          <w:rFonts w:eastAsia="0" w:cs="0"/>
          <w:i w:val="false"/>
          <w:iCs w:val="false"/>
          <w:color w:val="000000"/>
          <w:sz w:val="20"/>
        </w:rPr>
        <w:t>Дата создания эмитента:</w:t>
      </w:r>
      <w:r>
        <w:rPr>
          <w:b/>
          <w:i/>
        </w:rPr>
        <w:t xml:space="preserve"> 09.04.1993</w:t>
      </w:r>
    </w:p>
    <w:p>
      <w:pPr>
        <w:pStyle w:val="SubHeading"/>
        <w:spacing w:before="240" w:after="40"/>
        <w:contextualSpacing/>
        <w:jc w:val="both"/>
        <w:rPr>
          <w:rFonts w:ascii="0" w:hAnsi="0" w:eastAsia="0" w:cs="0"/>
          <w:i w:val="false"/>
          <w:i w:val="false"/>
          <w:iCs w:val="false"/>
          <w:color w:val="000000"/>
          <w:sz w:val="20"/>
        </w:rPr>
      </w:pPr>
      <w:r>
        <w:rPr>
          <w:rFonts w:eastAsia="0" w:cs="0"/>
          <w:i w:val="false"/>
          <w:iCs w:val="false"/>
          <w:color w:val="000000"/>
          <w:sz w:val="20"/>
        </w:rPr>
        <w:t>Все предшествующие наименования эмитента в течение трех последних лет, предшествующих дате окончания отчетного периода, за который составлен отчет эмитента:</w:t>
      </w:r>
    </w:p>
    <w:p>
      <w:pPr>
        <w:pStyle w:val="Normal"/>
        <w:spacing w:before="20" w:after="40"/>
        <w:contextualSpacing/>
        <w:jc w:val="both"/>
        <w:rPr/>
      </w:pPr>
      <w:r>
        <w:rPr>
          <w:b/>
          <w:i/>
        </w:rPr>
        <w:t>Наименования эмитента в течение трех последних лет, предшествующих дате окончания отчетного периода, за который составлен отчет эмитента, не изменялись.</w:t>
      </w:r>
    </w:p>
    <w:p>
      <w:pPr>
        <w:pStyle w:val="Normal"/>
        <w:spacing w:before="20" w:after="40"/>
        <w:contextualSpacing/>
        <w:jc w:val="both"/>
        <w:rPr/>
      </w:pPr>
      <w:r>
        <w:rPr/>
      </w:r>
    </w:p>
    <w:p>
      <w:pPr>
        <w:pStyle w:val="Normal"/>
        <w:spacing w:before="20" w:after="40"/>
        <w:contextualSpacing/>
        <w:jc w:val="both"/>
        <w:rPr/>
      </w:pPr>
      <w:r>
        <w:rPr>
          <w:b/>
          <w:i/>
        </w:rPr>
        <w:t>Реорганизации эмитента в течение трех последних лет, предшествующих дате окончания отчетного периода, за который составлен отчет эмитента, не осуществлялись.</w:t>
      </w:r>
    </w:p>
    <w:p>
      <w:pPr>
        <w:pStyle w:val="Normal"/>
        <w:spacing w:before="20" w:after="40"/>
        <w:contextualSpacing/>
        <w:jc w:val="both"/>
        <w:rPr/>
      </w:pPr>
      <w:r>
        <w:rPr/>
      </w:r>
    </w:p>
    <w:p>
      <w:pPr>
        <w:pStyle w:val="Normal"/>
        <w:spacing w:before="20" w:after="40"/>
        <w:contextualSpacing/>
        <w:jc w:val="both"/>
        <w:rPr/>
      </w:pPr>
      <w:r>
        <w:rPr>
          <w:rFonts w:eastAsia="0" w:cs="0"/>
          <w:i w:val="false"/>
          <w:iCs w:val="false"/>
          <w:color w:val="000000"/>
          <w:sz w:val="20"/>
        </w:rPr>
        <w:t>Основной государственный регистрационный номер (ОГРН):</w:t>
      </w:r>
      <w:r>
        <w:rPr>
          <w:b/>
          <w:i/>
        </w:rPr>
        <w:t xml:space="preserve"> 1024101024078</w:t>
      </w:r>
    </w:p>
    <w:p>
      <w:pPr>
        <w:pStyle w:val="Normal"/>
        <w:spacing w:before="20" w:after="40"/>
        <w:contextualSpacing/>
        <w:jc w:val="both"/>
        <w:rPr/>
      </w:pPr>
      <w:r>
        <w:rPr>
          <w:rFonts w:eastAsia="0" w:cs="0"/>
          <w:i/>
          <w:iCs/>
          <w:color w:val="000000"/>
          <w:sz w:val="20"/>
        </w:rPr>
        <w:t>Идентификационный номер налогоплательщика (ИНН):</w:t>
      </w:r>
      <w:r>
        <w:rPr>
          <w:b/>
          <w:i/>
        </w:rPr>
        <w:t xml:space="preserve"> 4100000668</w:t>
      </w:r>
    </w:p>
    <w:p>
      <w:pPr>
        <w:pStyle w:val="Normal"/>
        <w:spacing w:before="20" w:after="40"/>
        <w:contextualSpacing/>
        <w:jc w:val="both"/>
        <w:rPr/>
      </w:pPr>
      <w:r>
        <w:rPr/>
      </w:r>
    </w:p>
    <w:p>
      <w:pPr>
        <w:pStyle w:val="Normal"/>
        <w:spacing w:before="20" w:after="40"/>
        <w:contextualSpacing/>
        <w:jc w:val="both"/>
        <w:rPr>
          <w:rFonts w:ascii="0" w:hAnsi="0" w:eastAsia="0" w:cs="0"/>
          <w:i w:val="false"/>
          <w:i w:val="false"/>
          <w:iCs w:val="false"/>
          <w:color w:val="000000"/>
          <w:sz w:val="20"/>
        </w:rPr>
      </w:pPr>
      <w:r>
        <w:rPr>
          <w:rFonts w:eastAsia="0" w:cs="0"/>
          <w:i w:val="false"/>
          <w:iCs w:val="false"/>
          <w:color w:val="000000"/>
          <w:sz w:val="20"/>
        </w:rPr>
        <w:t>Краткое описание финансово-хозяйственной деятельности, операционных сегментов и географии осуществления финансово-хозяйственной деятельности группы эмитента:</w:t>
      </w:r>
    </w:p>
    <w:p>
      <w:pPr>
        <w:pStyle w:val="Normal"/>
        <w:spacing w:before="20" w:after="40"/>
        <w:contextualSpacing/>
        <w:jc w:val="both"/>
        <w:rPr/>
      </w:pPr>
      <w:r>
        <w:rPr>
          <w:b/>
          <w:i/>
        </w:rPr>
        <w:t>Публичное акционерное общество энергетики и электрификации «Камчатскэнерго» осуществляет производство, передачу и распределение электрической и тепловой энергии, поставку (продажу) электрической и тепловой энергии по установленным тарифам, оказывает услуги по эксплуатации энергетических объектов, осуществляет другие виды деятельности, разрешенные законодательством.</w:t>
      </w:r>
    </w:p>
    <w:p>
      <w:pPr>
        <w:pStyle w:val="Normal"/>
        <w:spacing w:before="20" w:after="40"/>
        <w:contextualSpacing/>
        <w:jc w:val="both"/>
        <w:rPr/>
      </w:pPr>
      <w:r>
        <w:rPr>
          <w:b/>
          <w:i/>
        </w:rPr>
        <w:t xml:space="preserve">По причине географической отдалённости, энергосистема Камчатского края не связана с Единой энергосистемой России и энергосистемами других регионов, а также разделена на большое количество отдельных, не связанных друг с другом энергоузлов. Крупнейшим из них является Центральный энергоузел, объединяющий города Петропавловск-Камчатский и Вилючинск, а также территории Елизовского ГП и частично Усть-Большерецкого МО и Мильковского МО. Остальные энергоузлы имеют намного меньшую мощность и в основном базируются на дизельных электростанциях. </w:t>
      </w:r>
    </w:p>
    <w:p>
      <w:pPr>
        <w:pStyle w:val="Normal"/>
        <w:spacing w:before="20" w:after="40"/>
        <w:contextualSpacing/>
        <w:jc w:val="both"/>
        <w:rPr/>
      </w:pPr>
      <w:r>
        <w:rPr>
          <w:b/>
          <w:i/>
        </w:rPr>
        <w:t>Информация о выручке отчетного периода, закончившегося 31.12.2025, представле</w:t>
      </w:r>
      <w:r>
        <w:rPr>
          <w:b/>
          <w:i/>
          <w:shd w:fill="auto" w:val="clear"/>
        </w:rPr>
        <w:t xml:space="preserve">на в Примечании 15 к консолидированной финансовой отчетности за 12 мес. 2025 год. </w:t>
      </w:r>
    </w:p>
    <w:p>
      <w:pPr>
        <w:pStyle w:val="Normal"/>
        <w:spacing w:before="20" w:after="40"/>
        <w:contextualSpacing/>
        <w:jc w:val="both"/>
        <w:rPr/>
      </w:pPr>
      <w:r>
        <w:rPr/>
      </w:r>
    </w:p>
    <w:p>
      <w:pPr>
        <w:pStyle w:val="Normal"/>
        <w:spacing w:before="20" w:after="40"/>
        <w:contextualSpacing/>
        <w:jc w:val="both"/>
        <w:rPr>
          <w:i w:val="false"/>
          <w:i w:val="false"/>
          <w:iCs w:val="false"/>
        </w:rPr>
      </w:pPr>
      <w:r>
        <w:rPr>
          <w:i w:val="false"/>
          <w:iCs w:val="false"/>
        </w:rPr>
        <w:t>Адрес страницы в сети Интернет, на которой в свободном доступе размещена указанная отчетность:</w:t>
      </w:r>
      <w:r>
        <w:rPr>
          <w:b/>
          <w:i w:val="false"/>
          <w:iCs w:val="false"/>
        </w:rPr>
        <w:t xml:space="preserve"> </w:t>
      </w:r>
    </w:p>
    <w:p>
      <w:pPr>
        <w:pStyle w:val="Normal"/>
        <w:spacing w:before="20" w:after="40"/>
        <w:contextualSpacing/>
        <w:jc w:val="both"/>
        <w:rPr/>
      </w:pPr>
      <w:hyperlink r:id="rId2" w:tgtFrame="https://www.e-disclosure.ru/portal/files.aspx?id=1409&amp;type=4">
        <w:r>
          <w:rPr>
            <w:b/>
            <w:i/>
          </w:rPr>
          <w:t>https://www.e-disclosure.ru/portal/files.aspx?id=1409&amp;type=4</w:t>
        </w:r>
      </w:hyperlink>
      <w:r>
        <w:rPr>
          <w:b/>
          <w:i/>
        </w:rPr>
        <w:t xml:space="preserve">; </w:t>
      </w:r>
    </w:p>
    <w:p>
      <w:pPr>
        <w:pStyle w:val="Normal"/>
        <w:spacing w:before="20" w:after="40"/>
        <w:contextualSpacing/>
        <w:jc w:val="both"/>
        <w:rPr/>
      </w:pPr>
      <w:hyperlink r:id="rId3" w:tgtFrame="https://fedresurs.ru/sfactmessage/3D40DA3E426B48808F2B1DC5212F2C11">
        <w:r>
          <w:rPr>
            <w:b/>
            <w:i/>
          </w:rPr>
          <w:t>https://fedresurs.ru/sfactmessage/3D40DA3E426B48808F2B1DC5212F2C11</w:t>
        </w:r>
      </w:hyperlink>
      <w:r>
        <w:rPr>
          <w:b/>
          <w:i/>
        </w:rPr>
        <w:t>.</w:t>
      </w:r>
    </w:p>
    <w:p>
      <w:pPr>
        <w:pStyle w:val="Normal"/>
        <w:spacing w:before="20" w:after="40"/>
        <w:contextualSpacing/>
        <w:jc w:val="both"/>
        <w:rPr/>
      </w:pPr>
      <w:r>
        <w:rPr/>
      </w:r>
    </w:p>
    <w:p>
      <w:pPr>
        <w:pStyle w:val="Normal"/>
        <w:spacing w:before="20" w:after="40"/>
        <w:contextualSpacing/>
        <w:jc w:val="both"/>
        <w:rPr/>
      </w:pPr>
      <w:r>
        <w:rPr>
          <w:rFonts w:eastAsia="0" w:cs="0"/>
          <w:i w:val="false"/>
          <w:iCs w:val="false"/>
          <w:color w:val="000000"/>
          <w:sz w:val="20"/>
        </w:rPr>
        <w:t>Краткая характеристика группы эмитента:</w:t>
      </w:r>
    </w:p>
    <w:p>
      <w:pPr>
        <w:pStyle w:val="Normal"/>
        <w:spacing w:before="20" w:after="40"/>
        <w:contextualSpacing/>
        <w:jc w:val="both"/>
        <w:rPr>
          <w:b/>
          <w:i/>
          <w:i/>
        </w:rPr>
      </w:pPr>
      <w:r>
        <w:rPr>
          <w:b/>
          <w:i/>
        </w:rPr>
      </w:r>
    </w:p>
    <w:p>
      <w:pPr>
        <w:pStyle w:val="Normal"/>
        <w:spacing w:before="20" w:after="40"/>
        <w:contextualSpacing/>
        <w:jc w:val="both"/>
        <w:rPr>
          <w:highlight w:val="none"/>
          <w:shd w:fill="auto" w:val="clear"/>
        </w:rPr>
      </w:pPr>
      <w:r>
        <w:rPr>
          <w:b/>
          <w:i/>
          <w:shd w:fill="auto" w:val="clear"/>
        </w:rPr>
        <w:t>В состав Группы входят ПАО «Камчатскэнерго» и его дочернее общество- Акционерное общество «Южные электрические сети Камчатки» (далее — АО «ЮЭСК»).</w:t>
      </w:r>
    </w:p>
    <w:p>
      <w:pPr>
        <w:pStyle w:val="Normal"/>
        <w:spacing w:before="20" w:after="40"/>
        <w:contextualSpacing/>
        <w:jc w:val="both"/>
        <w:rPr>
          <w:b/>
          <w:i/>
          <w:i/>
          <w:highlight w:val="none"/>
          <w:shd w:fill="auto" w:val="clear"/>
        </w:rPr>
      </w:pPr>
      <w:r>
        <w:rPr>
          <w:b/>
          <w:i/>
          <w:shd w:fill="auto" w:val="clear"/>
        </w:rPr>
      </w:r>
    </w:p>
    <w:p>
      <w:pPr>
        <w:pStyle w:val="Normal"/>
        <w:spacing w:before="20" w:after="40"/>
        <w:contextualSpacing/>
        <w:jc w:val="both"/>
        <w:rPr>
          <w:highlight w:val="none"/>
          <w:shd w:fill="auto" w:val="clear"/>
        </w:rPr>
      </w:pPr>
      <w:r>
        <w:rPr>
          <w:b/>
          <w:i/>
          <w:shd w:fill="auto" w:val="clear"/>
        </w:rPr>
        <w:t>Информация о дочернем обществе и совместном предприятии ПАО «Камчатскэнерго» представлена ниже:</w:t>
      </w:r>
    </w:p>
    <w:p>
      <w:pPr>
        <w:pStyle w:val="Normal"/>
        <w:spacing w:before="20" w:after="40"/>
        <w:contextualSpacing/>
        <w:jc w:val="both"/>
        <w:rPr>
          <w:b/>
          <w:i/>
          <w:i/>
          <w:highlight w:val="none"/>
          <w:shd w:fill="auto" w:val="clear"/>
        </w:rPr>
      </w:pPr>
      <w:r>
        <w:rPr>
          <w:b/>
          <w:i/>
          <w:shd w:fill="auto" w:val="clear"/>
        </w:rPr>
      </w:r>
    </w:p>
    <w:p>
      <w:pPr>
        <w:pStyle w:val="Normal"/>
        <w:spacing w:before="20" w:after="40"/>
        <w:contextualSpacing/>
        <w:jc w:val="both"/>
        <w:rPr>
          <w:highlight w:val="none"/>
          <w:shd w:fill="auto" w:val="clear"/>
        </w:rPr>
      </w:pPr>
      <w:r>
        <w:rPr>
          <w:b/>
          <w:i/>
          <w:shd w:fill="auto" w:val="clear"/>
        </w:rPr>
        <w:t>- ПАО «Камчатскэнерго» владеет 100 % акций АО «ЮЭСК» по состоянию на 31 декабря 2025 года.</w:t>
      </w:r>
    </w:p>
    <w:p>
      <w:pPr>
        <w:pStyle w:val="Normal"/>
        <w:spacing w:before="20" w:after="40"/>
        <w:contextualSpacing/>
        <w:jc w:val="both"/>
        <w:rPr>
          <w:highlight w:val="none"/>
          <w:shd w:fill="auto" w:val="clear"/>
        </w:rPr>
      </w:pPr>
      <w:r>
        <w:rPr>
          <w:b/>
          <w:i/>
          <w:shd w:fill="auto" w:val="clear"/>
        </w:rPr>
        <w:t xml:space="preserve">- </w:t>
      </w:r>
      <w:r>
        <w:rPr>
          <w:b/>
          <w:bCs/>
          <w:i/>
          <w:shd w:fill="auto" w:val="clear"/>
        </w:rPr>
        <w:t>ПАО «Камчатскэнерго» владеет 51 % акций ООО «Геотермальная энергетика» по состоянию на 31 декабря 2025 года.</w:t>
      </w:r>
    </w:p>
    <w:p>
      <w:pPr>
        <w:pStyle w:val="Normal"/>
        <w:spacing w:before="20" w:after="40"/>
        <w:contextualSpacing/>
        <w:jc w:val="both"/>
        <w:rPr>
          <w:b/>
          <w:i/>
          <w:i/>
        </w:rPr>
      </w:pPr>
      <w:r>
        <w:rPr>
          <w:b/>
          <w:i/>
        </w:rPr>
      </w:r>
    </w:p>
    <w:p>
      <w:pPr>
        <w:pStyle w:val="Normal"/>
        <w:spacing w:before="20" w:after="40"/>
        <w:contextualSpacing/>
        <w:jc w:val="both"/>
        <w:rPr/>
      </w:pPr>
      <w:r>
        <w:rPr>
          <w:b/>
          <w:i/>
        </w:rPr>
        <w:t>Дочернее общество и совместное предприятие ПАО «Камчатскэнерго» осуществляют свою деятельность на территории Камчатского края.</w:t>
      </w:r>
    </w:p>
    <w:p>
      <w:pPr>
        <w:pStyle w:val="Normal"/>
        <w:spacing w:before="20" w:after="40"/>
        <w:contextualSpacing/>
        <w:jc w:val="both"/>
        <w:rPr>
          <w:b/>
          <w:i/>
          <w:i/>
        </w:rPr>
      </w:pPr>
      <w:r>
        <w:rPr>
          <w:b/>
          <w:i/>
        </w:rPr>
      </w:r>
    </w:p>
    <w:p>
      <w:pPr>
        <w:pStyle w:val="Normal"/>
        <w:spacing w:before="20" w:after="40"/>
        <w:contextualSpacing/>
        <w:jc w:val="both"/>
        <w:rPr>
          <w:rFonts w:eastAsia="0" w:cs="0"/>
          <w:i w:val="false"/>
          <w:i w:val="false"/>
          <w:iCs w:val="false"/>
          <w:color w:val="000000"/>
          <w:sz w:val="20"/>
        </w:rPr>
      </w:pPr>
      <w:r>
        <w:rPr>
          <w:rFonts w:eastAsia="0" w:cs="0"/>
          <w:i w:val="false"/>
          <w:iCs w:val="false"/>
          <w:color w:val="000000"/>
          <w:sz w:val="20"/>
        </w:rPr>
      </w:r>
    </w:p>
    <w:p>
      <w:pPr>
        <w:pStyle w:val="Normal"/>
        <w:spacing w:before="20" w:after="40"/>
        <w:contextualSpacing/>
        <w:jc w:val="both"/>
        <w:rPr/>
      </w:pPr>
      <w:r>
        <w:rPr>
          <w:rFonts w:eastAsia="0" w:cs="0"/>
          <w:i w:val="false"/>
          <w:iCs w:val="false"/>
          <w:color w:val="000000"/>
          <w:sz w:val="20"/>
        </w:rPr>
        <w:t xml:space="preserve">Общее число организаций, составляющих группу эмитента: </w:t>
      </w:r>
      <w:r>
        <w:rPr>
          <w:rFonts w:eastAsia="0" w:cs="0"/>
          <w:b/>
          <w:bCs/>
          <w:i w:val="false"/>
          <w:iCs w:val="false"/>
          <w:color w:val="000000"/>
          <w:sz w:val="20"/>
        </w:rPr>
        <w:t>3</w:t>
      </w:r>
      <w:r>
        <w:rPr>
          <w:b/>
          <w:bCs/>
          <w:i/>
        </w:rPr>
        <w:t>.</w:t>
      </w:r>
    </w:p>
    <w:p>
      <w:pPr>
        <w:pStyle w:val="Normal"/>
        <w:spacing w:before="20" w:after="40"/>
        <w:contextualSpacing/>
        <w:jc w:val="both"/>
        <w:rPr/>
      </w:pPr>
      <w:r>
        <w:rPr/>
      </w:r>
    </w:p>
    <w:p>
      <w:pPr>
        <w:pStyle w:val="Normal"/>
        <w:spacing w:before="20" w:after="40"/>
        <w:contextualSpacing/>
        <w:jc w:val="both"/>
        <w:rPr/>
      </w:pPr>
      <w:r>
        <w:rPr>
          <w:rFonts w:eastAsia="0" w:cs="0"/>
          <w:i/>
          <w:iCs/>
          <w:color w:val="000000"/>
          <w:sz w:val="20"/>
        </w:rPr>
        <w:t>В случае если федеральными законами для определенной категории (группы) инвесторов, в том числе для иностранных инвесторов (группы лиц, определяемой в соответствии статьей 9 Федерального закона «О защите конкуренции», в которую входят иностранные инвесторы), установлены ограничения при их участии в уставном капитале эмитента (совершении сделок с акциями (долями), составляющими уставный капитал эмитента) в связи с осуществлением эмитентом и (или) его подконтрольными организациями определенного вида (видов) деятельности, в том числе вида (видов) деятельности, имеющего стратегическое значение для обеспечения обороны страны и безопасности государства, указывается на это обстоятельство и раскрываются название и реквизиты федерального закона, которым установлены соответствующие ограничения:</w:t>
      </w:r>
      <w:r>
        <w:rPr/>
        <w:t xml:space="preserve"> </w:t>
      </w:r>
      <w:r>
        <w:rPr>
          <w:b/>
          <w:i/>
        </w:rPr>
        <w:t>на дату окончания отчетного периода Федеральными законами не установлены ограничения на участие определенной категории (группы) инвесторов в уставном капитале Эмитента в связи с осуществлением эмитентом и (или) его подконтрольными организациями определенного вида (видов) деятельности.</w:t>
      </w:r>
    </w:p>
    <w:p>
      <w:pPr>
        <w:pStyle w:val="Normal"/>
        <w:spacing w:before="20" w:after="40"/>
        <w:contextualSpacing/>
        <w:jc w:val="both"/>
        <w:rPr/>
      </w:pPr>
      <w:r>
        <w:rPr/>
      </w:r>
    </w:p>
    <w:p>
      <w:pPr>
        <w:pStyle w:val="Normal"/>
        <w:spacing w:before="20" w:after="40"/>
        <w:contextualSpacing/>
        <w:jc w:val="both"/>
        <w:rPr>
          <w:rFonts w:ascii="0" w:hAnsi="0" w:eastAsia="0" w:cs="0"/>
          <w:i/>
          <w:i/>
          <w:iCs/>
          <w:color w:val="000000"/>
          <w:sz w:val="20"/>
        </w:rPr>
      </w:pPr>
      <w:r>
        <w:rPr>
          <w:rFonts w:eastAsia="0" w:cs="0"/>
          <w:i/>
          <w:iCs/>
          <w:color w:val="000000"/>
          <w:sz w:val="20"/>
        </w:rPr>
        <w:t>Информация о личных законах организаций, входящих в группу эмитента:</w:t>
      </w:r>
    </w:p>
    <w:p>
      <w:pPr>
        <w:pStyle w:val="Normal"/>
        <w:spacing w:before="20" w:after="40"/>
        <w:contextualSpacing/>
        <w:jc w:val="both"/>
        <w:rPr/>
      </w:pPr>
      <w:r>
        <w:rPr>
          <w:b/>
          <w:i/>
        </w:rPr>
        <w:t>Не применимо в связи с тем, что в группу эмитента не входят организации – нерезиденты.</w:t>
      </w:r>
    </w:p>
    <w:p>
      <w:pPr>
        <w:pStyle w:val="SubHeading"/>
        <w:spacing w:before="240" w:after="40"/>
        <w:contextualSpacing/>
        <w:jc w:val="both"/>
        <w:rPr>
          <w:rFonts w:ascii="0" w:hAnsi="0" w:eastAsia="0" w:cs="0"/>
          <w:i/>
          <w:i/>
          <w:iCs/>
          <w:color w:val="000000"/>
          <w:sz w:val="20"/>
        </w:rPr>
      </w:pPr>
      <w:r>
        <w:rPr>
          <w:rFonts w:eastAsia="0" w:cs="0"/>
          <w:i/>
          <w:iCs/>
          <w:color w:val="000000"/>
          <w:sz w:val="20"/>
        </w:rPr>
        <w:t>Иные ограничения, связанные с участием в уставном капитале эмитента, установленные его уставом:</w:t>
      </w:r>
    </w:p>
    <w:p>
      <w:pPr>
        <w:pStyle w:val="Normal"/>
        <w:spacing w:before="20" w:after="40"/>
        <w:contextualSpacing/>
        <w:jc w:val="both"/>
        <w:rPr/>
      </w:pPr>
      <w:r>
        <w:rPr>
          <w:b/>
          <w:i/>
        </w:rPr>
        <w:t>Ограничений на участие в уставном капитале эмитента нет</w:t>
      </w:r>
    </w:p>
    <w:p>
      <w:pPr>
        <w:pStyle w:val="Normal"/>
        <w:spacing w:before="20" w:after="40"/>
        <w:contextualSpacing/>
        <w:jc w:val="both"/>
        <w:rPr/>
      </w:pPr>
      <w:r>
        <w:rPr/>
      </w:r>
    </w:p>
    <w:p>
      <w:pPr>
        <w:pStyle w:val="Normal"/>
        <w:spacing w:before="20" w:after="40"/>
        <w:contextualSpacing/>
        <w:jc w:val="both"/>
        <w:rPr/>
      </w:pPr>
      <w:r>
        <w:rPr>
          <w:rFonts w:eastAsia="0" w:cs="0"/>
          <w:i/>
          <w:iCs/>
          <w:color w:val="000000"/>
          <w:sz w:val="20"/>
        </w:rPr>
        <w:t>Иная информация, которая, по мнению эмитента, является существенной для получения заинтересованными лицами общего представления об эмитенте и его финансово-хозяйственной деятельности:</w:t>
      </w:r>
      <w:r>
        <w:rPr>
          <w:b/>
          <w:i/>
        </w:rPr>
        <w:t xml:space="preserve"> нет</w:t>
      </w:r>
    </w:p>
    <w:p>
      <w:pPr>
        <w:pStyle w:val="Normal"/>
        <w:spacing w:before="20" w:after="40"/>
        <w:contextualSpacing/>
        <w:jc w:val="both"/>
        <w:rPr/>
      </w:pPr>
      <w:r>
        <w:rPr/>
      </w:r>
    </w:p>
    <w:p>
      <w:pPr>
        <w:pStyle w:val="2"/>
        <w:spacing w:before="240" w:after="40"/>
        <w:contextualSpacing/>
        <w:jc w:val="both"/>
        <w:rPr/>
      </w:pPr>
      <w:r>
        <w:rPr/>
      </w:r>
    </w:p>
    <w:p>
      <w:pPr>
        <w:pStyle w:val="2"/>
        <w:spacing w:before="240" w:after="40"/>
        <w:contextualSpacing/>
        <w:jc w:val="both"/>
        <w:rPr>
          <w:rFonts w:ascii="0" w:hAnsi="0" w:eastAsia="0" w:cs="0"/>
          <w:b/>
          <w:i/>
          <w:i/>
          <w:color w:val="000000"/>
          <w:kern w:val="0"/>
          <w:sz w:val="20"/>
          <w:szCs w:val="24"/>
          <w:lang w:val="ru-RU" w:eastAsia="zh-CN" w:bidi="hi-IN"/>
        </w:rPr>
      </w:pPr>
      <w:r>
        <w:rPr>
          <w:rFonts w:eastAsia="0" w:cs="0" w:ascii="0" w:hAnsi="0"/>
          <w:b/>
          <w:i/>
          <w:color w:val="000000"/>
          <w:kern w:val="0"/>
          <w:sz w:val="20"/>
          <w:szCs w:val="24"/>
          <w:lang w:val="ru-RU" w:eastAsia="zh-CN" w:bidi="hi-IN"/>
        </w:rPr>
        <w:t>1.2. Сведения о положении эмитента в отрасли.</w:t>
      </w:r>
    </w:p>
    <w:p>
      <w:pPr>
        <w:pStyle w:val="Normal"/>
        <w:jc w:val="both"/>
        <w:rPr/>
      </w:pPr>
      <w:r>
        <w:rPr/>
      </w:r>
    </w:p>
    <w:p>
      <w:pPr>
        <w:pStyle w:val="Normal"/>
        <w:spacing w:before="20" w:after="40"/>
        <w:contextualSpacing/>
        <w:jc w:val="both"/>
        <w:rPr/>
      </w:pPr>
      <w:r>
        <w:rPr>
          <w:rStyle w:val="Subst"/>
          <w:rFonts w:eastAsia="0" w:cs="0"/>
          <w:b w:val="false"/>
          <w:bCs w:val="false"/>
          <w:i w:val="false"/>
          <w:iCs w:val="false"/>
          <w:color w:val="000000"/>
          <w:sz w:val="20"/>
        </w:rPr>
        <w:t>Общая характеристика отрасли, в которой осуществляют деятельность организации группы эмитента. Сведения о структуре отрасли и темпах ее развития, основных тенденциях развития, а также основных факторах, оказывающих влияние на ее состояние:</w:t>
      </w:r>
    </w:p>
    <w:p>
      <w:pPr>
        <w:pStyle w:val="Normal"/>
        <w:spacing w:before="20" w:after="40"/>
        <w:contextualSpacing/>
        <w:jc w:val="both"/>
        <w:rPr/>
      </w:pPr>
      <w:r>
        <w:rPr>
          <w:rStyle w:val="Subst"/>
          <w:sz w:val="20"/>
        </w:rPr>
        <w:t>Группа эмитента осуществляет деятельность в отрасли «Электроэнергетика».</w:t>
      </w:r>
    </w:p>
    <w:p>
      <w:pPr>
        <w:pStyle w:val="Normal"/>
        <w:spacing w:before="20" w:after="40"/>
        <w:contextualSpacing/>
        <w:jc w:val="both"/>
        <w:rPr/>
      </w:pPr>
      <w:r>
        <w:rPr>
          <w:rStyle w:val="Subst"/>
          <w:sz w:val="20"/>
        </w:rPr>
        <w:t xml:space="preserve">Система энергообеспечения Камчатского края является изолированной от системы энергоснабжения Дальнего Востока и осуществляет энергоснабжение только потребителей полуострова. </w:t>
      </w:r>
    </w:p>
    <w:p>
      <w:pPr>
        <w:pStyle w:val="Normal"/>
        <w:spacing w:before="20" w:after="40"/>
        <w:contextualSpacing/>
        <w:jc w:val="both"/>
        <w:rPr/>
      </w:pPr>
      <w:r>
        <w:rPr>
          <w:rStyle w:val="Subst"/>
          <w:sz w:val="20"/>
        </w:rPr>
        <w:t xml:space="preserve">Особенностью энергетики Камчатского края является изолированность от Единой энергосистемы России и энергосистем других регионов, а также деление на большое количество не связанных друг с другом энергоузлов. Другой спецификой энергетики региона является большое разнообразие электростанций — на территории Камчатского края эксплуатируются две крупные тепловые электростанции, три геотермальные электростанции (ГеоЭС), четыре гидроэлектростанции (ГЭС), </w:t>
      </w:r>
      <w:r>
        <w:rPr>
          <w:rStyle w:val="Subst"/>
          <w:rFonts w:eastAsia="0" w:cs="0"/>
          <w:color w:val="000000"/>
          <w:kern w:val="0"/>
          <w:sz w:val="20"/>
          <w:szCs w:val="24"/>
          <w:lang w:val="ru-RU" w:eastAsia="zh-CN" w:bidi="hi-IN"/>
        </w:rPr>
        <w:t>четыре ветровые электростанции (ВЭС), одна комбинированная блочно-транспортабельная солнечная электростанция, а также большое количество небольших дизельных электростанций (ДЭС).</w:t>
      </w:r>
    </w:p>
    <w:p>
      <w:pPr>
        <w:pStyle w:val="Normal"/>
        <w:spacing w:before="20" w:after="40"/>
        <w:contextualSpacing/>
        <w:jc w:val="both"/>
        <w:rPr/>
      </w:pPr>
      <w:r>
        <w:rPr>
          <w:rStyle w:val="Subst"/>
          <w:sz w:val="20"/>
        </w:rPr>
        <w:t xml:space="preserve">Для поддержания стабилизации системы электроснабжения полуострова и повышения ее надежности проводится большая работа. В первую очередь для производства энергии были задействованы внутренние энерго ресурсы Камчатки путем ввода в действие геотермальных электростанций и гидроэлектростанций, а также перевода ТЭЦ на местный природный газ. </w:t>
      </w:r>
    </w:p>
    <w:p>
      <w:pPr>
        <w:pStyle w:val="Normal"/>
        <w:spacing w:before="20" w:after="40"/>
        <w:contextualSpacing/>
        <w:jc w:val="both"/>
        <w:rPr/>
      </w:pPr>
      <w:r>
        <w:rPr>
          <w:rStyle w:val="Subst"/>
          <w:sz w:val="20"/>
        </w:rPr>
        <w:t>Система энергоо</w:t>
      </w:r>
      <w:r>
        <w:rPr>
          <w:rStyle w:val="Subst"/>
          <w:sz w:val="20"/>
          <w:shd w:fill="auto" w:val="clear"/>
        </w:rPr>
        <w:t>беспечения Камчатского края состоит из Центрального энергоузла и тринадцати локальных изолированных энергоузлов,</w:t>
      </w:r>
      <w:r>
        <w:rPr>
          <w:rStyle w:val="Subst"/>
          <w:sz w:val="20"/>
        </w:rPr>
        <w:t xml:space="preserve"> сформированных в процессе развития градообразующих муниципальных образований. Помимо того, на территории Камчатского края также функционируют осуществляющие электроснабжение потребителей в пределах одного населенного пункта малые энергоузлы. </w:t>
      </w:r>
    </w:p>
    <w:p>
      <w:pPr>
        <w:pStyle w:val="Normal"/>
        <w:spacing w:before="20" w:after="40"/>
        <w:contextualSpacing/>
        <w:jc w:val="both"/>
        <w:rPr>
          <w:b/>
          <w:i/>
          <w:i/>
        </w:rPr>
      </w:pPr>
      <w:r>
        <w:rPr>
          <w:b/>
          <w:i/>
        </w:rPr>
      </w:r>
    </w:p>
    <w:p>
      <w:pPr>
        <w:pStyle w:val="Normal"/>
        <w:spacing w:before="20" w:after="40"/>
        <w:contextualSpacing/>
        <w:jc w:val="both"/>
        <w:rPr/>
      </w:pPr>
      <w:r>
        <w:rPr>
          <w:rStyle w:val="Subst"/>
          <w:b w:val="false"/>
          <w:i w:val="false"/>
          <w:iCs w:val="false"/>
          <w:sz w:val="20"/>
        </w:rPr>
        <w:t>Сведения о структуре отрасли:</w:t>
      </w:r>
    </w:p>
    <w:p>
      <w:pPr>
        <w:pStyle w:val="Normal"/>
        <w:spacing w:before="20" w:after="40"/>
        <w:contextualSpacing/>
        <w:jc w:val="both"/>
        <w:rPr/>
      </w:pPr>
      <w:r>
        <w:rPr>
          <w:rStyle w:val="Subst"/>
          <w:sz w:val="20"/>
        </w:rPr>
        <w:t>В состав эн</w:t>
      </w:r>
      <w:r>
        <w:rPr>
          <w:rStyle w:val="Subst"/>
          <w:sz w:val="20"/>
          <w:shd w:fill="auto" w:val="clear"/>
        </w:rPr>
        <w:t xml:space="preserve">ергосистемы Камчатского края входят Центральный энергоузел и 13 изолированно работающих энергоузлов. </w:t>
      </w:r>
    </w:p>
    <w:p>
      <w:pPr>
        <w:pStyle w:val="Normal"/>
        <w:spacing w:before="20" w:after="40"/>
        <w:contextualSpacing/>
        <w:jc w:val="both"/>
        <w:rPr/>
      </w:pPr>
      <w:r>
        <w:rPr>
          <w:rStyle w:val="Subst"/>
          <w:sz w:val="20"/>
          <w:shd w:fill="auto" w:val="clear"/>
        </w:rPr>
        <w:t xml:space="preserve">Центральный энергоузел энергосистемы Камчатского края обеспечивает электроснабжение потребителей (около 85% жителей края) на территориях:  </w:t>
      </w:r>
    </w:p>
    <w:p>
      <w:pPr>
        <w:pStyle w:val="Normal"/>
        <w:spacing w:before="20" w:after="40"/>
        <w:contextualSpacing/>
        <w:jc w:val="both"/>
        <w:rPr/>
      </w:pPr>
      <w:r>
        <w:rPr>
          <w:rStyle w:val="Subst"/>
          <w:sz w:val="20"/>
          <w:shd w:fill="auto" w:val="clear"/>
        </w:rPr>
        <w:t xml:space="preserve">- Городских округов: Петропавловск-Камчатский Г.О., Вилючинский Г.О.  </w:t>
      </w:r>
    </w:p>
    <w:p>
      <w:pPr>
        <w:pStyle w:val="Normal"/>
        <w:spacing w:before="20" w:after="40"/>
        <w:contextualSpacing/>
        <w:jc w:val="both"/>
        <w:rPr/>
      </w:pPr>
      <w:r>
        <w:rPr>
          <w:rStyle w:val="Subst"/>
          <w:sz w:val="20"/>
          <w:shd w:fill="auto" w:val="clear"/>
        </w:rPr>
        <w:t xml:space="preserve">- Муниципальных районов: Елизовский М.Р. </w:t>
      </w:r>
    </w:p>
    <w:p>
      <w:pPr>
        <w:pStyle w:val="Normal"/>
        <w:spacing w:before="20" w:after="40"/>
        <w:contextualSpacing/>
        <w:jc w:val="both"/>
        <w:rPr/>
      </w:pPr>
      <w:r>
        <w:rPr>
          <w:rStyle w:val="Subst"/>
          <w:sz w:val="20"/>
          <w:shd w:fill="auto" w:val="clear"/>
        </w:rPr>
        <w:t xml:space="preserve">- Муниципальные округов: Усть-Большерецкого М.О. (включая Октябрьское г.п., Апачинское с.п., Кавалеровское с.п., Усть-Большерецкое с.п.) и Мильковского М.О. (с. Пущино, с. Шаромы, с. Мильково). </w:t>
      </w:r>
    </w:p>
    <w:p>
      <w:pPr>
        <w:pStyle w:val="Normal"/>
        <w:spacing w:before="20" w:after="40"/>
        <w:contextualSpacing/>
        <w:jc w:val="both"/>
        <w:rPr>
          <w:rStyle w:val="Subst"/>
          <w:sz w:val="20"/>
          <w:highlight w:val="none"/>
          <w:shd w:fill="auto" w:val="clear"/>
        </w:rPr>
      </w:pPr>
      <w:r>
        <w:rPr>
          <w:sz w:val="20"/>
          <w:shd w:fill="auto" w:val="clear"/>
        </w:rPr>
      </w:r>
    </w:p>
    <w:p>
      <w:pPr>
        <w:pStyle w:val="Normal"/>
        <w:spacing w:before="20" w:after="40"/>
        <w:contextualSpacing/>
        <w:jc w:val="both"/>
        <w:rPr/>
      </w:pPr>
      <w:r>
        <w:rPr>
          <w:rStyle w:val="Subst"/>
          <w:sz w:val="20"/>
        </w:rPr>
        <w:t>Изолированно работающие энергоузлы Камчатского края осуществляют элетк</w:t>
      </w:r>
      <w:r>
        <w:rPr>
          <w:rStyle w:val="Subst"/>
          <w:sz w:val="20"/>
          <w:shd w:fill="auto" w:val="clear"/>
        </w:rPr>
        <w:t xml:space="preserve">роснабжение потребителей на территориях: </w:t>
      </w:r>
    </w:p>
    <w:p>
      <w:pPr>
        <w:pStyle w:val="Normal"/>
        <w:spacing w:before="20" w:after="40"/>
        <w:contextualSpacing/>
        <w:jc w:val="both"/>
        <w:rPr/>
      </w:pPr>
      <w:r>
        <w:rPr>
          <w:rStyle w:val="Subst"/>
          <w:sz w:val="20"/>
          <w:shd w:fill="auto" w:val="clear"/>
        </w:rPr>
        <w:t>Городского округа: Г.О. «поселок Палана»</w:t>
      </w:r>
    </w:p>
    <w:p>
      <w:pPr>
        <w:pStyle w:val="Normal"/>
        <w:spacing w:before="20" w:after="40"/>
        <w:contextualSpacing/>
        <w:jc w:val="both"/>
        <w:rPr/>
      </w:pPr>
      <w:r>
        <w:rPr>
          <w:rStyle w:val="Subst"/>
          <w:sz w:val="20"/>
          <w:shd w:fill="auto" w:val="clear"/>
        </w:rPr>
        <w:t>Муниципальных районов: Карагинский М.Р., Олюторский М.Р., Пенжинский М.Р.</w:t>
      </w:r>
    </w:p>
    <w:p>
      <w:pPr>
        <w:pStyle w:val="Normal"/>
        <w:spacing w:before="20" w:after="40"/>
        <w:contextualSpacing/>
        <w:jc w:val="both"/>
        <w:rPr/>
      </w:pPr>
      <w:r>
        <w:rPr>
          <w:rStyle w:val="Subst"/>
          <w:sz w:val="20"/>
          <w:shd w:fill="auto" w:val="clear"/>
        </w:rPr>
        <w:t>Муниципальных округов: Усть-Большерецкий М.О., Усть-Камчатский М.О., Быстринский М.О., СоболевскийМ.О., Тигильский М.О.,  Алеутский М.О.</w:t>
      </w:r>
    </w:p>
    <w:p>
      <w:pPr>
        <w:pStyle w:val="Normal"/>
        <w:spacing w:before="20" w:after="40"/>
        <w:contextualSpacing/>
        <w:jc w:val="both"/>
        <w:rPr>
          <w:rStyle w:val="Subst"/>
          <w:sz w:val="20"/>
          <w:highlight w:val="none"/>
          <w:shd w:fill="AFD095" w:val="clear"/>
        </w:rPr>
      </w:pPr>
      <w:r>
        <w:rPr>
          <w:sz w:val="20"/>
          <w:shd w:fill="AFD095" w:val="clear"/>
        </w:rPr>
      </w:r>
    </w:p>
    <w:p>
      <w:pPr>
        <w:pStyle w:val="Normal"/>
        <w:spacing w:before="20" w:after="40"/>
        <w:contextualSpacing/>
        <w:jc w:val="both"/>
        <w:rPr/>
      </w:pPr>
      <w:r>
        <w:rPr>
          <w:rStyle w:val="Subst"/>
          <w:sz w:val="20"/>
        </w:rPr>
        <w:t>Помимо вышеперечисленных, на территории Камчатского края также функционируют осуществляющие электроснабжение потребителей в пределах одного населённого пункта энергоузлы, суммарное потребление электроэнергии которых составляет порядка 7 % от общего потребления электроэнергии в Камчатском крае. Основными генерирующими источниками в изолированных энергоузлах являются дизельные и газодизельные электростанции, Паужетская ГеоЭС, малая Быстринская ГЭС, а также ветровые электростанции (в п. Октябрьский, п. Усть-Камчатск, с. Никольское).</w:t>
      </w:r>
    </w:p>
    <w:p>
      <w:pPr>
        <w:pStyle w:val="Normal"/>
        <w:spacing w:before="20" w:after="40"/>
        <w:contextualSpacing/>
        <w:jc w:val="both"/>
        <w:rPr/>
      </w:pPr>
      <w:r>
        <w:rPr/>
      </w:r>
    </w:p>
    <w:p>
      <w:pPr>
        <w:pStyle w:val="Normal"/>
        <w:spacing w:before="20" w:after="40"/>
        <w:contextualSpacing/>
        <w:jc w:val="both"/>
        <w:rPr/>
      </w:pPr>
      <w:r>
        <w:rPr>
          <w:rStyle w:val="Subst"/>
          <w:sz w:val="20"/>
        </w:rPr>
        <w:t>Наиболее крупными предприятиями по передаче и сбыту электроэнергии на территории Камчатск</w:t>
      </w:r>
      <w:r>
        <w:rPr>
          <w:rStyle w:val="Subst"/>
          <w:sz w:val="20"/>
          <w:shd w:fill="auto" w:val="clear"/>
        </w:rPr>
        <w:t>ого края в 2025 году являются: ПАО «Камчатскэнерго», АО «Корякэнерго», АО «Южные электрические сети Камчатки»,</w:t>
      </w:r>
      <w:r>
        <w:rPr>
          <w:rStyle w:val="Subst"/>
          <w:rFonts w:eastAsia="0" w:cs="0"/>
          <w:color w:val="000000"/>
          <w:kern w:val="0"/>
          <w:sz w:val="20"/>
          <w:szCs w:val="24"/>
          <w:shd w:fill="auto" w:val="clear"/>
          <w:lang w:val="ru-RU" w:eastAsia="zh-CN" w:bidi="hi-IN"/>
        </w:rPr>
        <w:t xml:space="preserve"> ООО «Энергия А1». </w:t>
      </w:r>
    </w:p>
    <w:p>
      <w:pPr>
        <w:pStyle w:val="Normal"/>
        <w:spacing w:before="20" w:after="40"/>
        <w:contextualSpacing/>
        <w:jc w:val="both"/>
        <w:rPr>
          <w:rStyle w:val="Subst"/>
          <w:sz w:val="20"/>
        </w:rPr>
      </w:pPr>
      <w:r>
        <w:rPr>
          <w:sz w:val="20"/>
        </w:rPr>
      </w:r>
    </w:p>
    <w:p>
      <w:pPr>
        <w:pStyle w:val="Normal"/>
        <w:spacing w:before="20" w:after="40"/>
        <w:contextualSpacing/>
        <w:jc w:val="both"/>
        <w:rPr/>
      </w:pPr>
      <w:r>
        <w:rPr>
          <w:rStyle w:val="Subst"/>
          <w:sz w:val="20"/>
        </w:rPr>
        <w:t>Оперативно-диспетчерское управление режимами в Центральном энергоузле до 31.12.2023 осуществлял филиал «Региональное диспетчерское управление» ПАО «Камчатскэнерго». В соответствии с постановлением правительства РФ от 9 декабря 2022 года № 2274 между ПАО «Камчатскэнерго» и АО «СО ЕЭС» заключен договор возмездного оказания услуг по оперативно-диспетчерскому управлению в электроэнергетике № ОДУ-452. Таким образом, начиная с 01.01.2024 управление энергосистемой Камчатского края единолично осуществляет филиал АО «СО ЕЭС» Тихоокеанское РДУ, отвечающий за управление электроэнергетическим режимом. </w:t>
      </w:r>
    </w:p>
    <w:p>
      <w:pPr>
        <w:pStyle w:val="Normal"/>
        <w:spacing w:before="20" w:after="40"/>
        <w:contextualSpacing/>
        <w:jc w:val="both"/>
        <w:rPr>
          <w:sz w:val="20"/>
          <w:highlight w:val="none"/>
          <w:shd w:fill="auto" w:val="clear"/>
        </w:rPr>
      </w:pPr>
      <w:r>
        <w:rPr>
          <w:sz w:val="20"/>
          <w:shd w:fill="auto" w:val="clear"/>
        </w:rPr>
      </w:r>
    </w:p>
    <w:p>
      <w:pPr>
        <w:pStyle w:val="Style14"/>
        <w:spacing w:lineRule="auto" w:line="240" w:before="23" w:after="0"/>
        <w:contextualSpacing/>
        <w:jc w:val="both"/>
        <w:rPr/>
      </w:pPr>
      <w:r>
        <w:rPr>
          <w:rStyle w:val="Subst"/>
          <w:rFonts w:eastAsia="0" w:cs="0"/>
          <w:color w:val="000000"/>
          <w:kern w:val="0"/>
          <w:sz w:val="20"/>
          <w:szCs w:val="24"/>
          <w:lang w:val="ru-RU" w:eastAsia="zh-CN" w:bidi="hi-IN"/>
        </w:rPr>
        <w:t xml:space="preserve">Границы зоны деятельности гарантирующего поставщика ПАО «Камчатскэнерго» определены </w:t>
      </w:r>
      <w:r>
        <w:rPr>
          <w:rStyle w:val="Subst"/>
          <w:rFonts w:eastAsia="0" w:cs="0"/>
          <w:color w:val="000000"/>
          <w:kern w:val="0"/>
          <w:sz w:val="20"/>
          <w:szCs w:val="24"/>
          <w:lang w:val="ru-RU" w:eastAsia="zh-CN" w:bidi="hi-IN"/>
        </w:rPr>
        <w:t xml:space="preserve">административными границами Камчатского края, за исключением границ зон деятельности гарантирующего поставщика АО «Южные электрические сети Камчатки», гарантирующего поставщика ООО «Электрические сети Ивашки», гарантирующего поставщика АО «Оссора», гарантирующего поставщика ООО «Ударник-Инвест», гарантирующего поставщика АО «Корякэнерго». </w:t>
      </w:r>
    </w:p>
    <w:p>
      <w:pPr>
        <w:pStyle w:val="Style14"/>
        <w:spacing w:lineRule="auto" w:line="240" w:before="23" w:after="0"/>
        <w:contextualSpacing/>
        <w:jc w:val="both"/>
        <w:rPr>
          <w:rFonts w:eastAsia="0" w:cs="0"/>
          <w:color w:val="000000"/>
          <w:kern w:val="0"/>
          <w:sz w:val="20"/>
          <w:szCs w:val="24"/>
          <w:lang w:val="ru-RU" w:eastAsia="zh-CN" w:bidi="hi-IN"/>
        </w:rPr>
      </w:pPr>
      <w:r>
        <w:rPr>
          <w:rFonts w:eastAsia="0" w:cs="0"/>
          <w:color w:val="000000"/>
          <w:kern w:val="0"/>
          <w:sz w:val="20"/>
          <w:szCs w:val="24"/>
          <w:lang w:val="ru-RU" w:eastAsia="zh-CN" w:bidi="hi-IN"/>
        </w:rPr>
      </w:r>
    </w:p>
    <w:p>
      <w:pPr>
        <w:pStyle w:val="Style14"/>
        <w:spacing w:lineRule="auto" w:line="240" w:before="23" w:after="0"/>
        <w:contextualSpacing/>
        <w:jc w:val="both"/>
        <w:rPr/>
      </w:pPr>
      <w:r>
        <w:rPr>
          <w:rStyle w:val="Subst"/>
          <w:rFonts w:eastAsia="0" w:cs="0"/>
          <w:color w:val="000000"/>
          <w:kern w:val="0"/>
          <w:sz w:val="20"/>
          <w:szCs w:val="24"/>
          <w:lang w:val="ru-RU" w:eastAsia="zh-CN" w:bidi="hi-IN"/>
        </w:rPr>
        <w:t>Границы зоны деятельности гарантирующего поставщика</w:t>
      </w:r>
      <w:r>
        <w:rPr>
          <w:rStyle w:val="Subst"/>
          <w:rFonts w:eastAsia="0" w:cs="0"/>
          <w:color w:val="000000"/>
          <w:kern w:val="0"/>
          <w:sz w:val="20"/>
          <w:szCs w:val="24"/>
          <w:lang w:val="ru-RU" w:eastAsia="zh-CN" w:bidi="hi-IN"/>
        </w:rPr>
        <w:t xml:space="preserve"> АО «Южные электрические сети Камчатки»  определен</w:t>
      </w:r>
      <w:r>
        <w:rPr>
          <w:rStyle w:val="Subst"/>
          <w:rFonts w:eastAsia="0" w:cs="0"/>
          <w:color w:val="000000"/>
          <w:kern w:val="0"/>
          <w:sz w:val="20"/>
          <w:szCs w:val="24"/>
          <w:lang w:val="ru-RU" w:eastAsia="zh-CN" w:bidi="hi-IN"/>
        </w:rPr>
        <w:t>ы</w:t>
      </w:r>
      <w:r>
        <w:rPr>
          <w:rStyle w:val="Subst"/>
          <w:rFonts w:eastAsia="0" w:cs="0"/>
          <w:color w:val="000000"/>
          <w:kern w:val="0"/>
          <w:sz w:val="20"/>
          <w:szCs w:val="24"/>
          <w:lang w:val="ru-RU" w:eastAsia="zh-CN" w:bidi="hi-IN"/>
        </w:rPr>
        <w:t xml:space="preserve"> границами зоны обслуживания эксплуатируемых объектов генерирующего и электросетевого хозяйства в п. Усть-Камчатск, с. Ключи, п. Козыревск, с. Эссо, с. Анавгай, п. Атласово, п. Лазо, с. Долиновка, п. Горный ключ, с. Соболево, п. Устьевое, с. Никольское, с. Майское, п. Крутоберегово, пгт. Палана, пгт. Оссора, с. Каменское, с. Манилы, с. Тигиль, с. Седанка, с. Тиличики, с. Корф. </w:t>
      </w:r>
    </w:p>
    <w:p>
      <w:pPr>
        <w:pStyle w:val="Normal"/>
        <w:spacing w:before="20" w:after="40"/>
        <w:contextualSpacing/>
        <w:jc w:val="both"/>
        <w:rPr>
          <w:rFonts w:eastAsia="0" w:cs="0"/>
          <w:color w:val="000000"/>
          <w:kern w:val="0"/>
          <w:sz w:val="20"/>
          <w:szCs w:val="24"/>
          <w:lang w:val="ru-RU" w:eastAsia="zh-CN" w:bidi="hi-IN"/>
        </w:rPr>
      </w:pPr>
      <w:r>
        <w:rPr>
          <w:rFonts w:eastAsia="0" w:cs="0"/>
          <w:color w:val="000000"/>
          <w:kern w:val="0"/>
          <w:sz w:val="20"/>
          <w:szCs w:val="24"/>
          <w:shd w:fill="auto" w:val="clear"/>
          <w:lang w:val="ru-RU" w:eastAsia="zh-CN" w:bidi="hi-IN"/>
        </w:rPr>
      </w:r>
    </w:p>
    <w:p>
      <w:pPr>
        <w:pStyle w:val="Normal"/>
        <w:widowControl w:val="false"/>
        <w:spacing w:lineRule="auto" w:line="240" w:before="23" w:after="40"/>
        <w:contextualSpacing w:val="false"/>
        <w:jc w:val="both"/>
        <w:rPr/>
      </w:pPr>
      <w:r>
        <w:rPr>
          <w:rStyle w:val="Subst"/>
          <w:rFonts w:eastAsia="0" w:cs="0"/>
          <w:color w:val="000000"/>
          <w:kern w:val="0"/>
          <w:sz w:val="20"/>
          <w:szCs w:val="24"/>
          <w:shd w:fill="auto" w:val="clear"/>
          <w:lang w:val="ru-RU" w:eastAsia="zh-CN" w:bidi="hi-IN"/>
        </w:rPr>
        <w:t>В соответствии с Постановлением Губернатора Камчатского Края от 5 сентября 2024 г. N 30 ПАО «Камчатскэнерго» определено системообразующей территориальной сетевой организацией на территории Камчатского края (за исключением территорий,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а также за исключением территорий технологически изолированных территориальных электроэнергетических систем, границы которых не совпадают с границами Камчатского края, в пределах которого такие системы находятся) с 1 января 2025 года сроком на 5 лет.</w:t>
      </w:r>
    </w:p>
    <w:p>
      <w:pPr>
        <w:pStyle w:val="Normal"/>
        <w:widowControl w:val="false"/>
        <w:spacing w:lineRule="auto" w:line="240" w:before="23" w:after="40"/>
        <w:contextualSpacing w:val="false"/>
        <w:jc w:val="both"/>
        <w:rPr>
          <w:rFonts w:eastAsia="0" w:cs="0"/>
          <w:color w:val="000000"/>
          <w:kern w:val="0"/>
          <w:sz w:val="20"/>
          <w:szCs w:val="24"/>
          <w:highlight w:val="none"/>
          <w:shd w:fill="auto" w:val="clear"/>
          <w:lang w:val="ru-RU" w:eastAsia="zh-CN" w:bidi="hi-IN"/>
        </w:rPr>
      </w:pPr>
      <w:r>
        <w:rPr>
          <w:rFonts w:eastAsia="0" w:cs="0"/>
          <w:color w:val="000000"/>
          <w:kern w:val="0"/>
          <w:sz w:val="20"/>
          <w:szCs w:val="24"/>
          <w:shd w:fill="auto" w:val="clear"/>
          <w:lang w:val="ru-RU" w:eastAsia="zh-CN" w:bidi="hi-IN"/>
        </w:rPr>
      </w:r>
    </w:p>
    <w:p>
      <w:pPr>
        <w:pStyle w:val="Normal"/>
        <w:spacing w:before="20" w:after="40"/>
        <w:contextualSpacing/>
        <w:jc w:val="both"/>
        <w:rPr/>
      </w:pPr>
      <w:r>
        <w:rPr>
          <w:rStyle w:val="Subst"/>
          <w:rFonts w:eastAsia="0" w:cs="0"/>
          <w:color w:val="000000"/>
          <w:kern w:val="0"/>
          <w:sz w:val="20"/>
          <w:szCs w:val="24"/>
          <w:shd w:fill="auto" w:val="clear"/>
          <w:lang w:val="ru-RU" w:eastAsia="zh-CN" w:bidi="hi-IN"/>
        </w:rPr>
        <w:t>Статус единой теплоснабжающей организации ПАО «Камчатскэнерго» и АО «ЮЭСК» определен при утверждении схем теплоснабжения уполномоченными органами в границах зоны деятельности Обществ.</w:t>
      </w:r>
    </w:p>
    <w:p>
      <w:pPr>
        <w:pStyle w:val="Normal"/>
        <w:spacing w:before="20" w:after="40"/>
        <w:contextualSpacing/>
        <w:jc w:val="both"/>
        <w:rPr/>
      </w:pPr>
      <w:r>
        <w:rPr/>
      </w:r>
    </w:p>
    <w:p>
      <w:pPr>
        <w:pStyle w:val="Normal"/>
        <w:spacing w:before="20" w:after="40"/>
        <w:contextualSpacing/>
        <w:jc w:val="both"/>
        <w:rPr/>
      </w:pPr>
      <w:r>
        <w:rPr>
          <w:rStyle w:val="Subst"/>
          <w:sz w:val="20"/>
        </w:rPr>
        <w:t>1.</w:t>
      </w:r>
      <w:r>
        <w:rPr>
          <w:rStyle w:val="Subst"/>
          <w:rFonts w:eastAsia="0" w:cs="0"/>
          <w:color w:val="000000"/>
          <w:kern w:val="0"/>
          <w:sz w:val="20"/>
          <w:szCs w:val="24"/>
          <w:lang w:val="ru-RU" w:eastAsia="zh-CN" w:bidi="hi-IN"/>
        </w:rPr>
        <w:t xml:space="preserve"> Основным рынком сбыта продукции Группы ПАО «Камчатскэнерго» является ограниченная инфраструктурными мощностями Общества территория Камчатского края в пределах Центрального и Озерновского (с 20 декабря 2019 года) энергоузлов, а также в изолированных энергоузлах, где ПАО «Камчатскэнерго» имеет статус гарантирующего поставщика.</w:t>
      </w:r>
    </w:p>
    <w:p>
      <w:pPr>
        <w:pStyle w:val="Normal"/>
        <w:spacing w:before="20" w:after="40"/>
        <w:contextualSpacing/>
        <w:jc w:val="both"/>
        <w:rPr/>
      </w:pPr>
      <w:r>
        <w:rPr/>
      </w:r>
    </w:p>
    <w:p>
      <w:pPr>
        <w:pStyle w:val="Normal"/>
        <w:spacing w:before="20" w:after="40"/>
        <w:contextualSpacing/>
        <w:jc w:val="both"/>
        <w:rPr/>
      </w:pPr>
      <w:r>
        <w:rPr>
          <w:rStyle w:val="Subst"/>
          <w:sz w:val="20"/>
        </w:rPr>
        <w:t>В зону охвата Центрального и Озерновского энергоузлов ПАО «Камчатскэнерго» входят следу</w:t>
      </w:r>
      <w:r>
        <w:rPr>
          <w:rStyle w:val="Subst"/>
          <w:sz w:val="20"/>
          <w:shd w:fill="auto" w:val="clear"/>
        </w:rPr>
        <w:t>ющие населенные пункты:</w:t>
      </w:r>
    </w:p>
    <w:p>
      <w:pPr>
        <w:pStyle w:val="Normal"/>
        <w:spacing w:before="20" w:after="40"/>
        <w:contextualSpacing/>
        <w:jc w:val="both"/>
        <w:rPr/>
      </w:pPr>
      <w:r>
        <w:rPr>
          <w:rStyle w:val="Subst"/>
          <w:sz w:val="20"/>
          <w:shd w:fill="auto" w:val="clear"/>
        </w:rPr>
        <w:t>г. Петропавловск-Камчатский, г. Елизово и районы вдоль трассы автодороги до с. Мильково, с. Усть-Большерецк и г. Ви</w:t>
      </w:r>
      <w:r>
        <w:rPr>
          <w:rStyle w:val="Subst"/>
          <w:rFonts w:eastAsia="0" w:cs="0"/>
          <w:color w:val="000000"/>
          <w:kern w:val="0"/>
          <w:sz w:val="20"/>
          <w:szCs w:val="24"/>
          <w:shd w:fill="auto" w:val="clear"/>
          <w:lang w:val="ru-RU" w:eastAsia="zh-CN" w:bidi="hi-IN"/>
        </w:rPr>
        <w:t>лючинск (по договорам купли-продажи электрической энергии), Усть-Большерецкий МО.</w:t>
      </w:r>
    </w:p>
    <w:p>
      <w:pPr>
        <w:pStyle w:val="Normal"/>
        <w:spacing w:before="20" w:after="40"/>
        <w:contextualSpacing/>
        <w:jc w:val="both"/>
        <w:rPr/>
      </w:pPr>
      <w:r>
        <w:rPr>
          <w:rStyle w:val="Subst"/>
          <w:rFonts w:eastAsia="0" w:cs="0"/>
          <w:color w:val="000000"/>
          <w:kern w:val="0"/>
          <w:sz w:val="20"/>
          <w:szCs w:val="24"/>
          <w:shd w:fill="auto" w:val="clear"/>
          <w:lang w:val="ru-RU" w:eastAsia="zh-CN" w:bidi="hi-IN"/>
        </w:rPr>
        <w:t>Сегодня ПАО «Камчатскэнерго» это:</w:t>
      </w:r>
    </w:p>
    <w:p>
      <w:pPr>
        <w:pStyle w:val="Normal"/>
        <w:spacing w:lineRule="auto" w:line="240" w:before="20" w:after="40"/>
        <w:ind w:left="0" w:right="0" w:hanging="0"/>
        <w:contextualSpacing/>
        <w:jc w:val="both"/>
        <w:rPr/>
      </w:pPr>
      <w:r>
        <w:rPr>
          <w:rStyle w:val="Subst"/>
          <w:rFonts w:eastAsia="0" w:cs="0"/>
          <w:sz w:val="20"/>
          <w:shd w:fill="auto" w:val="clear"/>
        </w:rPr>
        <w:t>2 теплоэлектроцентрали (ТЭЦ-1, ТЭЦ-2) с оборудованием высокого давления в г. Петропавловск - Камчатский;</w:t>
      </w:r>
    </w:p>
    <w:p>
      <w:pPr>
        <w:pStyle w:val="Normal"/>
        <w:spacing w:lineRule="auto" w:line="240" w:before="20" w:after="40"/>
        <w:ind w:left="0" w:right="0" w:hanging="0"/>
        <w:contextualSpacing/>
        <w:jc w:val="both"/>
        <w:rPr/>
      </w:pPr>
      <w:r>
        <w:rPr>
          <w:rStyle w:val="Subst"/>
          <w:rFonts w:eastAsia="0" w:cs="0"/>
          <w:sz w:val="20"/>
          <w:shd w:fill="auto" w:val="clear"/>
        </w:rPr>
        <w:t xml:space="preserve">∙ </w:t>
      </w:r>
      <w:r>
        <w:rPr>
          <w:rStyle w:val="Subst"/>
          <w:rFonts w:eastAsia="0" w:cs="0"/>
          <w:sz w:val="20"/>
          <w:shd w:fill="auto" w:val="clear"/>
        </w:rPr>
        <w:t>65 котельных;</w:t>
      </w:r>
    </w:p>
    <w:p>
      <w:pPr>
        <w:pStyle w:val="Normal"/>
        <w:spacing w:lineRule="auto" w:line="240" w:before="20" w:after="40"/>
        <w:ind w:left="0" w:right="0" w:hanging="0"/>
        <w:contextualSpacing/>
        <w:jc w:val="both"/>
        <w:rPr/>
      </w:pPr>
      <w:r>
        <w:rPr>
          <w:rStyle w:val="Subst"/>
          <w:rFonts w:eastAsia="0" w:cs="0"/>
          <w:sz w:val="20"/>
          <w:shd w:fill="auto" w:val="clear"/>
        </w:rPr>
        <w:t xml:space="preserve">∙ </w:t>
      </w:r>
      <w:r>
        <w:rPr>
          <w:rStyle w:val="Subst"/>
          <w:rFonts w:eastAsia="0" w:cs="0"/>
          <w:sz w:val="20"/>
          <w:shd w:fill="auto" w:val="clear"/>
        </w:rPr>
        <w:t>3 геотермальных электростанции (Верхне-Мутновская ГеоЭС, Мутновская ГеоЭС, Паужетская ГеоЭС);</w:t>
      </w:r>
    </w:p>
    <w:p>
      <w:pPr>
        <w:pStyle w:val="Normal"/>
        <w:spacing w:lineRule="auto" w:line="240" w:before="20" w:after="40"/>
        <w:ind w:left="0" w:right="0" w:hanging="0"/>
        <w:contextualSpacing/>
        <w:jc w:val="both"/>
        <w:rPr/>
      </w:pPr>
      <w:r>
        <w:rPr>
          <w:rStyle w:val="Subst"/>
          <w:rFonts w:eastAsia="0" w:cs="0"/>
          <w:sz w:val="20"/>
          <w:shd w:fill="auto" w:val="clear"/>
        </w:rPr>
        <w:t xml:space="preserve">∙ </w:t>
      </w:r>
      <w:r>
        <w:rPr>
          <w:rStyle w:val="Subst"/>
          <w:rFonts w:eastAsia="0" w:cs="0"/>
          <w:sz w:val="20"/>
          <w:shd w:fill="auto" w:val="clear"/>
        </w:rPr>
        <w:t>3 гидроэлектростанции (Толмачевская ГЭС-1, Толмачевская ГЭС-2, Толмачевская ГЭС-3);</w:t>
      </w:r>
    </w:p>
    <w:p>
      <w:pPr>
        <w:pStyle w:val="Normal"/>
        <w:spacing w:lineRule="auto" w:line="240" w:before="20" w:after="40"/>
        <w:ind w:left="0" w:right="0" w:hanging="0"/>
        <w:contextualSpacing/>
        <w:jc w:val="both"/>
        <w:rPr/>
      </w:pPr>
      <w:r>
        <w:rPr>
          <w:rStyle w:val="Subst"/>
          <w:rFonts w:eastAsia="0" w:cs="0"/>
          <w:sz w:val="20"/>
          <w:shd w:fill="auto" w:val="clear"/>
        </w:rPr>
        <w:t xml:space="preserve">∙ </w:t>
      </w:r>
      <w:r>
        <w:rPr>
          <w:rStyle w:val="Subst"/>
          <w:rFonts w:eastAsia="0" w:cs="0"/>
          <w:sz w:val="20"/>
          <w:shd w:fill="auto" w:val="clear"/>
        </w:rPr>
        <w:t>Воздушные линии электропередачи протяженностью 2539,259 км, в том числе по классу напряжения:</w:t>
      </w:r>
    </w:p>
    <w:p>
      <w:pPr>
        <w:pStyle w:val="Normal"/>
        <w:spacing w:lineRule="auto" w:line="240" w:before="20" w:after="40"/>
        <w:ind w:left="0" w:right="0" w:hanging="0"/>
        <w:contextualSpacing/>
        <w:jc w:val="both"/>
        <w:rPr/>
      </w:pPr>
      <w:r>
        <w:rPr>
          <w:rStyle w:val="Subst"/>
          <w:rFonts w:eastAsia="0" w:cs="0"/>
          <w:sz w:val="20"/>
          <w:shd w:fill="auto" w:val="clear"/>
        </w:rPr>
        <w:t xml:space="preserve">∙ </w:t>
      </w:r>
      <w:r>
        <w:rPr>
          <w:rStyle w:val="Subst"/>
          <w:rFonts w:eastAsia="0" w:cs="0"/>
          <w:sz w:val="20"/>
          <w:shd w:fill="auto" w:val="clear"/>
        </w:rPr>
        <w:t>v 220 кВ – 110 кВ (906,06 км)</w:t>
      </w:r>
    </w:p>
    <w:p>
      <w:pPr>
        <w:pStyle w:val="Normal"/>
        <w:spacing w:lineRule="auto" w:line="240" w:before="20" w:after="40"/>
        <w:ind w:left="0" w:right="0" w:hanging="0"/>
        <w:contextualSpacing/>
        <w:jc w:val="both"/>
        <w:rPr/>
      </w:pPr>
      <w:r>
        <w:rPr>
          <w:rStyle w:val="Subst"/>
          <w:rFonts w:eastAsia="0" w:cs="0"/>
          <w:sz w:val="20"/>
          <w:shd w:fill="auto" w:val="clear"/>
        </w:rPr>
        <w:t xml:space="preserve">∙ </w:t>
      </w:r>
      <w:r>
        <w:rPr>
          <w:rStyle w:val="Subst"/>
          <w:rFonts w:eastAsia="0" w:cs="0"/>
          <w:sz w:val="20"/>
          <w:shd w:fill="auto" w:val="clear"/>
        </w:rPr>
        <w:t>v 35 кВ-0,4 кВ (1633,199 км)</w:t>
      </w:r>
    </w:p>
    <w:p>
      <w:pPr>
        <w:pStyle w:val="Normal"/>
        <w:spacing w:lineRule="auto" w:line="240" w:before="20" w:after="40"/>
        <w:ind w:left="0" w:right="0" w:hanging="0"/>
        <w:contextualSpacing/>
        <w:jc w:val="both"/>
        <w:rPr/>
      </w:pPr>
      <w:r>
        <w:rPr>
          <w:rStyle w:val="Subst"/>
          <w:rFonts w:eastAsia="0" w:cs="0"/>
          <w:sz w:val="20"/>
          <w:shd w:fill="auto" w:val="clear"/>
        </w:rPr>
        <w:t xml:space="preserve">∙ </w:t>
      </w:r>
      <w:r>
        <w:rPr>
          <w:rStyle w:val="Subst"/>
          <w:rFonts w:eastAsia="0" w:cs="0"/>
          <w:sz w:val="20"/>
          <w:shd w:fill="auto" w:val="clear"/>
        </w:rPr>
        <w:t>Кабельные линии электропередачи напряжением 10-0,4 кВ протяженностью 1688,121 км</w:t>
      </w:r>
    </w:p>
    <w:p>
      <w:pPr>
        <w:pStyle w:val="Normal"/>
        <w:spacing w:lineRule="auto" w:line="240" w:before="20" w:after="40"/>
        <w:ind w:left="0" w:right="0" w:hanging="0"/>
        <w:contextualSpacing/>
        <w:jc w:val="both"/>
        <w:rPr/>
      </w:pPr>
      <w:r>
        <w:rPr>
          <w:rStyle w:val="Subst"/>
          <w:rFonts w:eastAsia="0" w:cs="0"/>
          <w:sz w:val="20"/>
          <w:shd w:fill="auto" w:val="clear"/>
        </w:rPr>
        <w:t xml:space="preserve">∙ </w:t>
      </w:r>
      <w:r>
        <w:rPr>
          <w:rStyle w:val="Subst"/>
          <w:rFonts w:eastAsia="0" w:cs="0"/>
          <w:sz w:val="20"/>
          <w:shd w:fill="auto" w:val="clear"/>
        </w:rPr>
        <w:t>Тепловые сети: 453,609 км тепловых сетей в двух трубном исполнении, в том числе 291,356 км арендованных тепловых сетей, 110,181 эксплуатируются по концессионным соглашениям и 52,072 км собственных сетей.</w:t>
      </w:r>
    </w:p>
    <w:p>
      <w:pPr>
        <w:pStyle w:val="Normal"/>
        <w:spacing w:lineRule="auto" w:line="240" w:before="20" w:after="40"/>
        <w:ind w:left="0" w:right="0" w:hanging="0"/>
        <w:contextualSpacing/>
        <w:jc w:val="both"/>
        <w:rPr>
          <w:rStyle w:val="Subst"/>
          <w:sz w:val="20"/>
          <w:shd w:fill="auto" w:val="clear"/>
        </w:rPr>
      </w:pPr>
      <w:r>
        <w:rPr>
          <w:sz w:val="20"/>
          <w:shd w:fill="auto" w:val="clear"/>
        </w:rPr>
      </w:r>
    </w:p>
    <w:p>
      <w:pPr>
        <w:pStyle w:val="Normal"/>
        <w:spacing w:before="20" w:after="40"/>
        <w:contextualSpacing/>
        <w:jc w:val="both"/>
        <w:rPr/>
      </w:pPr>
      <w:r>
        <w:rPr>
          <w:rStyle w:val="Subst"/>
          <w:sz w:val="20"/>
        </w:rPr>
        <w:t>2. Кроме того, Группа ПАО «Камчатскэнерго» осуществляет деятельность по производству, передаче и сбыту электрической и тепловой энергии в изолированных от Центрального энергоузл</w:t>
      </w:r>
      <w:r>
        <w:rPr>
          <w:rStyle w:val="Subst"/>
          <w:sz w:val="20"/>
          <w:shd w:fill="auto" w:val="clear"/>
        </w:rPr>
        <w:t>а сёлах и посёлках на территории Камчатского края и Корякского округа:</w:t>
      </w:r>
    </w:p>
    <w:p>
      <w:pPr>
        <w:pStyle w:val="Normal"/>
        <w:spacing w:before="20" w:after="40"/>
        <w:contextualSpacing/>
        <w:jc w:val="both"/>
        <w:rPr/>
      </w:pPr>
      <w:r>
        <w:rPr>
          <w:rStyle w:val="Subst"/>
          <w:sz w:val="20"/>
        </w:rPr>
        <w:t>Дочернее общество ПАО «Камчатскэнерго» - АО «ЮЭСК» представляет собой производственно-технологический комплекс, включающий в себя территориально обособленные производственные подразделения:</w:t>
      </w:r>
    </w:p>
    <w:p>
      <w:pPr>
        <w:pStyle w:val="Normal"/>
        <w:ind w:firstLine="567"/>
        <w:jc w:val="both"/>
        <w:rPr>
          <w:i/>
          <w:i/>
          <w:iCs/>
        </w:rPr>
      </w:pPr>
      <w:r>
        <w:rPr>
          <w:b/>
          <w:bCs/>
          <w:i/>
          <w:iCs/>
        </w:rPr>
        <w:t>•</w:t>
      </w:r>
      <w:r>
        <w:rPr>
          <w:b/>
          <w:bCs/>
          <w:i/>
          <w:iCs/>
        </w:rPr>
        <w:tab/>
        <w:t>6 энергорайонов (Алеутский, Средне-Камчатский, Тигильский, Паланский, Олюторский, Пенжинский, состоящие из объектов электрической и тепловой генерации, тепловых и электрических сетей);</w:t>
      </w:r>
    </w:p>
    <w:p>
      <w:pPr>
        <w:pStyle w:val="Normal"/>
        <w:ind w:firstLine="567"/>
        <w:jc w:val="both"/>
        <w:rPr>
          <w:i/>
          <w:i/>
          <w:iCs/>
        </w:rPr>
      </w:pPr>
      <w:r>
        <w:rPr>
          <w:b/>
          <w:bCs/>
          <w:i/>
          <w:iCs/>
        </w:rPr>
        <w:t>•</w:t>
      </w:r>
      <w:r>
        <w:rPr>
          <w:b/>
          <w:bCs/>
          <w:i/>
          <w:iCs/>
        </w:rPr>
        <w:tab/>
        <w:t>2 района электрических сетей (РЭС – Ключевской и Усть-Камчатский);</w:t>
      </w:r>
    </w:p>
    <w:p>
      <w:pPr>
        <w:pStyle w:val="Normal"/>
        <w:ind w:firstLine="567"/>
        <w:jc w:val="both"/>
        <w:rPr>
          <w:i/>
          <w:i/>
          <w:iCs/>
        </w:rPr>
      </w:pPr>
      <w:r>
        <w:rPr>
          <w:b/>
          <w:bCs/>
          <w:i/>
          <w:iCs/>
        </w:rPr>
        <w:t>•</w:t>
      </w:r>
      <w:r>
        <w:rPr>
          <w:b/>
          <w:bCs/>
          <w:i/>
          <w:iCs/>
        </w:rPr>
        <w:tab/>
        <w:t>10 энергоузлов (Соболевский, Козыревский, Оссорский в качестве отдельных структурных подразделений, а также энергоузлы в сёлах Таловка и Парень, Каменское, Слаутное, Аянка, Оклан в составе Пенжинского энергорайона и энергоузел с. Лесная в составе Паланского энергорайона).</w:t>
      </w:r>
    </w:p>
    <w:p>
      <w:pPr>
        <w:pStyle w:val="Normal"/>
        <w:ind w:firstLine="567"/>
        <w:jc w:val="both"/>
        <w:rPr/>
      </w:pPr>
      <w:r>
        <w:rPr>
          <w:rStyle w:val="Subst"/>
          <w:sz w:val="20"/>
        </w:rPr>
        <w:t xml:space="preserve">В состав территориально обособленных производственных подразделений Общества – энергорайонов, районов электрических сетей и энергоузлов входят следующие энергообъекты: 19 дизельных электростанций (в </w:t>
      </w:r>
      <w:r>
        <w:rPr>
          <w:rStyle w:val="Subst"/>
          <w:sz w:val="20"/>
          <w:shd w:fill="auto" w:val="clear"/>
        </w:rPr>
        <w:t>с. Никольское</w:t>
      </w:r>
      <w:r>
        <w:rPr>
          <w:rStyle w:val="Subst"/>
          <w:sz w:val="20"/>
        </w:rPr>
        <w:t xml:space="preserve"> Алеутского М.О., в с. Атласово и с. Долиновка Мильковского М.О., в </w:t>
      </w:r>
      <w:r>
        <w:rPr>
          <w:rStyle w:val="Subst"/>
          <w:sz w:val="20"/>
          <w:shd w:fill="auto" w:val="clear"/>
        </w:rPr>
        <w:t xml:space="preserve">п. Козыревск, п. Ключи и п. Усть-Камчатск Усть-Камчатского М.О., в </w:t>
      </w:r>
      <w:r>
        <w:rPr>
          <w:rStyle w:val="Subst"/>
          <w:sz w:val="20"/>
        </w:rPr>
        <w:t xml:space="preserve">пгт.Палана, </w:t>
      </w:r>
      <w:r>
        <w:rPr>
          <w:rStyle w:val="Subst"/>
          <w:sz w:val="20"/>
          <w:shd w:fill="auto" w:val="clear"/>
        </w:rPr>
        <w:t>с.Тигиль, с.Лесная</w:t>
      </w:r>
      <w:r>
        <w:rPr>
          <w:rStyle w:val="Subst"/>
          <w:sz w:val="20"/>
        </w:rPr>
        <w:t xml:space="preserve"> и </w:t>
      </w:r>
      <w:r>
        <w:rPr>
          <w:rStyle w:val="Subst"/>
          <w:sz w:val="20"/>
          <w:shd w:fill="auto" w:val="clear"/>
        </w:rPr>
        <w:t xml:space="preserve">с. Воямполка </w:t>
      </w:r>
      <w:r>
        <w:rPr>
          <w:rStyle w:val="Subst"/>
          <w:sz w:val="20"/>
        </w:rPr>
        <w:t>Тигильского М.О., в п. Оссора Карагинского М.Р., в с</w:t>
      </w:r>
      <w:r>
        <w:rPr>
          <w:rStyle w:val="Subst"/>
          <w:sz w:val="20"/>
          <w:shd w:fill="auto" w:val="clear"/>
        </w:rPr>
        <w:t>. Тиличики Олюторского М.Р., с. Манилы, с. Каменское, с. Слаутное, с. Аянка, с. Оклан, с. Парень и с. Таловка Пенжинского М.Р.), 10 участков теплотехнического оборудования (в с. Никольское Алеутского М.Р., с. Долиновка и с. Атласово Мильковского М.О., в с. Седанка и с. Тигиль Тигильского М.О., в с. Манилы,</w:t>
      </w:r>
      <w:r>
        <w:rPr>
          <w:rStyle w:val="Subst"/>
          <w:sz w:val="20"/>
          <w:shd w:fill="FFFF00" w:val="clear"/>
        </w:rPr>
        <w:t xml:space="preserve"> </w:t>
      </w:r>
      <w:r>
        <w:rPr>
          <w:rStyle w:val="Subst"/>
          <w:sz w:val="20"/>
          <w:shd w:fill="auto" w:val="clear"/>
        </w:rPr>
        <w:t xml:space="preserve">с. Каменское, с. Слаутное, с. Аянка, с. Таловка </w:t>
      </w:r>
      <w:r>
        <w:rPr>
          <w:rStyle w:val="Subst"/>
          <w:sz w:val="20"/>
        </w:rPr>
        <w:t>Пенжинского М.Р.), 2 сетевых участка (в</w:t>
      </w:r>
      <w:r>
        <w:rPr>
          <w:rStyle w:val="Subst"/>
          <w:sz w:val="20"/>
          <w:shd w:fill="auto" w:val="clear"/>
        </w:rPr>
        <w:t xml:space="preserve"> с. Эссо </w:t>
      </w:r>
      <w:r>
        <w:rPr>
          <w:rStyle w:val="Subst"/>
          <w:sz w:val="20"/>
        </w:rPr>
        <w:t xml:space="preserve">Быстринского М.О. и </w:t>
      </w:r>
      <w:r>
        <w:rPr>
          <w:rStyle w:val="Subst"/>
          <w:sz w:val="20"/>
          <w:shd w:fill="auto" w:val="clear"/>
        </w:rPr>
        <w:t>с. Корф</w:t>
      </w:r>
      <w:r>
        <w:rPr>
          <w:rStyle w:val="Subst"/>
          <w:sz w:val="20"/>
        </w:rPr>
        <w:t xml:space="preserve"> Олюторского </w:t>
      </w:r>
      <w:r>
        <w:rPr>
          <w:rStyle w:val="Subst"/>
          <w:sz w:val="20"/>
          <w:shd w:fill="auto" w:val="clear"/>
        </w:rPr>
        <w:t>М.Р), 4 ветровые электростанции (в с. Никольское Алеутского М.О. и  п. Усть-Камчатское  Усть-Камчатского М.О.), 1 малая гидроэлектростанц</w:t>
      </w:r>
      <w:r>
        <w:rPr>
          <w:rStyle w:val="Subst"/>
          <w:sz w:val="20"/>
        </w:rPr>
        <w:t>ия на р. Быстрая (в Быстринском М.О.), 1 газодизельная электростанция (в с. Соболево Соболевского М.Р.), 1 комбинированная блочно-транспортабельная солнечная электростанция (в с. Долиновка Мильковского М.О.).</w:t>
      </w:r>
    </w:p>
    <w:p>
      <w:pPr>
        <w:pStyle w:val="Normal"/>
        <w:tabs>
          <w:tab w:val="clear" w:pos="720"/>
          <w:tab w:val="left" w:pos="284" w:leader="none"/>
        </w:tabs>
        <w:spacing w:before="20" w:after="40"/>
        <w:contextualSpacing/>
        <w:jc w:val="both"/>
        <w:rPr/>
      </w:pPr>
      <w:r>
        <w:rPr>
          <w:rStyle w:val="Subst"/>
          <w:b w:val="false"/>
          <w:i w:val="false"/>
          <w:iCs w:val="false"/>
          <w:sz w:val="20"/>
        </w:rPr>
        <w:t>Темпы развития отрасли, основные тенденции развития:</w:t>
      </w:r>
    </w:p>
    <w:p>
      <w:pPr>
        <w:pStyle w:val="Normal"/>
        <w:spacing w:before="0" w:after="0"/>
        <w:contextualSpacing/>
        <w:jc w:val="both"/>
        <w:rPr/>
      </w:pPr>
      <w:r>
        <w:rPr>
          <w:rStyle w:val="Subst"/>
          <w:bCs/>
          <w:iCs/>
          <w:sz w:val="20"/>
          <w:szCs w:val="20"/>
          <w:lang w:eastAsia="ru-RU" w:bidi="ar-SA"/>
        </w:rPr>
        <w:t>В соответствии со Стратегией социально-экономического развития Камчатского края до 2035 года, утвержденной Постановлением Правительства Камчатского края от 30.10.2023 № 541-П, р</w:t>
      </w:r>
      <w:r>
        <w:rPr>
          <w:b/>
          <w:bCs/>
          <w:i/>
          <w:iCs/>
          <w:szCs w:val="20"/>
        </w:rPr>
        <w:t>азвитие топливно-энергетического комплек</w:t>
      </w:r>
      <w:r>
        <w:rPr>
          <w:b/>
          <w:bCs/>
          <w:i/>
          <w:iCs/>
          <w:szCs w:val="20"/>
          <w:shd w:fill="auto" w:val="clear"/>
        </w:rPr>
        <w:t>са является необходимым условием устойчивого социально-экономического роста Камчатского края на долгосрочную перспективу с учетом системообразующей роли в региональной экономике.</w:t>
      </w:r>
    </w:p>
    <w:p>
      <w:pPr>
        <w:pStyle w:val="ConsPlusNormal"/>
        <w:spacing w:before="0" w:after="40"/>
        <w:contextualSpacing/>
        <w:jc w:val="both"/>
        <w:rPr>
          <w:highlight w:val="none"/>
          <w:shd w:fill="auto" w:val="clear"/>
        </w:rPr>
      </w:pPr>
      <w:r>
        <w:rPr>
          <w:b/>
          <w:bCs/>
          <w:i/>
          <w:iCs/>
          <w:sz w:val="20"/>
          <w:szCs w:val="20"/>
          <w:shd w:fill="auto" w:val="clear"/>
        </w:rPr>
        <w:t>Ключевыми проблемами развития топливно-энергетического комплекса Камчатского края являются:</w:t>
      </w:r>
    </w:p>
    <w:p>
      <w:pPr>
        <w:pStyle w:val="ConsPlusNormal"/>
        <w:spacing w:before="0" w:after="40"/>
        <w:contextualSpacing/>
        <w:jc w:val="both"/>
        <w:rPr>
          <w:highlight w:val="none"/>
          <w:shd w:fill="auto" w:val="clear"/>
        </w:rPr>
      </w:pPr>
      <w:r>
        <w:rPr>
          <w:b/>
          <w:bCs/>
          <w:i/>
          <w:iCs/>
          <w:sz w:val="20"/>
          <w:szCs w:val="20"/>
          <w:shd w:fill="auto" w:val="clear"/>
        </w:rPr>
        <w:t>1) высокий уровень стоимости энергоресурсов (себестоимость генерации электроэнергии кратно превышает среднероссийский уровень);</w:t>
      </w:r>
    </w:p>
    <w:p>
      <w:pPr>
        <w:pStyle w:val="ConsPlusNormal"/>
        <w:spacing w:before="0" w:after="40"/>
        <w:contextualSpacing/>
        <w:jc w:val="both"/>
        <w:rPr>
          <w:highlight w:val="none"/>
          <w:shd w:fill="auto" w:val="clear"/>
        </w:rPr>
      </w:pPr>
      <w:r>
        <w:rPr>
          <w:b/>
          <w:bCs/>
          <w:i/>
          <w:iCs/>
          <w:sz w:val="20"/>
          <w:szCs w:val="20"/>
          <w:shd w:fill="auto" w:val="clear"/>
        </w:rPr>
        <w:t>(в ред. Постановления Правительства Камчатского края от 17.04.2025 N 173-П)</w:t>
      </w:r>
    </w:p>
    <w:p>
      <w:pPr>
        <w:pStyle w:val="ConsPlusNormal"/>
        <w:spacing w:before="0" w:after="40"/>
        <w:contextualSpacing/>
        <w:jc w:val="both"/>
        <w:rPr>
          <w:highlight w:val="none"/>
          <w:shd w:fill="auto" w:val="clear"/>
        </w:rPr>
      </w:pPr>
      <w:r>
        <w:rPr>
          <w:b/>
          <w:bCs/>
          <w:i/>
          <w:iCs/>
          <w:sz w:val="20"/>
          <w:szCs w:val="20"/>
          <w:shd w:fill="auto" w:val="clear"/>
        </w:rPr>
        <w:t>2</w:t>
      </w:r>
      <w:r>
        <w:rPr>
          <w:b/>
          <w:bCs/>
          <w:i/>
          <w:iCs/>
          <w:sz w:val="20"/>
          <w:szCs w:val="20"/>
          <w:shd w:fill="auto" w:val="clear"/>
        </w:rPr>
        <w:t>) зависимость региональной энергетики от привозного топлива, а также высокие транспортные тарифы по его доставке в регион;</w:t>
      </w:r>
    </w:p>
    <w:p>
      <w:pPr>
        <w:pStyle w:val="ConsPlusNormal"/>
        <w:spacing w:before="0" w:after="40"/>
        <w:contextualSpacing/>
        <w:jc w:val="both"/>
        <w:rPr>
          <w:highlight w:val="none"/>
          <w:shd w:fill="auto" w:val="clear"/>
        </w:rPr>
      </w:pPr>
      <w:r>
        <w:rPr>
          <w:b/>
          <w:bCs/>
          <w:i/>
          <w:iCs/>
          <w:sz w:val="20"/>
          <w:szCs w:val="20"/>
          <w:shd w:fill="auto" w:val="clear"/>
        </w:rPr>
        <w:t>3</w:t>
      </w:r>
      <w:r>
        <w:rPr>
          <w:b/>
          <w:bCs/>
          <w:i/>
          <w:iCs/>
          <w:sz w:val="20"/>
          <w:szCs w:val="20"/>
          <w:shd w:fill="auto" w:val="clear"/>
        </w:rPr>
        <w:t>) высокие показатели износа объектов энергетической инфраструктуры и дефицит сетевых мощностей;</w:t>
      </w:r>
    </w:p>
    <w:p>
      <w:pPr>
        <w:pStyle w:val="ConsPlusNormal"/>
        <w:spacing w:before="0" w:after="40"/>
        <w:contextualSpacing/>
        <w:jc w:val="both"/>
        <w:rPr>
          <w:highlight w:val="none"/>
          <w:shd w:fill="auto" w:val="clear"/>
        </w:rPr>
      </w:pPr>
      <w:r>
        <w:rPr>
          <w:b/>
          <w:bCs/>
          <w:i/>
          <w:iCs/>
          <w:sz w:val="20"/>
          <w:szCs w:val="20"/>
          <w:shd w:fill="auto" w:val="clear"/>
        </w:rPr>
        <w:t>4</w:t>
      </w:r>
      <w:r>
        <w:rPr>
          <w:b/>
          <w:bCs/>
          <w:i/>
          <w:iCs/>
          <w:sz w:val="20"/>
          <w:szCs w:val="20"/>
          <w:shd w:fill="auto" w:val="clear"/>
        </w:rPr>
        <w:t>) наличие изолированных энергоузлов с высокой стоимостью генерации электр</w:t>
      </w:r>
      <w:r>
        <w:rPr>
          <w:rFonts w:eastAsia="Arial" w:cs="Courier New"/>
          <w:b/>
          <w:bCs/>
          <w:i/>
          <w:iCs/>
          <w:sz w:val="20"/>
          <w:szCs w:val="20"/>
          <w:shd w:fill="auto" w:val="clear"/>
        </w:rPr>
        <w:t>оэнергии (отсутствие единой энергосети);</w:t>
      </w:r>
    </w:p>
    <w:p>
      <w:pPr>
        <w:pStyle w:val="Normal"/>
        <w:tabs>
          <w:tab w:val="clear" w:pos="720"/>
          <w:tab w:val="left" w:pos="284" w:leader="none"/>
        </w:tabs>
        <w:spacing w:before="0" w:after="0"/>
        <w:contextualSpacing/>
        <w:jc w:val="both"/>
        <w:rPr>
          <w:rStyle w:val="Subst"/>
          <w:rFonts w:eastAsia="Arial" w:cs="Courier New"/>
          <w:bCs/>
          <w:iCs/>
          <w:sz w:val="20"/>
          <w:szCs w:val="20"/>
          <w:shd w:fill="auto" w:val="clear"/>
        </w:rPr>
      </w:pPr>
      <w:r>
        <w:rPr>
          <w:rFonts w:eastAsia="Arial" w:cs="Courier New"/>
          <w:bCs/>
          <w:iCs/>
          <w:sz w:val="20"/>
          <w:szCs w:val="20"/>
          <w:shd w:fill="auto" w:val="clear"/>
        </w:rPr>
      </w:r>
    </w:p>
    <w:p>
      <w:pPr>
        <w:pStyle w:val="Normal"/>
        <w:tabs>
          <w:tab w:val="clear" w:pos="720"/>
          <w:tab w:val="left" w:pos="284" w:leader="none"/>
        </w:tabs>
        <w:spacing w:before="0" w:after="0"/>
        <w:contextualSpacing/>
        <w:jc w:val="both"/>
        <w:rPr>
          <w:i/>
          <w:i/>
          <w:iCs/>
          <w:szCs w:val="20"/>
          <w:highlight w:val="none"/>
          <w:shd w:fill="auto" w:val="clear"/>
        </w:rPr>
      </w:pPr>
      <w:r>
        <w:rPr>
          <w:i/>
          <w:iCs/>
          <w:szCs w:val="20"/>
          <w:shd w:fill="auto" w:val="clear"/>
        </w:rPr>
      </w:r>
    </w:p>
    <w:p>
      <w:pPr>
        <w:pStyle w:val="Normal"/>
        <w:tabs>
          <w:tab w:val="clear" w:pos="720"/>
          <w:tab w:val="left" w:pos="284" w:leader="none"/>
        </w:tabs>
        <w:spacing w:before="0" w:after="0"/>
        <w:contextualSpacing/>
        <w:jc w:val="both"/>
        <w:rPr/>
      </w:pPr>
      <w:r>
        <w:rPr>
          <w:rStyle w:val="Subst"/>
          <w:bCs/>
          <w:iCs/>
          <w:sz w:val="20"/>
          <w:szCs w:val="20"/>
          <w:shd w:fill="auto" w:val="clear"/>
          <w:lang w:eastAsia="ru-RU" w:bidi="ar-SA"/>
        </w:rPr>
        <w:t>Стратегической целью развития топливно-энергетического комплекса Камчатского края является повышение энергонезависимости региона, сокращение использования высокоуглеродного топлива.</w:t>
      </w:r>
    </w:p>
    <w:p>
      <w:pPr>
        <w:pStyle w:val="Normal"/>
        <w:spacing w:before="0" w:after="0"/>
        <w:contextualSpacing/>
        <w:jc w:val="both"/>
        <w:rPr>
          <w:b/>
          <w:bCs/>
          <w:i/>
          <w:i/>
          <w:iCs/>
          <w:szCs w:val="20"/>
          <w:highlight w:val="none"/>
          <w:shd w:fill="auto" w:val="clear"/>
        </w:rPr>
      </w:pPr>
      <w:r>
        <w:rPr>
          <w:b/>
          <w:bCs/>
          <w:i/>
          <w:iCs/>
          <w:szCs w:val="20"/>
          <w:shd w:fill="auto" w:val="clear"/>
        </w:rPr>
      </w:r>
    </w:p>
    <w:p>
      <w:pPr>
        <w:pStyle w:val="Normal"/>
        <w:spacing w:before="0" w:after="0"/>
        <w:contextualSpacing/>
        <w:jc w:val="both"/>
        <w:rPr>
          <w:highlight w:val="none"/>
          <w:shd w:fill="auto" w:val="clear"/>
        </w:rPr>
      </w:pPr>
      <w:r>
        <w:rPr>
          <w:b/>
          <w:bCs/>
          <w:i/>
          <w:iCs/>
          <w:szCs w:val="20"/>
          <w:shd w:fill="auto" w:val="clear"/>
        </w:rPr>
        <w:t>Задачи развития топливно-энергетического комплекса Камчатского края:</w:t>
      </w:r>
    </w:p>
    <w:p>
      <w:pPr>
        <w:pStyle w:val="ConsPlusNormal"/>
        <w:spacing w:before="0" w:after="40"/>
        <w:contextualSpacing/>
        <w:jc w:val="both"/>
        <w:rPr/>
      </w:pPr>
      <w:r>
        <w:rPr>
          <w:b/>
          <w:bCs/>
          <w:i/>
          <w:iCs/>
          <w:sz w:val="20"/>
          <w:szCs w:val="20"/>
        </w:rPr>
        <w:t>1) расширение использования ВИЭ (энергия воды, ветра, геотермальная, солнечная энергия), строительство новых генерирующих объектов;</w:t>
      </w:r>
    </w:p>
    <w:p>
      <w:pPr>
        <w:pStyle w:val="ConsPlusNormal"/>
        <w:spacing w:before="238" w:after="40"/>
        <w:contextualSpacing/>
        <w:jc w:val="both"/>
        <w:rPr/>
      </w:pPr>
      <w:r>
        <w:rPr>
          <w:b/>
          <w:bCs/>
          <w:i/>
          <w:iCs/>
          <w:sz w:val="20"/>
          <w:szCs w:val="20"/>
        </w:rPr>
        <w:t>2) модернизация объектов энергетики с целью роста их эффективности;</w:t>
      </w:r>
    </w:p>
    <w:p>
      <w:pPr>
        <w:pStyle w:val="ConsPlusNormal"/>
        <w:spacing w:before="238" w:after="40"/>
        <w:contextualSpacing/>
        <w:jc w:val="both"/>
        <w:rPr/>
      </w:pPr>
      <w:r>
        <w:rPr>
          <w:b/>
          <w:bCs/>
          <w:i/>
          <w:iCs/>
          <w:sz w:val="20"/>
          <w:szCs w:val="20"/>
        </w:rPr>
        <w:t xml:space="preserve">3) повышение </w:t>
      </w:r>
      <w:r>
        <w:rPr>
          <w:b/>
          <w:bCs/>
          <w:i/>
          <w:iCs/>
          <w:sz w:val="20"/>
          <w:szCs w:val="20"/>
          <w:shd w:fill="auto" w:val="clear"/>
        </w:rPr>
        <w:t>надежности выдачи мощности Мутновских ГеоЭС и Толмачевских ГЭС;</w:t>
      </w:r>
    </w:p>
    <w:p>
      <w:pPr>
        <w:pStyle w:val="ConsPlusNormal"/>
        <w:spacing w:before="238" w:after="40"/>
        <w:contextualSpacing/>
        <w:jc w:val="both"/>
        <w:rPr>
          <w:highlight w:val="none"/>
          <w:shd w:fill="auto" w:val="clear"/>
        </w:rPr>
      </w:pPr>
      <w:r>
        <w:rPr>
          <w:b/>
          <w:bCs/>
          <w:i/>
          <w:iCs/>
          <w:sz w:val="20"/>
          <w:szCs w:val="20"/>
          <w:shd w:fill="auto" w:val="clear"/>
        </w:rPr>
        <w:t>4) снижение уровня износа сетей;</w:t>
      </w:r>
    </w:p>
    <w:p>
      <w:pPr>
        <w:pStyle w:val="ConsPlusNormal"/>
        <w:spacing w:before="238" w:after="40"/>
        <w:contextualSpacing/>
        <w:jc w:val="both"/>
        <w:rPr/>
      </w:pPr>
      <w:r>
        <w:rPr>
          <w:rStyle w:val="Subst"/>
          <w:bCs/>
          <w:iCs/>
          <w:sz w:val="20"/>
          <w:szCs w:val="20"/>
          <w:shd w:fill="auto" w:val="clear"/>
          <w:lang w:eastAsia="ru-RU" w:bidi="ar-SA"/>
        </w:rPr>
        <w:t>5) сдерживание роста тарифов за счет перехода на СПГ.</w:t>
      </w:r>
    </w:p>
    <w:p>
      <w:pPr>
        <w:pStyle w:val="Normal"/>
        <w:spacing w:before="0" w:after="0"/>
        <w:contextualSpacing/>
        <w:jc w:val="both"/>
        <w:rPr>
          <w:b/>
          <w:bCs/>
          <w:i/>
          <w:i/>
          <w:iCs/>
          <w:szCs w:val="20"/>
          <w:highlight w:val="none"/>
          <w:shd w:fill="auto" w:val="clear"/>
        </w:rPr>
      </w:pPr>
      <w:r>
        <w:rPr>
          <w:b/>
          <w:bCs/>
          <w:i/>
          <w:iCs/>
          <w:szCs w:val="20"/>
          <w:shd w:fill="auto" w:val="clear"/>
        </w:rPr>
      </w:r>
    </w:p>
    <w:p>
      <w:pPr>
        <w:pStyle w:val="Normal"/>
        <w:spacing w:before="0" w:after="0"/>
        <w:contextualSpacing/>
        <w:jc w:val="both"/>
        <w:rPr>
          <w:highlight w:val="none"/>
          <w:shd w:fill="auto" w:val="clear"/>
        </w:rPr>
      </w:pPr>
      <w:r>
        <w:rPr>
          <w:b/>
          <w:bCs/>
          <w:i/>
          <w:iCs/>
          <w:szCs w:val="20"/>
          <w:shd w:fill="auto" w:val="clear"/>
        </w:rPr>
        <w:t>Мероприятиями и механизмами, обеспечивающими развитие топливно-энергетического комплекса Камчатского края, являются:</w:t>
      </w:r>
    </w:p>
    <w:p>
      <w:pPr>
        <w:pStyle w:val="ConsPlusNormal"/>
        <w:spacing w:before="0" w:after="40"/>
        <w:contextualSpacing/>
        <w:jc w:val="both"/>
        <w:rPr>
          <w:highlight w:val="none"/>
          <w:shd w:fill="auto" w:val="clear"/>
        </w:rPr>
      </w:pPr>
      <w:r>
        <w:rPr>
          <w:b/>
          <w:bCs/>
          <w:i/>
          <w:iCs/>
          <w:sz w:val="20"/>
          <w:szCs w:val="20"/>
          <w:shd w:fill="auto" w:val="clear"/>
        </w:rPr>
        <w:t>1) строительство регазификационного комплекса СПГ в Камчатском крае;</w:t>
      </w:r>
    </w:p>
    <w:p>
      <w:pPr>
        <w:pStyle w:val="ConsPlusNormal"/>
        <w:spacing w:before="0" w:after="40"/>
        <w:contextualSpacing/>
        <w:jc w:val="both"/>
        <w:rPr>
          <w:highlight w:val="none"/>
          <w:shd w:fill="auto" w:val="clear"/>
        </w:rPr>
      </w:pPr>
      <w:r>
        <w:rPr>
          <w:b/>
          <w:bCs/>
          <w:i/>
          <w:iCs/>
          <w:sz w:val="20"/>
          <w:szCs w:val="20"/>
          <w:shd w:fill="auto" w:val="clear"/>
        </w:rPr>
        <w:t>2) регазификация СПГ и доставка до ТЭЦ и котельных края по газораспределительной сети;</w:t>
      </w:r>
    </w:p>
    <w:p>
      <w:pPr>
        <w:pStyle w:val="ConsPlusNormal"/>
        <w:spacing w:before="0" w:after="40"/>
        <w:contextualSpacing/>
        <w:jc w:val="both"/>
        <w:rPr>
          <w:highlight w:val="none"/>
          <w:shd w:fill="auto" w:val="clear"/>
        </w:rPr>
      </w:pPr>
      <w:r>
        <w:rPr>
          <w:b/>
          <w:bCs/>
          <w:i/>
          <w:iCs/>
          <w:sz w:val="20"/>
          <w:szCs w:val="20"/>
          <w:shd w:fill="auto" w:val="clear"/>
        </w:rPr>
        <w:t>3) строительство второй очереди Мутновской ГеоЭС и бинарного блока;</w:t>
      </w:r>
    </w:p>
    <w:p>
      <w:pPr>
        <w:pStyle w:val="ConsPlusNormal"/>
        <w:spacing w:before="0" w:after="40"/>
        <w:contextualSpacing/>
        <w:jc w:val="both"/>
        <w:rPr>
          <w:highlight w:val="none"/>
          <w:shd w:fill="auto" w:val="clear"/>
        </w:rPr>
      </w:pPr>
      <w:r>
        <w:rPr>
          <w:b/>
          <w:bCs/>
          <w:i/>
          <w:iCs/>
          <w:sz w:val="20"/>
          <w:szCs w:val="20"/>
          <w:shd w:fill="auto" w:val="clear"/>
        </w:rPr>
        <w:t>4) строительство 4-ой ступени каскада ГЭС на р. Толмачева;</w:t>
      </w:r>
    </w:p>
    <w:p>
      <w:pPr>
        <w:pStyle w:val="ConsPlusNormal"/>
        <w:spacing w:before="0" w:after="40"/>
        <w:contextualSpacing/>
        <w:jc w:val="both"/>
        <w:rPr>
          <w:highlight w:val="none"/>
          <w:shd w:fill="auto" w:val="clear"/>
        </w:rPr>
      </w:pPr>
      <w:r>
        <w:rPr>
          <w:b/>
          <w:bCs/>
          <w:i/>
          <w:iCs/>
          <w:sz w:val="20"/>
          <w:szCs w:val="20"/>
          <w:shd w:fill="auto" w:val="clear"/>
        </w:rPr>
        <w:t>5) модернизация объектов энергетики в изолированных и центральном энергоузлах;</w:t>
      </w:r>
    </w:p>
    <w:p>
      <w:pPr>
        <w:pStyle w:val="ConsPlusNormal"/>
        <w:spacing w:before="0" w:after="40"/>
        <w:contextualSpacing/>
        <w:jc w:val="both"/>
        <w:rPr>
          <w:highlight w:val="none"/>
          <w:shd w:fill="auto" w:val="clear"/>
        </w:rPr>
      </w:pPr>
      <w:r>
        <w:rPr>
          <w:b/>
          <w:bCs/>
          <w:i/>
          <w:iCs/>
          <w:sz w:val="20"/>
          <w:szCs w:val="20"/>
          <w:shd w:fill="auto" w:val="clear"/>
        </w:rPr>
        <w:t>6) ввод мощностей ВЭС и СЭС;</w:t>
      </w:r>
    </w:p>
    <w:p>
      <w:pPr>
        <w:pStyle w:val="ConsPlusNormal"/>
        <w:spacing w:before="0" w:after="40"/>
        <w:contextualSpacing/>
        <w:jc w:val="both"/>
        <w:rPr>
          <w:highlight w:val="none"/>
          <w:shd w:fill="auto" w:val="clear"/>
        </w:rPr>
      </w:pPr>
      <w:r>
        <w:rPr>
          <w:b/>
          <w:bCs/>
          <w:i/>
          <w:iCs/>
          <w:sz w:val="20"/>
          <w:szCs w:val="20"/>
          <w:shd w:fill="auto" w:val="clear"/>
        </w:rPr>
        <w:t>7) строительство ВЛ 220 кВ от Мутновской ГеоЭС до каскада ГЭС на р. Толмачева;</w:t>
      </w:r>
    </w:p>
    <w:p>
      <w:pPr>
        <w:pStyle w:val="ConsPlusNormal"/>
        <w:spacing w:before="0" w:after="40"/>
        <w:contextualSpacing/>
        <w:jc w:val="both"/>
        <w:rPr/>
      </w:pPr>
      <w:r>
        <w:rPr>
          <w:b/>
          <w:bCs/>
          <w:i/>
          <w:iCs/>
          <w:sz w:val="20"/>
          <w:szCs w:val="20"/>
          <w:shd w:fill="auto" w:val="clear"/>
        </w:rPr>
        <w:t>8) замена тепловых сетей в г. Петропавловске-Камчатском</w:t>
      </w:r>
      <w:r>
        <w:rPr>
          <w:b/>
          <w:bCs/>
          <w:i/>
          <w:iCs/>
          <w:sz w:val="20"/>
          <w:szCs w:val="20"/>
        </w:rPr>
        <w:t>, Елизовском муниципальном районе, Мильковском, Быстринском муниципальных округах;</w:t>
      </w:r>
    </w:p>
    <w:p>
      <w:pPr>
        <w:pStyle w:val="ConsPlusNormal"/>
        <w:spacing w:before="0" w:after="40"/>
        <w:contextualSpacing/>
        <w:jc w:val="both"/>
        <w:rPr/>
      </w:pPr>
      <w:r>
        <w:rPr>
          <w:b/>
          <w:bCs/>
          <w:i/>
          <w:iCs/>
          <w:sz w:val="20"/>
          <w:szCs w:val="20"/>
        </w:rPr>
        <w:t>9) строительство и реконструкция электросетей в Центральном и изолированных энергоузлах;</w:t>
      </w:r>
    </w:p>
    <w:p>
      <w:pPr>
        <w:pStyle w:val="ConsPlusNormal"/>
        <w:spacing w:before="0" w:after="40"/>
        <w:contextualSpacing/>
        <w:jc w:val="both"/>
        <w:rPr/>
      </w:pPr>
      <w:r>
        <w:rPr>
          <w:rStyle w:val="Subst"/>
          <w:bCs/>
          <w:iCs/>
          <w:sz w:val="20"/>
          <w:szCs w:val="20"/>
          <w:lang w:eastAsia="ru-RU" w:bidi="ar-SA"/>
        </w:rPr>
        <w:t>10) установление тарифов с учетом изменения топливной составляющей и обеспечения возвратности инвестиций.</w:t>
      </w:r>
    </w:p>
    <w:p>
      <w:pPr>
        <w:pStyle w:val="Normal"/>
        <w:tabs>
          <w:tab w:val="clear" w:pos="720"/>
          <w:tab w:val="left" w:pos="284" w:leader="none"/>
        </w:tabs>
        <w:spacing w:before="20" w:after="40"/>
        <w:contextualSpacing/>
        <w:jc w:val="both"/>
        <w:rPr>
          <w:i/>
          <w:i/>
          <w:iCs/>
          <w:shd w:fill="FFFF00" w:val="clear"/>
        </w:rPr>
      </w:pPr>
      <w:r>
        <w:rPr>
          <w:i/>
          <w:iCs/>
          <w:shd w:fill="FFFF00" w:val="clear"/>
        </w:rPr>
      </w:r>
    </w:p>
    <w:p>
      <w:pPr>
        <w:pStyle w:val="Normal"/>
        <w:jc w:val="both"/>
        <w:rPr/>
      </w:pPr>
      <w:r>
        <w:rPr>
          <w:rStyle w:val="Subst"/>
          <w:b w:val="false"/>
          <w:i w:val="false"/>
          <w:iCs w:val="false"/>
          <w:sz w:val="20"/>
          <w:szCs w:val="20"/>
        </w:rPr>
        <w:t>Факторы, оказывающие влияние на состояние отрасли:</w:t>
      </w:r>
    </w:p>
    <w:p>
      <w:pPr>
        <w:pStyle w:val="Normal"/>
        <w:jc w:val="both"/>
        <w:rPr/>
      </w:pPr>
      <w:r>
        <w:rPr>
          <w:rStyle w:val="Subst"/>
          <w:iCs/>
          <w:sz w:val="20"/>
          <w:szCs w:val="20"/>
        </w:rPr>
        <w:t xml:space="preserve">• </w:t>
      </w:r>
      <w:r>
        <w:rPr>
          <w:rStyle w:val="Subst"/>
          <w:iCs/>
          <w:sz w:val="20"/>
          <w:szCs w:val="20"/>
        </w:rPr>
        <w:t>социально-экономическая обстановка в стране и в мире;</w:t>
      </w:r>
    </w:p>
    <w:p>
      <w:pPr>
        <w:pStyle w:val="Normal"/>
        <w:jc w:val="both"/>
        <w:rPr/>
      </w:pPr>
      <w:r>
        <w:rPr>
          <w:rStyle w:val="Subst"/>
          <w:iCs/>
          <w:sz w:val="20"/>
          <w:szCs w:val="20"/>
        </w:rPr>
        <w:t xml:space="preserve">• </w:t>
      </w:r>
      <w:r>
        <w:rPr>
          <w:rStyle w:val="Subst"/>
          <w:iCs/>
          <w:sz w:val="20"/>
          <w:szCs w:val="20"/>
        </w:rPr>
        <w:t>ценовая политика на привозное топливо;</w:t>
      </w:r>
    </w:p>
    <w:p>
      <w:pPr>
        <w:pStyle w:val="Normal"/>
        <w:jc w:val="both"/>
        <w:rPr/>
      </w:pPr>
      <w:r>
        <w:rPr>
          <w:rStyle w:val="Subst"/>
          <w:iCs/>
          <w:sz w:val="20"/>
          <w:szCs w:val="20"/>
        </w:rPr>
        <w:t xml:space="preserve">• </w:t>
      </w:r>
      <w:r>
        <w:rPr>
          <w:rStyle w:val="Subst"/>
          <w:iCs/>
          <w:sz w:val="20"/>
          <w:szCs w:val="20"/>
        </w:rPr>
        <w:t>создание новых мощностей;</w:t>
      </w:r>
    </w:p>
    <w:p>
      <w:pPr>
        <w:pStyle w:val="Normal"/>
        <w:jc w:val="both"/>
        <w:rPr/>
      </w:pPr>
      <w:r>
        <w:rPr>
          <w:rStyle w:val="Subst"/>
          <w:iCs/>
          <w:sz w:val="20"/>
          <w:szCs w:val="20"/>
        </w:rPr>
        <w:t xml:space="preserve">• </w:t>
      </w:r>
      <w:r>
        <w:rPr>
          <w:rStyle w:val="Subst"/>
          <w:iCs/>
          <w:sz w:val="20"/>
          <w:szCs w:val="20"/>
        </w:rPr>
        <w:t xml:space="preserve">уровень государственной поддержки;    </w:t>
      </w:r>
    </w:p>
    <w:p>
      <w:pPr>
        <w:pStyle w:val="Normal"/>
        <w:jc w:val="both"/>
        <w:rPr/>
      </w:pPr>
      <w:r>
        <w:rPr>
          <w:rStyle w:val="Subst"/>
          <w:iCs/>
          <w:sz w:val="20"/>
          <w:szCs w:val="20"/>
        </w:rPr>
        <w:t xml:space="preserve">• </w:t>
      </w:r>
      <w:r>
        <w:rPr>
          <w:rStyle w:val="Subst"/>
          <w:iCs/>
          <w:sz w:val="20"/>
          <w:szCs w:val="20"/>
        </w:rPr>
        <w:t>уровень платежной дисциплины потребителей тепло- и электроэнергии;</w:t>
      </w:r>
    </w:p>
    <w:p>
      <w:pPr>
        <w:pStyle w:val="Normal"/>
        <w:jc w:val="both"/>
        <w:rPr/>
      </w:pPr>
      <w:r>
        <w:rPr>
          <w:rStyle w:val="Subst"/>
          <w:iCs/>
          <w:sz w:val="20"/>
          <w:szCs w:val="20"/>
        </w:rPr>
        <w:t>•   </w:t>
      </w:r>
      <w:r>
        <w:rPr>
          <w:rStyle w:val="Subst"/>
          <w:iCs/>
          <w:sz w:val="20"/>
          <w:szCs w:val="20"/>
        </w:rPr>
        <w:t>состояние основных производственных фондов предприятий отрасли.</w:t>
      </w:r>
    </w:p>
    <w:p>
      <w:pPr>
        <w:pStyle w:val="Normal"/>
        <w:rPr>
          <w:i/>
          <w:i/>
          <w:iCs/>
        </w:rPr>
      </w:pPr>
      <w:r>
        <w:rPr>
          <w:i/>
          <w:iCs/>
        </w:rPr>
      </w:r>
    </w:p>
    <w:p>
      <w:pPr>
        <w:pStyle w:val="Normal"/>
        <w:rPr/>
      </w:pPr>
      <w:r>
        <w:rPr>
          <w:rStyle w:val="Subst"/>
          <w:b w:val="false"/>
          <w:i w:val="false"/>
          <w:iCs w:val="false"/>
          <w:sz w:val="20"/>
          <w:szCs w:val="20"/>
        </w:rPr>
        <w:t>Результаты фин</w:t>
      </w:r>
      <w:bookmarkStart w:id="0" w:name="_GoBack"/>
      <w:bookmarkEnd w:id="0"/>
      <w:r>
        <w:rPr>
          <w:rStyle w:val="Subst"/>
          <w:b w:val="false"/>
          <w:i w:val="false"/>
          <w:iCs w:val="false"/>
          <w:sz w:val="20"/>
          <w:szCs w:val="20"/>
        </w:rPr>
        <w:t>ансово-хозяйственной деятельности эмитента:</w:t>
      </w:r>
    </w:p>
    <w:p>
      <w:pPr>
        <w:pStyle w:val="Normal"/>
        <w:jc w:val="both"/>
        <w:rPr/>
      </w:pPr>
      <w:r>
        <w:rPr>
          <w:rStyle w:val="Subst"/>
          <w:sz w:val="20"/>
          <w:szCs w:val="20"/>
          <w:shd w:fill="auto" w:val="clear"/>
          <w:lang w:eastAsia="ru-RU" w:bidi="ar-SA"/>
        </w:rPr>
        <w:tab/>
      </w:r>
      <w:r>
        <w:rPr>
          <w:rStyle w:val="Subst"/>
          <w:bCs/>
          <w:iCs/>
          <w:sz w:val="20"/>
          <w:szCs w:val="20"/>
          <w:shd w:fill="auto" w:val="clear"/>
          <w:lang w:val="ru-RU" w:eastAsia="ru-RU" w:bidi="ar-SA"/>
        </w:rPr>
        <w:tab/>
        <w:t>По результатам деятельности Группы Камчатскэнерго за 12 месяцев 2025 года получены следующие показатели:</w:t>
      </w:r>
    </w:p>
    <w:p>
      <w:pPr>
        <w:pStyle w:val="Normal"/>
        <w:jc w:val="both"/>
        <w:rPr/>
      </w:pPr>
      <w:r>
        <w:rPr>
          <w:rStyle w:val="Subst"/>
          <w:bCs/>
          <w:iCs/>
          <w:sz w:val="20"/>
          <w:szCs w:val="20"/>
          <w:shd w:fill="auto" w:val="clear"/>
          <w:lang w:val="ru-RU" w:eastAsia="ru-RU" w:bidi="ar-SA"/>
        </w:rPr>
        <w:t>•</w:t>
      </w:r>
      <w:r>
        <w:rPr>
          <w:rStyle w:val="Subst"/>
          <w:bCs/>
          <w:iCs/>
          <w:sz w:val="20"/>
          <w:szCs w:val="20"/>
          <w:shd w:fill="auto" w:val="clear"/>
          <w:lang w:val="ru-RU" w:eastAsia="ru-RU" w:bidi="ar-SA"/>
        </w:rPr>
        <w:tab/>
        <w:t xml:space="preserve">Чистая прибыль в сумме -30 млн. руб., что на 96.3 %    выше показателя аналогичного периода прошлого года.    </w:t>
      </w:r>
    </w:p>
    <w:p>
      <w:pPr>
        <w:pStyle w:val="Normal"/>
        <w:jc w:val="both"/>
        <w:rPr/>
      </w:pPr>
      <w:r>
        <w:rPr>
          <w:rStyle w:val="Subst"/>
          <w:bCs/>
          <w:iCs/>
          <w:sz w:val="20"/>
          <w:szCs w:val="20"/>
          <w:shd w:fill="auto" w:val="clear"/>
          <w:lang w:val="ru-RU" w:eastAsia="ru-RU" w:bidi="ar-SA"/>
        </w:rPr>
        <w:t>•</w:t>
      </w:r>
      <w:r>
        <w:rPr>
          <w:rStyle w:val="Subst"/>
          <w:bCs/>
          <w:iCs/>
          <w:sz w:val="20"/>
          <w:szCs w:val="20"/>
          <w:shd w:fill="auto" w:val="clear"/>
          <w:lang w:val="ru-RU" w:eastAsia="ru-RU" w:bidi="ar-SA"/>
        </w:rPr>
        <w:tab/>
        <w:t>Собственный капитал составил 14 565 млн. руб., рост относительно аналогичного периода прошлого года составил 0,3%.</w:t>
      </w:r>
    </w:p>
    <w:p>
      <w:pPr>
        <w:pStyle w:val="Normal"/>
        <w:jc w:val="both"/>
        <w:rPr/>
      </w:pPr>
      <w:r>
        <w:rPr>
          <w:rStyle w:val="Subst"/>
          <w:bCs/>
          <w:iCs/>
          <w:sz w:val="20"/>
          <w:szCs w:val="20"/>
          <w:shd w:fill="auto" w:val="clear"/>
          <w:lang w:val="ru-RU" w:eastAsia="ru-RU" w:bidi="ar-SA"/>
        </w:rPr>
        <w:t>•</w:t>
      </w:r>
      <w:r>
        <w:rPr>
          <w:rStyle w:val="Subst"/>
          <w:bCs/>
          <w:iCs/>
          <w:sz w:val="20"/>
          <w:szCs w:val="20"/>
          <w:shd w:fill="auto" w:val="clear"/>
          <w:lang w:val="ru-RU" w:eastAsia="ru-RU" w:bidi="ar-SA"/>
        </w:rPr>
        <w:tab/>
        <w:t xml:space="preserve">Показатель EBITDA составил 5 135 млн. руб., рост относительно аналогичного периода прошлого года 84,8%.    </w:t>
      </w:r>
    </w:p>
    <w:p>
      <w:pPr>
        <w:pStyle w:val="Normal"/>
        <w:jc w:val="both"/>
        <w:rPr/>
      </w:pPr>
      <w:r>
        <w:rPr>
          <w:rStyle w:val="Subst"/>
          <w:bCs/>
          <w:iCs/>
          <w:sz w:val="20"/>
          <w:szCs w:val="20"/>
          <w:shd w:fill="auto" w:val="clear"/>
          <w:lang w:val="ru-RU" w:eastAsia="ru-RU" w:bidi="ar-SA"/>
        </w:rPr>
        <w:t>•</w:t>
      </w:r>
      <w:r>
        <w:rPr>
          <w:rStyle w:val="Subst"/>
          <w:bCs/>
          <w:iCs/>
          <w:sz w:val="20"/>
          <w:szCs w:val="20"/>
          <w:shd w:fill="auto" w:val="clear"/>
          <w:lang w:val="ru-RU" w:eastAsia="ru-RU" w:bidi="ar-SA"/>
        </w:rPr>
        <w:tab/>
        <w:t xml:space="preserve">Показатель OIBDA составил 4 610 млн. руб.,    рост относительно аналогичного периода прошлого года 129,9%. </w:t>
      </w:r>
    </w:p>
    <w:p>
      <w:pPr>
        <w:pStyle w:val="Normal"/>
        <w:jc w:val="both"/>
        <w:rPr/>
      </w:pPr>
      <w:r>
        <w:rPr>
          <w:rStyle w:val="Subst"/>
          <w:bCs/>
          <w:iCs/>
          <w:sz w:val="20"/>
          <w:szCs w:val="20"/>
          <w:shd w:fill="auto" w:val="clear"/>
          <w:lang w:val="ru-RU" w:eastAsia="ru-RU" w:bidi="ar-SA"/>
        </w:rPr>
        <w:t>•</w:t>
      </w:r>
      <w:r>
        <w:rPr>
          <w:rStyle w:val="Subst"/>
          <w:bCs/>
          <w:iCs/>
          <w:sz w:val="20"/>
          <w:szCs w:val="20"/>
          <w:shd w:fill="auto" w:val="clear"/>
          <w:lang w:val="ru-RU" w:eastAsia="ru-RU" w:bidi="ar-SA"/>
        </w:rPr>
        <w:tab/>
        <w:t>Рентабельность капитала (ROE) составила -0,21%.</w:t>
      </w:r>
    </w:p>
    <w:p>
      <w:pPr>
        <w:pStyle w:val="Normal"/>
        <w:rPr>
          <w:i/>
          <w:i/>
          <w:iCs/>
          <w:szCs w:val="20"/>
          <w:highlight w:val="none"/>
          <w:shd w:fill="FFFF00" w:val="clear"/>
        </w:rPr>
      </w:pPr>
      <w:r>
        <w:rPr>
          <w:i/>
          <w:iCs/>
          <w:szCs w:val="20"/>
          <w:shd w:fill="FFFF00" w:val="clear"/>
        </w:rPr>
      </w:r>
    </w:p>
    <w:p>
      <w:pPr>
        <w:pStyle w:val="Normal"/>
        <w:jc w:val="both"/>
        <w:rPr/>
      </w:pPr>
      <w:r>
        <w:rPr>
          <w:rStyle w:val="Subst"/>
          <w:b w:val="false"/>
          <w:i w:val="false"/>
          <w:iCs w:val="false"/>
          <w:sz w:val="20"/>
          <w:szCs w:val="20"/>
        </w:rPr>
        <w:t>Доля группы эмитента в объеме реализации аналогичной продукции иными предприятиями отрасли или иные фактические показатели, характеризующие положение эмитента (группы эмитента) в отрасли в целом:</w:t>
      </w:r>
    </w:p>
    <w:p>
      <w:pPr>
        <w:pStyle w:val="Normal"/>
        <w:jc w:val="both"/>
        <w:rPr>
          <w:szCs w:val="20"/>
        </w:rPr>
      </w:pPr>
      <w:r>
        <w:rPr>
          <w:szCs w:val="20"/>
        </w:rPr>
      </w:r>
    </w:p>
    <w:tbl>
      <w:tblPr>
        <w:tblW w:w="9133" w:type="dxa"/>
        <w:jc w:val="left"/>
        <w:tblInd w:w="345" w:type="dxa"/>
        <w:tblLayout w:type="fixed"/>
        <w:tblCellMar>
          <w:top w:w="0" w:type="dxa"/>
          <w:left w:w="108" w:type="dxa"/>
          <w:bottom w:w="0" w:type="dxa"/>
          <w:right w:w="108" w:type="dxa"/>
        </w:tblCellMar>
        <w:tblLook w:noVBand="1" w:val="04a0" w:noHBand="0" w:lastColumn="0" w:firstColumn="1" w:lastRow="0" w:firstRow="1"/>
      </w:tblPr>
      <w:tblGrid>
        <w:gridCol w:w="937"/>
        <w:gridCol w:w="3089"/>
        <w:gridCol w:w="2484"/>
        <w:gridCol w:w="2622"/>
      </w:tblGrid>
      <w:tr>
        <w:trPr>
          <w:trHeight w:val="695" w:hRule="atLeast"/>
        </w:trPr>
        <w:tc>
          <w:tcPr>
            <w:tcW w:w="937"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before="20" w:after="40"/>
              <w:contextualSpacing w:val="false"/>
              <w:rPr>
                <w:i/>
                <w:i/>
                <w:iCs/>
              </w:rPr>
            </w:pPr>
            <w:r>
              <w:rPr>
                <w:b/>
                <w:bCs/>
                <w:i/>
                <w:iCs/>
                <w:sz w:val="18"/>
                <w:szCs w:val="18"/>
              </w:rPr>
              <w:t>Год</w:t>
            </w:r>
          </w:p>
          <w:p>
            <w:pPr>
              <w:pStyle w:val="Normal"/>
              <w:widowControl w:val="false"/>
              <w:spacing w:before="0" w:after="0"/>
              <w:contextualSpacing w:val="false"/>
              <w:rPr>
                <w:b/>
                <w:bCs/>
                <w:i/>
                <w:i/>
                <w:iCs/>
                <w:sz w:val="18"/>
                <w:szCs w:val="18"/>
              </w:rPr>
            </w:pPr>
            <w:r>
              <w:rPr>
                <w:b/>
                <w:bCs/>
                <w:i/>
                <w:iCs/>
                <w:sz w:val="18"/>
                <w:szCs w:val="18"/>
              </w:rPr>
            </w:r>
          </w:p>
        </w:tc>
        <w:tc>
          <w:tcPr>
            <w:tcW w:w="5573"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before="20" w:after="40"/>
              <w:contextualSpacing w:val="false"/>
              <w:jc w:val="center"/>
              <w:rPr>
                <w:i/>
                <w:i/>
                <w:iCs/>
              </w:rPr>
            </w:pPr>
            <w:r>
              <w:rPr>
                <w:b/>
                <w:bCs/>
                <w:i/>
                <w:iCs/>
                <w:sz w:val="18"/>
                <w:szCs w:val="18"/>
              </w:rPr>
              <w:t>Выработка электроэнергии,</w:t>
            </w:r>
          </w:p>
          <w:p>
            <w:pPr>
              <w:pStyle w:val="Normal"/>
              <w:widowControl w:val="false"/>
              <w:spacing w:before="20" w:after="40"/>
              <w:contextualSpacing w:val="false"/>
              <w:jc w:val="center"/>
              <w:rPr>
                <w:i/>
                <w:i/>
                <w:iCs/>
              </w:rPr>
            </w:pPr>
            <w:r>
              <w:rPr>
                <w:b/>
                <w:bCs/>
                <w:i/>
                <w:iCs/>
                <w:sz w:val="18"/>
                <w:szCs w:val="18"/>
              </w:rPr>
              <w:t>млн кВт*ч</w:t>
            </w:r>
          </w:p>
        </w:tc>
        <w:tc>
          <w:tcPr>
            <w:tcW w:w="2622"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before="20" w:after="40"/>
              <w:contextualSpacing w:val="false"/>
              <w:jc w:val="center"/>
              <w:rPr>
                <w:i/>
                <w:i/>
                <w:iCs/>
              </w:rPr>
            </w:pPr>
            <w:r>
              <w:rPr>
                <w:b/>
                <w:bCs/>
                <w:i/>
                <w:iCs/>
                <w:sz w:val="18"/>
                <w:szCs w:val="18"/>
              </w:rPr>
              <w:t>Доля, %</w:t>
            </w:r>
          </w:p>
          <w:p>
            <w:pPr>
              <w:pStyle w:val="Normal"/>
              <w:widowControl w:val="false"/>
              <w:jc w:val="center"/>
              <w:rPr>
                <w:i/>
                <w:i/>
                <w:iCs/>
              </w:rPr>
            </w:pPr>
            <w:r>
              <w:rPr>
                <w:b/>
                <w:bCs/>
                <w:i/>
                <w:iCs/>
                <w:sz w:val="18"/>
                <w:szCs w:val="18"/>
              </w:rPr>
              <w:t>Группы</w:t>
            </w:r>
          </w:p>
          <w:p>
            <w:pPr>
              <w:pStyle w:val="Normal"/>
              <w:widowControl w:val="false"/>
              <w:jc w:val="center"/>
              <w:rPr>
                <w:i/>
                <w:i/>
                <w:iCs/>
              </w:rPr>
            </w:pPr>
            <w:r>
              <w:rPr>
                <w:b/>
                <w:bCs/>
                <w:i/>
                <w:iCs/>
                <w:sz w:val="18"/>
                <w:szCs w:val="18"/>
              </w:rPr>
              <w:t>ПАО «Камчатскэнерго»</w:t>
            </w:r>
          </w:p>
          <w:p>
            <w:pPr>
              <w:pStyle w:val="Normal"/>
              <w:widowControl w:val="false"/>
              <w:spacing w:before="0" w:after="0"/>
              <w:contextualSpacing w:val="false"/>
              <w:jc w:val="center"/>
              <w:rPr>
                <w:b/>
                <w:bCs/>
                <w:i/>
                <w:i/>
                <w:iCs/>
                <w:sz w:val="18"/>
                <w:szCs w:val="18"/>
              </w:rPr>
            </w:pPr>
            <w:r>
              <w:rPr>
                <w:b/>
                <w:bCs/>
                <w:i/>
                <w:iCs/>
                <w:sz w:val="18"/>
                <w:szCs w:val="18"/>
              </w:rPr>
            </w:r>
          </w:p>
        </w:tc>
      </w:tr>
      <w:tr>
        <w:trPr/>
        <w:tc>
          <w:tcPr>
            <w:tcW w:w="937"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val="false"/>
              <w:rPr>
                <w:b/>
                <w:bCs/>
                <w:i/>
                <w:i/>
                <w:iCs/>
                <w:sz w:val="18"/>
                <w:szCs w:val="18"/>
              </w:rPr>
            </w:pPr>
            <w:r>
              <w:rPr>
                <w:b/>
                <w:bCs/>
                <w:i/>
                <w:iCs/>
                <w:sz w:val="18"/>
                <w:szCs w:val="18"/>
              </w:rPr>
            </w:r>
          </w:p>
        </w:tc>
        <w:tc>
          <w:tcPr>
            <w:tcW w:w="30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40"/>
              <w:contextualSpacing w:val="false"/>
              <w:jc w:val="center"/>
              <w:rPr>
                <w:i/>
                <w:i/>
                <w:iCs/>
              </w:rPr>
            </w:pPr>
            <w:r>
              <w:rPr>
                <w:b/>
                <w:bCs/>
                <w:i/>
                <w:iCs/>
                <w:sz w:val="18"/>
                <w:szCs w:val="18"/>
              </w:rPr>
              <w:t>Всего</w:t>
            </w:r>
          </w:p>
          <w:p>
            <w:pPr>
              <w:pStyle w:val="Normal"/>
              <w:widowControl w:val="false"/>
              <w:jc w:val="center"/>
              <w:rPr>
                <w:i/>
                <w:i/>
                <w:iCs/>
              </w:rPr>
            </w:pPr>
            <w:r>
              <w:rPr>
                <w:b/>
                <w:bCs/>
                <w:i/>
                <w:iCs/>
                <w:sz w:val="18"/>
                <w:szCs w:val="18"/>
              </w:rPr>
              <w:t>по Камчатскому краю</w:t>
            </w:r>
          </w:p>
          <w:p>
            <w:pPr>
              <w:pStyle w:val="Normal"/>
              <w:widowControl w:val="false"/>
              <w:jc w:val="center"/>
              <w:rPr>
                <w:i/>
                <w:i/>
                <w:iCs/>
              </w:rPr>
            </w:pPr>
            <w:r>
              <w:rPr>
                <w:b/>
                <w:bCs/>
                <w:i/>
                <w:iCs/>
                <w:sz w:val="18"/>
                <w:szCs w:val="18"/>
              </w:rPr>
              <w:t xml:space="preserve">(по предварительным данным </w:t>
            </w:r>
            <w:r>
              <w:rPr>
                <w:b/>
                <w:bCs/>
                <w:i/>
                <w:iCs/>
                <w:color w:val="0E2D47"/>
                <w:sz w:val="18"/>
                <w:szCs w:val="18"/>
              </w:rPr>
              <w:t>Камчатстата</w:t>
            </w:r>
            <w:r>
              <w:rPr>
                <w:b/>
                <w:bCs/>
                <w:i/>
                <w:iCs/>
                <w:sz w:val="18"/>
                <w:szCs w:val="18"/>
              </w:rPr>
              <w:t>)</w:t>
            </w:r>
          </w:p>
          <w:p>
            <w:pPr>
              <w:pStyle w:val="Normal"/>
              <w:widowControl w:val="false"/>
              <w:spacing w:before="0" w:after="0"/>
              <w:contextualSpacing w:val="false"/>
              <w:jc w:val="center"/>
              <w:rPr>
                <w:b/>
                <w:bCs/>
                <w:i/>
                <w:i/>
                <w:iCs/>
                <w:sz w:val="18"/>
                <w:szCs w:val="18"/>
              </w:rPr>
            </w:pPr>
            <w:r>
              <w:rPr>
                <w:b/>
                <w:bCs/>
                <w:i/>
                <w:iCs/>
                <w:sz w:val="18"/>
                <w:szCs w:val="18"/>
              </w:rPr>
            </w:r>
          </w:p>
        </w:tc>
        <w:tc>
          <w:tcPr>
            <w:tcW w:w="24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40"/>
              <w:contextualSpacing w:val="false"/>
              <w:jc w:val="center"/>
              <w:rPr>
                <w:i/>
                <w:i/>
                <w:iCs/>
              </w:rPr>
            </w:pPr>
            <w:r>
              <w:rPr>
                <w:b/>
                <w:bCs/>
                <w:i/>
                <w:iCs/>
                <w:sz w:val="18"/>
                <w:szCs w:val="18"/>
              </w:rPr>
              <w:t>Группа</w:t>
            </w:r>
          </w:p>
          <w:p>
            <w:pPr>
              <w:pStyle w:val="Normal"/>
              <w:widowControl w:val="false"/>
              <w:spacing w:before="20" w:after="40"/>
              <w:contextualSpacing w:val="false"/>
              <w:jc w:val="center"/>
              <w:rPr>
                <w:i/>
                <w:i/>
                <w:iCs/>
              </w:rPr>
            </w:pPr>
            <w:r>
              <w:rPr>
                <w:b/>
                <w:bCs/>
                <w:i/>
                <w:iCs/>
                <w:sz w:val="18"/>
                <w:szCs w:val="18"/>
              </w:rPr>
              <w:t>ПАО «Камчатскэнерго»</w:t>
            </w:r>
          </w:p>
        </w:tc>
        <w:tc>
          <w:tcPr>
            <w:tcW w:w="262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val="false"/>
              <w:rPr>
                <w:b/>
                <w:bCs/>
                <w:i/>
                <w:i/>
                <w:iCs/>
                <w:sz w:val="18"/>
                <w:szCs w:val="18"/>
              </w:rPr>
            </w:pPr>
            <w:r>
              <w:rPr>
                <w:b/>
                <w:bCs/>
                <w:i/>
                <w:iCs/>
                <w:sz w:val="18"/>
                <w:szCs w:val="18"/>
              </w:rPr>
            </w:r>
          </w:p>
        </w:tc>
      </w:tr>
      <w:tr>
        <w:trPr/>
        <w:tc>
          <w:tcPr>
            <w:tcW w:w="93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40"/>
              <w:contextualSpacing w:val="false"/>
              <w:rPr>
                <w:highlight w:val="none"/>
                <w:shd w:fill="auto" w:val="clear"/>
              </w:rPr>
            </w:pPr>
            <w:r>
              <w:rPr>
                <w:b/>
                <w:bCs/>
                <w:i/>
                <w:iCs/>
                <w:sz w:val="18"/>
                <w:szCs w:val="18"/>
                <w:shd w:fill="auto" w:val="clear"/>
              </w:rPr>
              <w:t>2025</w:t>
            </w:r>
          </w:p>
        </w:tc>
        <w:tc>
          <w:tcPr>
            <w:tcW w:w="30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40"/>
              <w:contextualSpacing w:val="false"/>
              <w:jc w:val="center"/>
              <w:rPr>
                <w:i/>
                <w:i/>
                <w:iCs/>
              </w:rPr>
            </w:pPr>
            <w:r>
              <w:rPr>
                <w:b/>
                <w:bCs/>
                <w:i/>
                <w:iCs/>
                <w:sz w:val="18"/>
                <w:szCs w:val="18"/>
              </w:rPr>
              <w:t>2210</w:t>
            </w:r>
          </w:p>
        </w:tc>
        <w:tc>
          <w:tcPr>
            <w:tcW w:w="248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40"/>
              <w:contextualSpacing w:val="false"/>
              <w:jc w:val="center"/>
              <w:rPr>
                <w:i/>
                <w:i/>
                <w:iCs/>
              </w:rPr>
            </w:pPr>
            <w:r>
              <w:rPr>
                <w:b/>
                <w:bCs/>
                <w:i/>
                <w:iCs/>
                <w:sz w:val="18"/>
                <w:szCs w:val="18"/>
              </w:rPr>
              <w:t> </w:t>
            </w:r>
            <w:r>
              <w:rPr>
                <w:b/>
                <w:bCs/>
                <w:i/>
                <w:iCs/>
                <w:sz w:val="18"/>
                <w:szCs w:val="18"/>
                <w:shd w:fill="auto" w:val="clear"/>
              </w:rPr>
              <w:t>1826,948</w:t>
            </w:r>
          </w:p>
        </w:tc>
        <w:tc>
          <w:tcPr>
            <w:tcW w:w="262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40"/>
              <w:contextualSpacing w:val="false"/>
              <w:jc w:val="center"/>
              <w:rPr>
                <w:highlight w:val="none"/>
                <w:shd w:fill="auto" w:val="clear"/>
              </w:rPr>
            </w:pPr>
            <w:r>
              <w:rPr>
                <w:b/>
                <w:bCs/>
                <w:i/>
                <w:iCs/>
                <w:sz w:val="18"/>
                <w:szCs w:val="18"/>
                <w:shd w:fill="auto" w:val="clear"/>
              </w:rPr>
              <w:t>82,5%</w:t>
            </w:r>
          </w:p>
        </w:tc>
      </w:tr>
    </w:tbl>
    <w:p>
      <w:pPr>
        <w:pStyle w:val="Normal"/>
        <w:rPr/>
      </w:pPr>
      <w:r>
        <w:rPr/>
      </w:r>
    </w:p>
    <w:p>
      <w:pPr>
        <w:pStyle w:val="Normal"/>
        <w:jc w:val="both"/>
        <w:rPr/>
      </w:pPr>
      <w:r>
        <w:rPr>
          <w:rStyle w:val="Subst"/>
          <w:rFonts w:eastAsia="0" w:cs="0"/>
          <w:b w:val="false"/>
          <w:i w:val="false"/>
          <w:iCs w:val="false"/>
          <w:color w:val="000000"/>
          <w:sz w:val="20"/>
        </w:rPr>
        <w:t xml:space="preserve">Общая оценка результатов финансово-хозяйственной деятельности эмитента (группы эмитента) в данной отрасли: </w:t>
      </w:r>
    </w:p>
    <w:p>
      <w:pPr>
        <w:pStyle w:val="Normal"/>
        <w:jc w:val="both"/>
        <w:rPr/>
      </w:pPr>
      <w:r>
        <w:rPr>
          <w:rStyle w:val="Subst"/>
          <w:bCs/>
          <w:iCs/>
          <w:sz w:val="20"/>
          <w:szCs w:val="20"/>
        </w:rPr>
        <w:t>Результаты финансово-хозяйственной деятельности Группы эмитента в отрасли оцениваются как удовлетворительные.</w:t>
      </w:r>
    </w:p>
    <w:p>
      <w:pPr>
        <w:pStyle w:val="Normal"/>
        <w:jc w:val="both"/>
        <w:rPr>
          <w:szCs w:val="20"/>
        </w:rPr>
      </w:pPr>
      <w:r>
        <w:rPr>
          <w:szCs w:val="20"/>
        </w:rPr>
      </w:r>
    </w:p>
    <w:p>
      <w:pPr>
        <w:pStyle w:val="Normal"/>
        <w:jc w:val="both"/>
        <w:rPr/>
      </w:pPr>
      <w:r>
        <w:rPr>
          <w:rStyle w:val="Subst"/>
          <w:b w:val="false"/>
          <w:bCs/>
          <w:i w:val="false"/>
          <w:iCs w:val="false"/>
          <w:sz w:val="20"/>
          <w:szCs w:val="20"/>
        </w:rPr>
        <w:t>Оценка соответствия результатов деятельности эмитента (группы эмитента) тенденциям развития отрасли</w:t>
      </w:r>
      <w:r>
        <w:rPr>
          <w:rStyle w:val="Subst"/>
          <w:b w:val="false"/>
          <w:i w:val="false"/>
          <w:iCs w:val="false"/>
          <w:sz w:val="20"/>
          <w:szCs w:val="20"/>
        </w:rPr>
        <w:t>:</w:t>
      </w:r>
      <w:r>
        <w:rPr>
          <w:rStyle w:val="Subst"/>
          <w:bCs/>
          <w:i w:val="false"/>
          <w:iCs w:val="false"/>
          <w:sz w:val="20"/>
          <w:szCs w:val="20"/>
        </w:rPr>
        <w:t xml:space="preserve"> </w:t>
      </w:r>
    </w:p>
    <w:p>
      <w:pPr>
        <w:pStyle w:val="Normal"/>
        <w:jc w:val="both"/>
        <w:rPr/>
      </w:pPr>
      <w:r>
        <w:rPr>
          <w:rStyle w:val="Subst"/>
          <w:bCs/>
          <w:iCs/>
          <w:sz w:val="20"/>
          <w:szCs w:val="20"/>
        </w:rPr>
        <w:t>Результаты деятельности Группы эмитента в отрасли оцениваются как соответствующие тенденциям развития отрасли.</w:t>
      </w:r>
    </w:p>
    <w:p>
      <w:pPr>
        <w:pStyle w:val="Normal"/>
        <w:jc w:val="both"/>
        <w:rPr>
          <w:szCs w:val="20"/>
        </w:rPr>
      </w:pPr>
      <w:r>
        <w:rPr>
          <w:szCs w:val="20"/>
        </w:rPr>
      </w:r>
    </w:p>
    <w:p>
      <w:pPr>
        <w:pStyle w:val="Normal"/>
        <w:jc w:val="both"/>
        <w:rPr/>
      </w:pPr>
      <w:r>
        <w:rPr>
          <w:rStyle w:val="Subst"/>
          <w:b w:val="false"/>
          <w:bCs/>
          <w:i w:val="false"/>
          <w:iCs/>
          <w:sz w:val="20"/>
          <w:szCs w:val="20"/>
        </w:rPr>
        <w:t>Причины, обосновывающие полученные результаты деятельности (удовлетворительные и неудовлетворительные, по мнению эмитента, результаты):</w:t>
      </w:r>
      <w:r>
        <w:rPr>
          <w:rStyle w:val="Subst"/>
          <w:bCs/>
          <w:iCs/>
          <w:sz w:val="20"/>
          <w:szCs w:val="20"/>
        </w:rPr>
        <w:t xml:space="preserve"> Основными причинами полученных результатов деятельности являются эффективная деятельность компаний Группы эмитента на рынке энергоснабжения и мощности, эффективное управление издержками, оптимальная организация труда.</w:t>
      </w:r>
    </w:p>
    <w:p>
      <w:pPr>
        <w:pStyle w:val="Normal"/>
        <w:jc w:val="both"/>
        <w:rPr>
          <w:szCs w:val="20"/>
        </w:rPr>
      </w:pPr>
      <w:r>
        <w:rPr>
          <w:szCs w:val="20"/>
        </w:rPr>
      </w:r>
    </w:p>
    <w:p>
      <w:pPr>
        <w:pStyle w:val="Normal"/>
        <w:jc w:val="both"/>
        <w:rPr/>
      </w:pPr>
      <w:r>
        <w:rPr>
          <w:rStyle w:val="Subst"/>
          <w:b w:val="false"/>
          <w:bCs/>
          <w:i w:val="false"/>
          <w:iCs w:val="false"/>
          <w:sz w:val="20"/>
          <w:szCs w:val="20"/>
        </w:rPr>
        <w:t>Сведения об основных конкурентах эмитента (группы эмитента), сопоставляются сильные и слабые стороны эмитента (группы эмитента) в сравнении с ними:</w:t>
      </w:r>
    </w:p>
    <w:p>
      <w:pPr>
        <w:pStyle w:val="Normal"/>
        <w:jc w:val="both"/>
        <w:rPr>
          <w:szCs w:val="20"/>
        </w:rPr>
      </w:pPr>
      <w:r>
        <w:rPr>
          <w:szCs w:val="20"/>
        </w:rPr>
      </w:r>
    </w:p>
    <w:p>
      <w:pPr>
        <w:pStyle w:val="Normal"/>
        <w:jc w:val="both"/>
        <w:rPr>
          <w:i/>
          <w:i/>
          <w:iCs/>
        </w:rPr>
      </w:pPr>
      <w:r>
        <w:rPr>
          <w:b/>
          <w:bCs/>
          <w:i/>
          <w:iCs/>
          <w:szCs w:val="20"/>
        </w:rPr>
        <w:t xml:space="preserve">Основными конкурентами группы ПАО «Камчатскэнерго» являются </w:t>
      </w:r>
      <w:r>
        <w:rPr>
          <w:rFonts w:eastAsia="0" w:cs="0"/>
          <w:b/>
          <w:bCs/>
          <w:i/>
          <w:iCs/>
          <w:color w:val="000000"/>
          <w:kern w:val="0"/>
          <w:sz w:val="20"/>
          <w:szCs w:val="20"/>
          <w:lang w:val="ru-RU" w:eastAsia="zh-CN" w:bidi="hi-IN"/>
        </w:rPr>
        <w:t>ООО «Энергия А1», ООО «Чукотская генерирующая компания», АО «Камчатские электрические сети им. И.А. Пискунова».</w:t>
      </w:r>
    </w:p>
    <w:p>
      <w:pPr>
        <w:pStyle w:val="Normal"/>
        <w:jc w:val="both"/>
        <w:rPr>
          <w:i/>
          <w:i/>
          <w:iCs/>
        </w:rPr>
      </w:pPr>
      <w:r>
        <w:rPr>
          <w:i/>
          <w:iCs/>
        </w:rPr>
      </w:r>
    </w:p>
    <w:tbl>
      <w:tblPr>
        <w:tblW w:w="8839" w:type="dxa"/>
        <w:jc w:val="left"/>
        <w:tblInd w:w="301" w:type="dxa"/>
        <w:tblLayout w:type="fixed"/>
        <w:tblCellMar>
          <w:top w:w="0" w:type="dxa"/>
          <w:left w:w="108" w:type="dxa"/>
          <w:bottom w:w="0" w:type="dxa"/>
          <w:right w:w="108" w:type="dxa"/>
        </w:tblCellMar>
      </w:tblPr>
      <w:tblGrid>
        <w:gridCol w:w="395"/>
        <w:gridCol w:w="3805"/>
        <w:gridCol w:w="2606"/>
        <w:gridCol w:w="2032"/>
      </w:tblGrid>
      <w:tr>
        <w:trPr>
          <w:trHeight w:val="547" w:hRule="atLeast"/>
        </w:trPr>
        <w:tc>
          <w:tcPr>
            <w:tcW w:w="3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40"/>
              <w:contextualSpacing/>
              <w:jc w:val="both"/>
              <w:rPr>
                <w:i/>
                <w:i/>
                <w:iCs/>
                <w:sz w:val="18"/>
                <w:szCs w:val="18"/>
              </w:rPr>
            </w:pPr>
            <w:r>
              <w:rPr>
                <w:i/>
                <w:iCs/>
                <w:sz w:val="18"/>
                <w:szCs w:val="18"/>
              </w:rPr>
            </w:r>
          </w:p>
          <w:p>
            <w:pPr>
              <w:pStyle w:val="Normal"/>
              <w:widowControl w:val="false"/>
              <w:spacing w:before="20" w:after="40"/>
              <w:contextualSpacing/>
              <w:jc w:val="both"/>
              <w:rPr>
                <w:b/>
                <w:bCs/>
                <w:i/>
                <w:i/>
                <w:iCs/>
                <w:sz w:val="18"/>
                <w:szCs w:val="18"/>
              </w:rPr>
            </w:pPr>
            <w:r>
              <w:rPr>
                <w:b/>
                <w:bCs/>
                <w:i/>
                <w:iCs/>
                <w:sz w:val="18"/>
                <w:szCs w:val="18"/>
              </w:rPr>
              <w:t>№</w:t>
            </w:r>
          </w:p>
        </w:tc>
        <w:tc>
          <w:tcPr>
            <w:tcW w:w="380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40"/>
              <w:contextualSpacing/>
              <w:jc w:val="center"/>
              <w:rPr>
                <w:i/>
                <w:i/>
                <w:iCs/>
                <w:sz w:val="18"/>
                <w:szCs w:val="18"/>
              </w:rPr>
            </w:pPr>
            <w:r>
              <w:rPr>
                <w:i/>
                <w:iCs/>
                <w:sz w:val="18"/>
                <w:szCs w:val="18"/>
              </w:rPr>
            </w:r>
          </w:p>
          <w:p>
            <w:pPr>
              <w:pStyle w:val="Normal"/>
              <w:widowControl w:val="false"/>
              <w:spacing w:before="20" w:after="40"/>
              <w:contextualSpacing/>
              <w:jc w:val="center"/>
              <w:rPr>
                <w:b/>
                <w:bCs/>
                <w:i/>
                <w:i/>
                <w:iCs/>
                <w:sz w:val="18"/>
                <w:szCs w:val="18"/>
              </w:rPr>
            </w:pPr>
            <w:r>
              <w:rPr>
                <w:b/>
                <w:bCs/>
                <w:i/>
                <w:iCs/>
                <w:sz w:val="18"/>
                <w:szCs w:val="18"/>
              </w:rPr>
              <w:t>Наименование компании</w:t>
            </w:r>
          </w:p>
        </w:tc>
        <w:tc>
          <w:tcPr>
            <w:tcW w:w="260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40"/>
              <w:contextualSpacing/>
              <w:jc w:val="center"/>
              <w:rPr>
                <w:b/>
                <w:bCs/>
                <w:i/>
                <w:i/>
                <w:iCs/>
                <w:sz w:val="18"/>
                <w:szCs w:val="18"/>
              </w:rPr>
            </w:pPr>
            <w:r>
              <w:rPr>
                <w:b/>
                <w:bCs/>
                <w:i/>
                <w:iCs/>
                <w:sz w:val="18"/>
                <w:szCs w:val="18"/>
              </w:rPr>
              <w:t>Установленная мощность</w:t>
            </w:r>
          </w:p>
          <w:p>
            <w:pPr>
              <w:pStyle w:val="Normal"/>
              <w:widowControl w:val="false"/>
              <w:spacing w:before="20" w:after="40"/>
              <w:contextualSpacing/>
              <w:jc w:val="center"/>
              <w:rPr>
                <w:b/>
                <w:bCs/>
                <w:i/>
                <w:i/>
                <w:iCs/>
                <w:sz w:val="18"/>
                <w:szCs w:val="18"/>
              </w:rPr>
            </w:pPr>
            <w:r>
              <w:rPr>
                <w:b/>
                <w:bCs/>
                <w:i/>
                <w:iCs/>
                <w:sz w:val="18"/>
                <w:szCs w:val="18"/>
              </w:rPr>
              <w:t>по данным компаний, мВт</w:t>
            </w:r>
          </w:p>
        </w:tc>
        <w:tc>
          <w:tcPr>
            <w:tcW w:w="203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40"/>
              <w:contextualSpacing/>
              <w:jc w:val="center"/>
              <w:rPr>
                <w:b/>
                <w:bCs/>
                <w:i/>
                <w:i/>
                <w:iCs/>
                <w:sz w:val="18"/>
                <w:szCs w:val="18"/>
              </w:rPr>
            </w:pPr>
            <w:r>
              <w:rPr>
                <w:b/>
                <w:bCs/>
                <w:i/>
                <w:iCs/>
                <w:sz w:val="18"/>
                <w:szCs w:val="18"/>
              </w:rPr>
              <w:t>Выработка электроэнергии,</w:t>
            </w:r>
          </w:p>
          <w:p>
            <w:pPr>
              <w:pStyle w:val="Normal"/>
              <w:widowControl w:val="false"/>
              <w:spacing w:before="20" w:after="40"/>
              <w:contextualSpacing/>
              <w:jc w:val="center"/>
              <w:rPr>
                <w:b/>
                <w:bCs/>
                <w:i/>
                <w:i/>
                <w:iCs/>
                <w:sz w:val="18"/>
                <w:szCs w:val="18"/>
              </w:rPr>
            </w:pPr>
            <w:r>
              <w:rPr>
                <w:b/>
                <w:bCs/>
                <w:i/>
                <w:iCs/>
                <w:sz w:val="18"/>
                <w:szCs w:val="18"/>
              </w:rPr>
              <w:t>млн кВт ч.</w:t>
            </w:r>
          </w:p>
        </w:tc>
      </w:tr>
      <w:tr>
        <w:trPr/>
        <w:tc>
          <w:tcPr>
            <w:tcW w:w="3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40"/>
              <w:contextualSpacing/>
              <w:jc w:val="both"/>
              <w:rPr>
                <w:b/>
                <w:bCs/>
                <w:i/>
                <w:i/>
                <w:iCs/>
                <w:sz w:val="18"/>
                <w:szCs w:val="18"/>
              </w:rPr>
            </w:pPr>
            <w:r>
              <w:rPr>
                <w:b/>
                <w:bCs/>
                <w:i/>
                <w:iCs/>
                <w:sz w:val="18"/>
                <w:szCs w:val="18"/>
              </w:rPr>
              <w:t>1</w:t>
            </w:r>
          </w:p>
        </w:tc>
        <w:tc>
          <w:tcPr>
            <w:tcW w:w="38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20" w:after="40"/>
              <w:contextualSpacing/>
              <w:jc w:val="both"/>
              <w:rPr>
                <w:b/>
                <w:bCs/>
                <w:i/>
                <w:i/>
                <w:iCs/>
                <w:sz w:val="18"/>
                <w:szCs w:val="18"/>
                <w:shd w:fill="auto" w:val="clear"/>
              </w:rPr>
            </w:pPr>
            <w:r>
              <w:rPr>
                <w:b/>
                <w:bCs/>
                <w:i/>
                <w:iCs/>
                <w:sz w:val="18"/>
                <w:szCs w:val="18"/>
                <w:shd w:fill="auto" w:val="clear"/>
              </w:rPr>
              <w:t>АО «Корякэнерго»</w:t>
            </w:r>
          </w:p>
        </w:tc>
        <w:tc>
          <w:tcPr>
            <w:tcW w:w="260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20" w:after="40"/>
              <w:contextualSpacing w:val="false"/>
              <w:jc w:val="center"/>
              <w:rPr>
                <w:rFonts w:eastAsia="Times New Roman" w:cs="Times New Roman"/>
                <w:b/>
                <w:bCs/>
                <w:i/>
                <w:i/>
                <w:iCs/>
                <w:sz w:val="18"/>
                <w:szCs w:val="18"/>
                <w:shd w:fill="auto" w:val="clear"/>
                <w:lang w:eastAsia="ru-RU"/>
              </w:rPr>
            </w:pPr>
            <w:r>
              <w:rPr>
                <w:rFonts w:eastAsia="Times New Roman" w:cs="Times New Roman"/>
                <w:b/>
                <w:bCs/>
                <w:i/>
                <w:iCs/>
                <w:sz w:val="18"/>
                <w:szCs w:val="18"/>
                <w:shd w:fill="auto" w:val="clear"/>
                <w:lang w:eastAsia="ru-RU"/>
              </w:rPr>
              <w:t>12,902</w:t>
            </w:r>
          </w:p>
        </w:tc>
        <w:tc>
          <w:tcPr>
            <w:tcW w:w="203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20" w:after="40"/>
              <w:contextualSpacing w:val="false"/>
              <w:jc w:val="center"/>
              <w:rPr>
                <w:rFonts w:eastAsia="Times New Roman" w:cs="Times New Roman"/>
                <w:b/>
                <w:bCs/>
                <w:i/>
                <w:i/>
                <w:iCs/>
                <w:sz w:val="18"/>
                <w:szCs w:val="18"/>
                <w:shd w:fill="auto" w:val="clear"/>
                <w:lang w:eastAsia="ru-RU"/>
              </w:rPr>
            </w:pPr>
            <w:r>
              <w:rPr>
                <w:rFonts w:eastAsia="Times New Roman" w:cs="Times New Roman"/>
                <w:b/>
                <w:bCs/>
                <w:i/>
                <w:iCs/>
                <w:sz w:val="18"/>
                <w:szCs w:val="18"/>
                <w:shd w:fill="auto" w:val="clear"/>
                <w:lang w:eastAsia="ru-RU"/>
              </w:rPr>
              <w:t>9,833</w:t>
            </w:r>
          </w:p>
        </w:tc>
      </w:tr>
      <w:tr>
        <w:trPr/>
        <w:tc>
          <w:tcPr>
            <w:tcW w:w="3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40"/>
              <w:contextualSpacing/>
              <w:jc w:val="both"/>
              <w:rPr>
                <w:b/>
                <w:bCs/>
                <w:i/>
                <w:i/>
                <w:iCs/>
                <w:sz w:val="18"/>
                <w:szCs w:val="18"/>
              </w:rPr>
            </w:pPr>
            <w:r>
              <w:rPr>
                <w:b/>
                <w:bCs/>
                <w:i/>
                <w:iCs/>
                <w:sz w:val="18"/>
                <w:szCs w:val="18"/>
              </w:rPr>
              <w:t>2</w:t>
            </w:r>
          </w:p>
        </w:tc>
        <w:tc>
          <w:tcPr>
            <w:tcW w:w="38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20" w:after="40"/>
              <w:contextualSpacing/>
              <w:jc w:val="both"/>
              <w:rPr>
                <w:b/>
                <w:bCs/>
                <w:i/>
                <w:i/>
                <w:iCs/>
                <w:sz w:val="18"/>
                <w:szCs w:val="18"/>
                <w:shd w:fill="auto" w:val="clear"/>
              </w:rPr>
            </w:pPr>
            <w:r>
              <w:rPr>
                <w:b/>
                <w:bCs/>
                <w:i/>
                <w:iCs/>
                <w:sz w:val="18"/>
                <w:szCs w:val="18"/>
                <w:shd w:fill="auto" w:val="clear"/>
              </w:rPr>
              <w:t>АО «КЭС им. И.А. Пискунова»</w:t>
            </w:r>
          </w:p>
        </w:tc>
        <w:tc>
          <w:tcPr>
            <w:tcW w:w="260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20" w:after="40"/>
              <w:contextualSpacing w:val="false"/>
              <w:jc w:val="center"/>
              <w:rPr>
                <w:rFonts w:eastAsia="Times New Roman" w:cs="Times New Roman"/>
                <w:b/>
                <w:bCs/>
                <w:i/>
                <w:i/>
                <w:iCs/>
                <w:sz w:val="18"/>
                <w:szCs w:val="18"/>
                <w:shd w:fill="auto" w:val="clear"/>
                <w:lang w:eastAsia="ru-RU"/>
              </w:rPr>
            </w:pPr>
            <w:r>
              <w:rPr>
                <w:rFonts w:eastAsia="Times New Roman" w:cs="Times New Roman"/>
                <w:b/>
                <w:bCs/>
                <w:i/>
                <w:iCs/>
                <w:sz w:val="18"/>
                <w:szCs w:val="18"/>
                <w:shd w:fill="auto" w:val="clear"/>
                <w:lang w:eastAsia="ru-RU"/>
              </w:rPr>
              <w:t>22,766</w:t>
            </w:r>
          </w:p>
        </w:tc>
        <w:tc>
          <w:tcPr>
            <w:tcW w:w="203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20" w:after="40"/>
              <w:contextualSpacing w:val="false"/>
              <w:jc w:val="center"/>
              <w:rPr>
                <w:rFonts w:eastAsia="Times New Roman" w:cs="Times New Roman"/>
                <w:b/>
                <w:bCs/>
                <w:i/>
                <w:i/>
                <w:iCs/>
                <w:sz w:val="18"/>
                <w:szCs w:val="18"/>
                <w:shd w:fill="auto" w:val="clear"/>
                <w:lang w:eastAsia="ru-RU"/>
              </w:rPr>
            </w:pPr>
            <w:r>
              <w:rPr>
                <w:rFonts w:eastAsia="Times New Roman" w:cs="Times New Roman"/>
                <w:b/>
                <w:bCs/>
                <w:i/>
                <w:iCs/>
                <w:sz w:val="18"/>
                <w:szCs w:val="18"/>
                <w:shd w:fill="auto" w:val="clear"/>
                <w:lang w:eastAsia="ru-RU"/>
              </w:rPr>
              <w:t>21,795</w:t>
            </w:r>
          </w:p>
        </w:tc>
      </w:tr>
      <w:tr>
        <w:trPr/>
        <w:tc>
          <w:tcPr>
            <w:tcW w:w="3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40"/>
              <w:contextualSpacing/>
              <w:jc w:val="both"/>
              <w:rPr>
                <w:b/>
                <w:bCs/>
                <w:i/>
                <w:i/>
                <w:iCs/>
                <w:sz w:val="18"/>
                <w:szCs w:val="18"/>
              </w:rPr>
            </w:pPr>
            <w:r>
              <w:rPr>
                <w:b/>
                <w:bCs/>
                <w:i/>
                <w:iCs/>
                <w:sz w:val="18"/>
                <w:szCs w:val="18"/>
              </w:rPr>
              <w:t>3</w:t>
            </w:r>
          </w:p>
        </w:tc>
        <w:tc>
          <w:tcPr>
            <w:tcW w:w="38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20" w:after="40"/>
              <w:contextualSpacing w:val="false"/>
              <w:jc w:val="both"/>
              <w:rPr>
                <w:b/>
                <w:bCs/>
                <w:i/>
                <w:i/>
                <w:iCs/>
                <w:sz w:val="18"/>
                <w:szCs w:val="18"/>
                <w:shd w:fill="auto" w:val="clear"/>
              </w:rPr>
            </w:pPr>
            <w:r>
              <w:rPr>
                <w:b/>
                <w:bCs/>
                <w:i/>
                <w:iCs/>
                <w:sz w:val="18"/>
                <w:szCs w:val="18"/>
                <w:shd w:fill="auto" w:val="clear"/>
              </w:rPr>
              <w:t>ООО «Чукотская генерирующая компания»</w:t>
            </w:r>
          </w:p>
        </w:tc>
        <w:tc>
          <w:tcPr>
            <w:tcW w:w="260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20" w:after="40"/>
              <w:contextualSpacing w:val="false"/>
              <w:jc w:val="center"/>
              <w:rPr>
                <w:rFonts w:eastAsia="Times New Roman" w:cs="Times New Roman"/>
                <w:b/>
                <w:bCs/>
                <w:i/>
                <w:i/>
                <w:iCs/>
                <w:sz w:val="18"/>
                <w:szCs w:val="18"/>
                <w:shd w:fill="auto" w:val="clear"/>
                <w:lang w:eastAsia="ru-RU"/>
              </w:rPr>
            </w:pPr>
            <w:r>
              <w:rPr>
                <w:rFonts w:eastAsia="Times New Roman" w:cs="Times New Roman"/>
                <w:b/>
                <w:bCs/>
                <w:i/>
                <w:iCs/>
                <w:sz w:val="18"/>
                <w:szCs w:val="18"/>
                <w:shd w:fill="auto" w:val="clear"/>
                <w:lang w:eastAsia="ru-RU"/>
              </w:rPr>
              <w:t>24,700</w:t>
            </w:r>
          </w:p>
        </w:tc>
        <w:tc>
          <w:tcPr>
            <w:tcW w:w="203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20" w:after="40"/>
              <w:contextualSpacing w:val="false"/>
              <w:jc w:val="center"/>
              <w:rPr>
                <w:rFonts w:eastAsia="Times New Roman" w:cs="Times New Roman"/>
                <w:b/>
                <w:bCs/>
                <w:i/>
                <w:i/>
                <w:iCs/>
                <w:sz w:val="18"/>
                <w:szCs w:val="18"/>
                <w:shd w:fill="auto" w:val="clear"/>
                <w:lang w:eastAsia="ru-RU"/>
              </w:rPr>
            </w:pPr>
            <w:r>
              <w:rPr>
                <w:rFonts w:eastAsia="Times New Roman" w:cs="Times New Roman"/>
                <w:b/>
                <w:bCs/>
                <w:i/>
                <w:iCs/>
                <w:sz w:val="18"/>
                <w:szCs w:val="18"/>
                <w:shd w:fill="auto" w:val="clear"/>
                <w:lang w:eastAsia="ru-RU"/>
              </w:rPr>
              <w:t>25,819</w:t>
            </w:r>
          </w:p>
        </w:tc>
      </w:tr>
      <w:tr>
        <w:trPr/>
        <w:tc>
          <w:tcPr>
            <w:tcW w:w="395" w:type="dxa"/>
            <w:tcBorders>
              <w:left w:val="single" w:sz="4" w:space="0" w:color="000000"/>
              <w:bottom w:val="single" w:sz="4" w:space="0" w:color="000000"/>
              <w:right w:val="single" w:sz="4" w:space="0" w:color="000000"/>
            </w:tcBorders>
          </w:tcPr>
          <w:p>
            <w:pPr>
              <w:pStyle w:val="Normal"/>
              <w:widowControl w:val="false"/>
              <w:spacing w:before="20" w:after="40"/>
              <w:contextualSpacing/>
              <w:jc w:val="both"/>
              <w:rPr>
                <w:b/>
                <w:bCs/>
                <w:i/>
                <w:i/>
                <w:iCs/>
                <w:sz w:val="18"/>
                <w:szCs w:val="18"/>
              </w:rPr>
            </w:pPr>
            <w:r>
              <w:rPr>
                <w:b/>
                <w:bCs/>
                <w:i/>
                <w:iCs/>
                <w:sz w:val="18"/>
                <w:szCs w:val="18"/>
              </w:rPr>
              <w:t>4</w:t>
            </w:r>
          </w:p>
        </w:tc>
        <w:tc>
          <w:tcPr>
            <w:tcW w:w="3805" w:type="dxa"/>
            <w:tcBorders>
              <w:left w:val="single" w:sz="4" w:space="0" w:color="000000"/>
              <w:bottom w:val="single" w:sz="4" w:space="0" w:color="000000"/>
              <w:right w:val="single" w:sz="4" w:space="0" w:color="000000"/>
            </w:tcBorders>
            <w:vAlign w:val="center"/>
          </w:tcPr>
          <w:p>
            <w:pPr>
              <w:pStyle w:val="Normal"/>
              <w:widowControl w:val="false"/>
              <w:spacing w:before="20" w:after="40"/>
              <w:contextualSpacing/>
              <w:jc w:val="both"/>
              <w:rPr>
                <w:b/>
                <w:bCs/>
                <w:i/>
                <w:i/>
                <w:iCs/>
                <w:sz w:val="18"/>
                <w:szCs w:val="18"/>
                <w:shd w:fill="auto" w:val="clear"/>
              </w:rPr>
            </w:pPr>
            <w:r>
              <w:rPr>
                <w:b/>
                <w:bCs/>
                <w:i/>
                <w:iCs/>
                <w:sz w:val="18"/>
                <w:szCs w:val="18"/>
                <w:shd w:fill="auto" w:val="clear"/>
              </w:rPr>
              <w:t>ООО «Энергия А1»</w:t>
            </w:r>
          </w:p>
        </w:tc>
        <w:tc>
          <w:tcPr>
            <w:tcW w:w="2606" w:type="dxa"/>
            <w:tcBorders>
              <w:left w:val="single" w:sz="4" w:space="0" w:color="000000"/>
              <w:bottom w:val="single" w:sz="4" w:space="0" w:color="000000"/>
              <w:right w:val="single" w:sz="4" w:space="0" w:color="000000"/>
            </w:tcBorders>
            <w:vAlign w:val="center"/>
          </w:tcPr>
          <w:p>
            <w:pPr>
              <w:pStyle w:val="Normal"/>
              <w:widowControl w:val="false"/>
              <w:spacing w:before="20" w:after="40"/>
              <w:contextualSpacing w:val="false"/>
              <w:jc w:val="center"/>
              <w:rPr>
                <w:rFonts w:eastAsia="Times New Roman" w:cs="Times New Roman"/>
                <w:b/>
                <w:bCs/>
                <w:i/>
                <w:i/>
                <w:iCs/>
                <w:sz w:val="18"/>
                <w:szCs w:val="18"/>
                <w:shd w:fill="auto" w:val="clear"/>
                <w:lang w:eastAsia="ru-RU"/>
              </w:rPr>
            </w:pPr>
            <w:r>
              <w:rPr>
                <w:rFonts w:eastAsia="Times New Roman" w:cs="Times New Roman"/>
                <w:b/>
                <w:bCs/>
                <w:i/>
                <w:iCs/>
                <w:sz w:val="18"/>
                <w:szCs w:val="18"/>
                <w:shd w:fill="auto" w:val="clear"/>
                <w:lang w:eastAsia="ru-RU"/>
              </w:rPr>
              <w:t>26,158</w:t>
            </w:r>
          </w:p>
        </w:tc>
        <w:tc>
          <w:tcPr>
            <w:tcW w:w="2032" w:type="dxa"/>
            <w:tcBorders>
              <w:left w:val="single" w:sz="4" w:space="0" w:color="000000"/>
              <w:bottom w:val="single" w:sz="4" w:space="0" w:color="000000"/>
              <w:right w:val="single" w:sz="4" w:space="0" w:color="000000"/>
            </w:tcBorders>
            <w:vAlign w:val="center"/>
          </w:tcPr>
          <w:p>
            <w:pPr>
              <w:pStyle w:val="Normal"/>
              <w:widowControl w:val="false"/>
              <w:spacing w:before="20" w:after="40"/>
              <w:contextualSpacing w:val="false"/>
              <w:jc w:val="center"/>
              <w:rPr>
                <w:rFonts w:eastAsia="Times New Roman" w:cs="Times New Roman"/>
                <w:b/>
                <w:bCs/>
                <w:i/>
                <w:i/>
                <w:iCs/>
                <w:sz w:val="18"/>
                <w:szCs w:val="18"/>
                <w:shd w:fill="auto" w:val="clear"/>
                <w:lang w:eastAsia="ru-RU"/>
              </w:rPr>
            </w:pPr>
            <w:r>
              <w:rPr>
                <w:rFonts w:eastAsia="Times New Roman" w:cs="Times New Roman"/>
                <w:b/>
                <w:bCs/>
                <w:i/>
                <w:iCs/>
                <w:sz w:val="18"/>
                <w:szCs w:val="18"/>
                <w:shd w:fill="auto" w:val="clear"/>
                <w:lang w:eastAsia="ru-RU"/>
              </w:rPr>
              <w:t>9,286</w:t>
            </w:r>
          </w:p>
        </w:tc>
      </w:tr>
      <w:tr>
        <w:trPr/>
        <w:tc>
          <w:tcPr>
            <w:tcW w:w="395" w:type="dxa"/>
            <w:tcBorders>
              <w:left w:val="single" w:sz="4" w:space="0" w:color="000000"/>
              <w:bottom w:val="single" w:sz="4" w:space="0" w:color="000000"/>
              <w:right w:val="single" w:sz="4" w:space="0" w:color="000000"/>
            </w:tcBorders>
          </w:tcPr>
          <w:p>
            <w:pPr>
              <w:pStyle w:val="Normal"/>
              <w:widowControl w:val="false"/>
              <w:spacing w:before="20" w:after="40"/>
              <w:contextualSpacing/>
              <w:jc w:val="both"/>
              <w:rPr>
                <w:b/>
                <w:bCs/>
                <w:i/>
                <w:i/>
                <w:iCs/>
                <w:sz w:val="18"/>
                <w:szCs w:val="18"/>
              </w:rPr>
            </w:pPr>
            <w:r>
              <w:rPr>
                <w:b/>
                <w:bCs/>
                <w:i/>
                <w:iCs/>
                <w:sz w:val="18"/>
                <w:szCs w:val="18"/>
              </w:rPr>
              <w:t>5</w:t>
            </w:r>
          </w:p>
        </w:tc>
        <w:tc>
          <w:tcPr>
            <w:tcW w:w="3805" w:type="dxa"/>
            <w:tcBorders>
              <w:left w:val="single" w:sz="4" w:space="0" w:color="000000"/>
              <w:bottom w:val="single" w:sz="4" w:space="0" w:color="000000"/>
              <w:right w:val="single" w:sz="4" w:space="0" w:color="000000"/>
            </w:tcBorders>
            <w:vAlign w:val="center"/>
          </w:tcPr>
          <w:p>
            <w:pPr>
              <w:pStyle w:val="Normal"/>
              <w:widowControl w:val="false"/>
              <w:spacing w:before="20" w:after="40"/>
              <w:contextualSpacing/>
              <w:jc w:val="both"/>
              <w:rPr>
                <w:b/>
                <w:bCs/>
                <w:i/>
                <w:i/>
                <w:iCs/>
                <w:sz w:val="18"/>
                <w:szCs w:val="18"/>
                <w:shd w:fill="auto" w:val="clear"/>
              </w:rPr>
            </w:pPr>
            <w:r>
              <w:rPr>
                <w:b/>
                <w:bCs/>
                <w:i/>
                <w:iCs/>
                <w:sz w:val="18"/>
                <w:szCs w:val="18"/>
                <w:shd w:fill="auto" w:val="clear"/>
              </w:rPr>
              <w:t>ООО «Восточная генерирующая компания»</w:t>
            </w:r>
          </w:p>
        </w:tc>
        <w:tc>
          <w:tcPr>
            <w:tcW w:w="2606" w:type="dxa"/>
            <w:tcBorders>
              <w:left w:val="single" w:sz="4" w:space="0" w:color="000000"/>
              <w:bottom w:val="single" w:sz="4" w:space="0" w:color="000000"/>
              <w:right w:val="single" w:sz="4" w:space="0" w:color="000000"/>
            </w:tcBorders>
            <w:vAlign w:val="center"/>
          </w:tcPr>
          <w:p>
            <w:pPr>
              <w:pStyle w:val="Normal"/>
              <w:widowControl w:val="false"/>
              <w:spacing w:before="20" w:after="40"/>
              <w:contextualSpacing w:val="false"/>
              <w:jc w:val="center"/>
              <w:rPr>
                <w:rFonts w:eastAsia="Times New Roman" w:cs="Times New Roman"/>
                <w:b/>
                <w:bCs/>
                <w:i/>
                <w:i/>
                <w:iCs/>
                <w:color w:val="auto"/>
                <w:sz w:val="18"/>
                <w:szCs w:val="18"/>
                <w:shd w:fill="auto" w:val="clear"/>
                <w:lang w:eastAsia="ru-RU"/>
              </w:rPr>
            </w:pPr>
            <w:r>
              <w:rPr>
                <w:rFonts w:eastAsia="Times New Roman" w:cs="Times New Roman"/>
                <w:b/>
                <w:bCs/>
                <w:i/>
                <w:iCs/>
                <w:color w:val="000000"/>
                <w:sz w:val="18"/>
                <w:szCs w:val="18"/>
                <w:shd w:fill="auto" w:val="clear"/>
                <w:lang w:eastAsia="ru-RU"/>
              </w:rPr>
              <w:t>12,940</w:t>
            </w:r>
          </w:p>
        </w:tc>
        <w:tc>
          <w:tcPr>
            <w:tcW w:w="2032" w:type="dxa"/>
            <w:tcBorders>
              <w:left w:val="single" w:sz="4" w:space="0" w:color="000000"/>
              <w:bottom w:val="single" w:sz="4" w:space="0" w:color="000000"/>
              <w:right w:val="single" w:sz="4" w:space="0" w:color="000000"/>
            </w:tcBorders>
            <w:vAlign w:val="center"/>
          </w:tcPr>
          <w:p>
            <w:pPr>
              <w:pStyle w:val="Normal"/>
              <w:widowControl w:val="false"/>
              <w:spacing w:before="20" w:after="40"/>
              <w:contextualSpacing w:val="false"/>
              <w:jc w:val="center"/>
              <w:rPr>
                <w:rFonts w:eastAsia="Times New Roman" w:cs="Times New Roman"/>
                <w:b/>
                <w:bCs/>
                <w:i/>
                <w:i/>
                <w:iCs/>
                <w:color w:val="auto"/>
                <w:sz w:val="18"/>
                <w:szCs w:val="18"/>
                <w:shd w:fill="auto" w:val="clear"/>
                <w:lang w:eastAsia="ru-RU"/>
              </w:rPr>
            </w:pPr>
            <w:r>
              <w:rPr>
                <w:rFonts w:eastAsia="Times New Roman" w:cs="Times New Roman"/>
                <w:b/>
                <w:bCs/>
                <w:i/>
                <w:iCs/>
                <w:color w:val="000000"/>
                <w:sz w:val="18"/>
                <w:szCs w:val="18"/>
                <w:shd w:fill="auto" w:val="clear"/>
                <w:lang w:eastAsia="ru-RU"/>
              </w:rPr>
              <w:t>9,429</w:t>
            </w:r>
          </w:p>
        </w:tc>
      </w:tr>
      <w:tr>
        <w:trPr/>
        <w:tc>
          <w:tcPr>
            <w:tcW w:w="395" w:type="dxa"/>
            <w:tcBorders>
              <w:left w:val="single" w:sz="4" w:space="0" w:color="000000"/>
              <w:bottom w:val="single" w:sz="4" w:space="0" w:color="000000"/>
              <w:right w:val="single" w:sz="4" w:space="0" w:color="000000"/>
            </w:tcBorders>
          </w:tcPr>
          <w:p>
            <w:pPr>
              <w:pStyle w:val="Normal"/>
              <w:widowControl w:val="false"/>
              <w:spacing w:before="20" w:after="40"/>
              <w:contextualSpacing/>
              <w:jc w:val="both"/>
              <w:rPr>
                <w:b/>
                <w:bCs/>
                <w:i/>
                <w:i/>
                <w:iCs/>
                <w:sz w:val="18"/>
                <w:szCs w:val="18"/>
              </w:rPr>
            </w:pPr>
            <w:r>
              <w:rPr>
                <w:b/>
                <w:bCs/>
                <w:i/>
                <w:iCs/>
                <w:sz w:val="18"/>
                <w:szCs w:val="18"/>
              </w:rPr>
              <w:t>6</w:t>
            </w:r>
          </w:p>
        </w:tc>
        <w:tc>
          <w:tcPr>
            <w:tcW w:w="3805" w:type="dxa"/>
            <w:tcBorders>
              <w:left w:val="single" w:sz="4" w:space="0" w:color="000000"/>
              <w:bottom w:val="single" w:sz="4" w:space="0" w:color="000000"/>
              <w:right w:val="single" w:sz="4" w:space="0" w:color="000000"/>
            </w:tcBorders>
            <w:vAlign w:val="center"/>
          </w:tcPr>
          <w:p>
            <w:pPr>
              <w:pStyle w:val="Normal"/>
              <w:widowControl w:val="false"/>
              <w:spacing w:before="20" w:after="40"/>
              <w:contextualSpacing/>
              <w:jc w:val="both"/>
              <w:rPr>
                <w:b/>
                <w:bCs/>
                <w:i/>
                <w:i/>
                <w:iCs/>
                <w:sz w:val="18"/>
                <w:szCs w:val="18"/>
              </w:rPr>
            </w:pPr>
            <w:r>
              <w:rPr>
                <w:b/>
                <w:bCs/>
                <w:i/>
                <w:iCs/>
                <w:sz w:val="18"/>
                <w:szCs w:val="18"/>
              </w:rPr>
              <w:t>Группа ПАО «Камчатскэнерго»</w:t>
            </w:r>
          </w:p>
        </w:tc>
        <w:tc>
          <w:tcPr>
            <w:tcW w:w="2606" w:type="dxa"/>
            <w:tcBorders>
              <w:left w:val="single" w:sz="4" w:space="0" w:color="000000"/>
              <w:bottom w:val="single" w:sz="4" w:space="0" w:color="000000"/>
              <w:right w:val="single" w:sz="4" w:space="0" w:color="000000"/>
            </w:tcBorders>
            <w:vAlign w:val="center"/>
          </w:tcPr>
          <w:p>
            <w:pPr>
              <w:pStyle w:val="Standard"/>
              <w:widowControl w:val="false"/>
              <w:ind w:left="0" w:right="-107" w:hanging="0"/>
              <w:jc w:val="center"/>
              <w:rPr>
                <w:rFonts w:ascii="0" w:hAnsi="0"/>
                <w:b/>
                <w:bCs/>
                <w:i/>
                <w:i/>
                <w:iCs/>
                <w:color w:val="auto"/>
                <w:sz w:val="18"/>
                <w:szCs w:val="18"/>
                <w:lang w:eastAsia="ru-RU"/>
              </w:rPr>
            </w:pPr>
            <w:r>
              <w:rPr>
                <w:rFonts w:ascii="0" w:hAnsi="0"/>
                <w:b/>
                <w:bCs/>
                <w:i/>
                <w:iCs/>
                <w:color w:val="auto"/>
                <w:sz w:val="18"/>
                <w:szCs w:val="18"/>
                <w:lang w:eastAsia="ru-RU"/>
              </w:rPr>
              <w:t>537,093</w:t>
            </w:r>
          </w:p>
        </w:tc>
        <w:tc>
          <w:tcPr>
            <w:tcW w:w="2032" w:type="dxa"/>
            <w:tcBorders>
              <w:left w:val="single" w:sz="4" w:space="0" w:color="000000"/>
              <w:bottom w:val="single" w:sz="4" w:space="0" w:color="000000"/>
              <w:right w:val="single" w:sz="4" w:space="0" w:color="000000"/>
            </w:tcBorders>
            <w:vAlign w:val="center"/>
          </w:tcPr>
          <w:p>
            <w:pPr>
              <w:pStyle w:val="Normal"/>
              <w:widowControl w:val="false"/>
              <w:spacing w:before="20" w:after="40"/>
              <w:contextualSpacing w:val="false"/>
              <w:jc w:val="center"/>
              <w:rPr>
                <w:rFonts w:eastAsia="Times New Roman" w:cs="Times New Roman"/>
                <w:b/>
                <w:bCs/>
                <w:i/>
                <w:i/>
                <w:iCs/>
                <w:color w:val="auto"/>
                <w:sz w:val="18"/>
                <w:szCs w:val="18"/>
                <w:lang w:eastAsia="ru-RU"/>
              </w:rPr>
            </w:pPr>
            <w:r>
              <w:rPr>
                <w:rFonts w:eastAsia="Times New Roman" w:cs="Times New Roman"/>
                <w:b/>
                <w:bCs/>
                <w:i/>
                <w:iCs/>
                <w:color w:val="auto"/>
                <w:sz w:val="18"/>
                <w:szCs w:val="18"/>
                <w:lang w:eastAsia="ru-RU"/>
              </w:rPr>
              <w:t> </w:t>
            </w:r>
            <w:r>
              <w:rPr>
                <w:rFonts w:eastAsia="Times New Roman" w:cs="Times New Roman"/>
                <w:b/>
                <w:bCs/>
                <w:i/>
                <w:iCs/>
                <w:color w:val="auto"/>
                <w:sz w:val="18"/>
                <w:szCs w:val="18"/>
                <w:lang w:eastAsia="ru-RU"/>
              </w:rPr>
              <w:t>1826,948</w:t>
            </w:r>
          </w:p>
        </w:tc>
      </w:tr>
    </w:tbl>
    <w:p>
      <w:pPr>
        <w:pStyle w:val="Normal"/>
        <w:spacing w:before="20" w:after="40"/>
        <w:contextualSpacing/>
        <w:jc w:val="both"/>
        <w:rPr>
          <w:bCs/>
          <w:i/>
          <w:i/>
          <w:iCs/>
          <w:szCs w:val="20"/>
        </w:rPr>
      </w:pPr>
      <w:r>
        <w:rPr>
          <w:bCs/>
          <w:i/>
          <w:iCs/>
          <w:szCs w:val="20"/>
        </w:rPr>
      </w:r>
    </w:p>
    <w:p>
      <w:pPr>
        <w:pStyle w:val="Normal"/>
        <w:jc w:val="both"/>
        <w:rPr/>
      </w:pPr>
      <w:r>
        <w:rPr>
          <w:rStyle w:val="Subst"/>
          <w:sz w:val="20"/>
          <w:szCs w:val="20"/>
        </w:rPr>
        <w:t>Группой ПАО «Камчатскэнерго» для поддержания результатов деятельности в конкурентной среде осуществляются следующие мероприятия:</w:t>
      </w:r>
    </w:p>
    <w:p>
      <w:pPr>
        <w:pStyle w:val="Normal"/>
        <w:jc w:val="both"/>
        <w:rPr/>
      </w:pPr>
      <w:r>
        <w:rPr>
          <w:rStyle w:val="Subst"/>
          <w:sz w:val="20"/>
          <w:szCs w:val="20"/>
        </w:rPr>
        <w:t>•  </w:t>
      </w:r>
      <w:r>
        <w:rPr>
          <w:rStyle w:val="Subst"/>
          <w:sz w:val="20"/>
          <w:szCs w:val="20"/>
        </w:rPr>
        <w:t>оптимизация топливных расходов;</w:t>
      </w:r>
    </w:p>
    <w:p>
      <w:pPr>
        <w:pStyle w:val="Normal"/>
        <w:jc w:val="both"/>
        <w:rPr/>
      </w:pPr>
      <w:r>
        <w:rPr>
          <w:rStyle w:val="Subst"/>
          <w:sz w:val="20"/>
          <w:szCs w:val="20"/>
        </w:rPr>
        <w:t>•  </w:t>
      </w:r>
      <w:r>
        <w:rPr>
          <w:rStyle w:val="Subst"/>
          <w:sz w:val="20"/>
          <w:szCs w:val="20"/>
        </w:rPr>
        <w:t xml:space="preserve">поддержания высокой готовности генерирующего оборудования к несению нагрузки; </w:t>
      </w:r>
    </w:p>
    <w:p>
      <w:pPr>
        <w:pStyle w:val="Normal"/>
        <w:jc w:val="both"/>
        <w:rPr/>
      </w:pPr>
      <w:r>
        <w:rPr>
          <w:rStyle w:val="Subst"/>
          <w:sz w:val="20"/>
          <w:szCs w:val="20"/>
        </w:rPr>
        <w:t>•  </w:t>
      </w:r>
      <w:r>
        <w:rPr>
          <w:rStyle w:val="Subst"/>
          <w:sz w:val="20"/>
          <w:szCs w:val="20"/>
        </w:rPr>
        <w:t>финансовый контроль и ведение программ по сокращению издержек;</w:t>
      </w:r>
    </w:p>
    <w:p>
      <w:pPr>
        <w:pStyle w:val="Normal"/>
        <w:jc w:val="both"/>
        <w:rPr/>
      </w:pPr>
      <w:r>
        <w:rPr>
          <w:rStyle w:val="Subst"/>
          <w:sz w:val="20"/>
          <w:szCs w:val="20"/>
        </w:rPr>
        <w:t>•  </w:t>
      </w:r>
      <w:r>
        <w:rPr>
          <w:rStyle w:val="Subst"/>
          <w:sz w:val="20"/>
          <w:szCs w:val="20"/>
        </w:rPr>
        <w:t>разработка проектов модернизации энерго и тепло оборудования.</w:t>
      </w:r>
    </w:p>
    <w:p>
      <w:pPr>
        <w:pStyle w:val="Normal"/>
        <w:jc w:val="both"/>
        <w:rPr>
          <w:szCs w:val="20"/>
        </w:rPr>
      </w:pPr>
      <w:r>
        <w:rPr>
          <w:szCs w:val="20"/>
        </w:rPr>
      </w:r>
    </w:p>
    <w:p>
      <w:pPr>
        <w:pStyle w:val="Normal"/>
        <w:jc w:val="both"/>
        <w:rPr/>
      </w:pPr>
      <w:r>
        <w:rPr>
          <w:rStyle w:val="Subst"/>
          <w:b w:val="false"/>
          <w:bCs/>
          <w:i w:val="false"/>
          <w:iCs w:val="false"/>
          <w:sz w:val="20"/>
          <w:szCs w:val="20"/>
        </w:rPr>
        <w:t>Сильные стороны эмитента (группы эмитента)</w:t>
      </w:r>
      <w:r>
        <w:rPr>
          <w:i w:val="false"/>
          <w:iCs w:val="false"/>
          <w:szCs w:val="20"/>
        </w:rPr>
        <w:t xml:space="preserve"> в сравнении с конкурентами:</w:t>
      </w:r>
    </w:p>
    <w:p>
      <w:pPr>
        <w:pStyle w:val="Normal"/>
        <w:jc w:val="both"/>
        <w:rPr>
          <w:i/>
          <w:i/>
          <w:iCs/>
        </w:rPr>
      </w:pPr>
      <w:r>
        <w:rPr>
          <w:b/>
          <w:bCs/>
          <w:i/>
          <w:iCs/>
          <w:szCs w:val="20"/>
        </w:rPr>
        <w:t>- конкурентоспособность эмитента базируется на монопольном статусе энергокомпании в регионе;</w:t>
      </w:r>
    </w:p>
    <w:p>
      <w:pPr>
        <w:pStyle w:val="Normal"/>
        <w:jc w:val="both"/>
        <w:rPr>
          <w:i/>
          <w:i/>
          <w:iCs/>
        </w:rPr>
      </w:pPr>
      <w:r>
        <w:rPr>
          <w:b/>
          <w:bCs/>
          <w:i/>
          <w:iCs/>
          <w:szCs w:val="20"/>
        </w:rPr>
        <w:t>- обширная зона деятельности эмитента, как гарантирующего поставщика и Единой теплоснабжающей организации;</w:t>
      </w:r>
    </w:p>
    <w:p>
      <w:pPr>
        <w:pStyle w:val="Normal"/>
        <w:jc w:val="both"/>
        <w:rPr>
          <w:i/>
          <w:i/>
          <w:iCs/>
        </w:rPr>
      </w:pPr>
      <w:r>
        <w:rPr>
          <w:b/>
          <w:bCs/>
          <w:i/>
          <w:iCs/>
          <w:szCs w:val="20"/>
        </w:rPr>
        <w:t>- высокая техническая оснащенность и укомплектованность квалифицированным персоналом</w:t>
      </w:r>
    </w:p>
    <w:p>
      <w:pPr>
        <w:pStyle w:val="Normal"/>
        <w:jc w:val="both"/>
        <w:rPr>
          <w:szCs w:val="20"/>
        </w:rPr>
      </w:pPr>
      <w:r>
        <w:rPr>
          <w:szCs w:val="20"/>
        </w:rPr>
      </w:r>
    </w:p>
    <w:p>
      <w:pPr>
        <w:pStyle w:val="Normal"/>
        <w:jc w:val="both"/>
        <w:rPr>
          <w:i w:val="false"/>
          <w:i w:val="false"/>
          <w:iCs w:val="false"/>
        </w:rPr>
      </w:pPr>
      <w:r>
        <w:rPr>
          <w:i w:val="false"/>
          <w:iCs w:val="false"/>
          <w:szCs w:val="20"/>
        </w:rPr>
        <w:t>Слабые стороны эмитента (группы эмитента) в сравнении с конкурентами</w:t>
      </w:r>
    </w:p>
    <w:p>
      <w:pPr>
        <w:pStyle w:val="Normal"/>
        <w:jc w:val="both"/>
        <w:rPr>
          <w:i/>
          <w:i/>
          <w:iCs/>
        </w:rPr>
      </w:pPr>
      <w:r>
        <w:rPr>
          <w:b/>
          <w:bCs/>
          <w:i/>
          <w:iCs/>
          <w:szCs w:val="20"/>
        </w:rPr>
        <w:t xml:space="preserve">- высокая степень зависимости от природных условий; </w:t>
      </w:r>
    </w:p>
    <w:p>
      <w:pPr>
        <w:pStyle w:val="Normal"/>
        <w:jc w:val="both"/>
        <w:rPr>
          <w:i/>
          <w:i/>
          <w:iCs/>
        </w:rPr>
      </w:pPr>
      <w:r>
        <w:rPr>
          <w:b/>
          <w:bCs/>
          <w:i/>
          <w:iCs/>
          <w:szCs w:val="20"/>
        </w:rPr>
        <w:t>- большой охват зоны деятельности эмитента, что увеличивает риск аварий/инцидентов на объектах электро и теплоснабжения (отказы оборудования, перерывы в подаче энергии потребителям, снижение технической надежности электро- и теплоснабжения, снижение промышленной безопасности);</w:t>
      </w:r>
    </w:p>
    <w:p>
      <w:pPr>
        <w:pStyle w:val="Normal"/>
        <w:jc w:val="both"/>
        <w:rPr>
          <w:i/>
          <w:i/>
          <w:iCs/>
        </w:rPr>
      </w:pPr>
      <w:r>
        <w:rPr>
          <w:b/>
          <w:bCs/>
          <w:i/>
          <w:iCs/>
          <w:szCs w:val="20"/>
        </w:rPr>
        <w:t>- наличие топливной составляющей в себестоимости производства и зависимость от изменения цен на энергетическое топливо (нефтетопливо, уголь, газ).</w:t>
      </w:r>
    </w:p>
    <w:p>
      <w:pPr>
        <w:pStyle w:val="Normal"/>
        <w:jc w:val="both"/>
        <w:rPr>
          <w:szCs w:val="20"/>
        </w:rPr>
      </w:pPr>
      <w:r>
        <w:rPr>
          <w:szCs w:val="20"/>
        </w:rPr>
      </w:r>
    </w:p>
    <w:p>
      <w:pPr>
        <w:pStyle w:val="Normal"/>
        <w:jc w:val="both"/>
        <w:rPr>
          <w:i/>
          <w:i/>
          <w:iCs/>
        </w:rPr>
      </w:pPr>
      <w:r>
        <w:rPr>
          <w:b/>
          <w:bCs/>
          <w:i/>
          <w:iCs/>
          <w:szCs w:val="20"/>
        </w:rPr>
        <w:t xml:space="preserve">Мнения органов управления Эмитента относительно представленной информации совпадают. </w:t>
      </w:r>
    </w:p>
    <w:p>
      <w:pPr>
        <w:pStyle w:val="Normal"/>
        <w:jc w:val="both"/>
        <w:rPr>
          <w:szCs w:val="20"/>
        </w:rPr>
      </w:pPr>
      <w:r>
        <w:rPr>
          <w:szCs w:val="20"/>
        </w:rPr>
      </w:r>
    </w:p>
    <w:p>
      <w:pPr>
        <w:pStyle w:val="Normal"/>
        <w:jc w:val="both"/>
        <w:rPr>
          <w:szCs w:val="20"/>
        </w:rPr>
      </w:pPr>
      <w:r>
        <w:rPr>
          <w:szCs w:val="20"/>
        </w:rPr>
      </w:r>
    </w:p>
    <w:p>
      <w:pPr>
        <w:pStyle w:val="Normal"/>
        <w:jc w:val="both"/>
        <w:rPr>
          <w:rFonts w:ascii="0" w:hAnsi="0" w:eastAsia="0" w:cs="0"/>
          <w:b/>
          <w:bCs/>
          <w:i/>
          <w:i/>
          <w:iCs/>
          <w:color w:val="000000"/>
          <w:kern w:val="0"/>
          <w:sz w:val="20"/>
          <w:szCs w:val="20"/>
          <w:lang w:val="ru-RU" w:eastAsia="zh-CN" w:bidi="hi-IN"/>
        </w:rPr>
      </w:pPr>
      <w:r>
        <w:rPr>
          <w:rFonts w:eastAsia="0" w:cs="0"/>
          <w:b/>
          <w:bCs/>
          <w:i/>
          <w:iCs/>
          <w:color w:val="000000"/>
          <w:kern w:val="0"/>
          <w:sz w:val="20"/>
          <w:szCs w:val="20"/>
          <w:lang w:val="ru-RU" w:eastAsia="zh-CN" w:bidi="hi-IN"/>
        </w:rPr>
        <w:t>1.3. Основные операционные показатели, характеризующие деятельность эмитента</w:t>
      </w:r>
    </w:p>
    <w:p>
      <w:pPr>
        <w:pStyle w:val="Normal"/>
        <w:jc w:val="both"/>
        <w:rPr>
          <w:i w:val="false"/>
          <w:i w:val="false"/>
          <w:iCs w:val="false"/>
        </w:rPr>
      </w:pPr>
      <w:r>
        <w:rPr>
          <w:i w:val="false"/>
          <w:iCs w:val="false"/>
        </w:rPr>
        <w:br/>
        <w:t xml:space="preserve">Основные операционные показатели, которые, наиболее объективно и всесторонне </w:t>
      </w:r>
    </w:p>
    <w:p>
      <w:pPr>
        <w:pStyle w:val="Normal"/>
        <w:jc w:val="both"/>
        <w:rPr>
          <w:i w:val="false"/>
          <w:i w:val="false"/>
          <w:iCs w:val="false"/>
        </w:rPr>
      </w:pPr>
      <w:r>
        <w:rPr>
          <w:i w:val="false"/>
          <w:iCs w:val="false"/>
        </w:rPr>
        <w:t>характеризуют финансово-хозяйственную деятельность группы эмитента в натуральном выражении.</w:t>
      </w:r>
    </w:p>
    <w:p>
      <w:pPr>
        <w:pStyle w:val="Normal"/>
        <w:jc w:val="both"/>
        <w:rPr>
          <w:i w:val="false"/>
          <w:i w:val="false"/>
          <w:iCs w:val="false"/>
        </w:rPr>
      </w:pPr>
      <w:r>
        <w:rPr>
          <w:i w:val="false"/>
          <w:iCs w:val="false"/>
        </w:rPr>
      </w:r>
    </w:p>
    <w:p>
      <w:pPr>
        <w:pStyle w:val="Normal"/>
        <w:jc w:val="both"/>
        <w:rPr>
          <w:i w:val="false"/>
          <w:i w:val="false"/>
          <w:iCs w:val="false"/>
        </w:rPr>
      </w:pPr>
      <w:r>
        <w:rPr>
          <w:i w:val="false"/>
          <w:iCs w:val="false"/>
        </w:rPr>
        <w:t>В отчете эмитента за 12 месяцев приводятся основные операционные показатели группы эмитента за 12 месяцев отчетного года в сравнении с 12 месяцами предшествующего года (на дату окончания отчетного года в сравнении с показателями на конец предшествующего года)</w:t>
      </w:r>
    </w:p>
    <w:p>
      <w:pPr>
        <w:pStyle w:val="SubHeading"/>
        <w:ind w:left="200" w:hanging="0"/>
        <w:jc w:val="both"/>
        <w:rPr>
          <w:i w:val="false"/>
          <w:i w:val="false"/>
          <w:iCs w:val="false"/>
        </w:rPr>
      </w:pPr>
      <w:r>
        <w:rPr>
          <w:i w:val="false"/>
          <w:iCs w:val="false"/>
        </w:rPr>
        <w:t>Операционные показатели:</w:t>
      </w:r>
    </w:p>
    <w:p>
      <w:pPr>
        <w:pStyle w:val="Normal"/>
        <w:bidi w:val="0"/>
        <w:spacing w:before="0" w:after="0"/>
        <w:ind w:left="0" w:right="0" w:hanging="0"/>
        <w:contextualSpacing w:val="false"/>
        <w:rPr>
          <w:sz w:val="16"/>
          <w:szCs w:val="16"/>
        </w:rPr>
      </w:pPr>
      <w:r>
        <w:rPr>
          <w:sz w:val="16"/>
          <w:szCs w:val="16"/>
        </w:rPr>
      </w:r>
    </w:p>
    <w:tbl>
      <w:tblPr>
        <w:tblW w:w="9028" w:type="dxa"/>
        <w:jc w:val="left"/>
        <w:tblInd w:w="22" w:type="dxa"/>
        <w:tblLayout w:type="fixed"/>
        <w:tblCellMar>
          <w:top w:w="0" w:type="dxa"/>
          <w:left w:w="72" w:type="dxa"/>
          <w:bottom w:w="0" w:type="dxa"/>
          <w:right w:w="72" w:type="dxa"/>
        </w:tblCellMar>
      </w:tblPr>
      <w:tblGrid>
        <w:gridCol w:w="4499"/>
        <w:gridCol w:w="1473"/>
        <w:gridCol w:w="1508"/>
        <w:gridCol w:w="1547"/>
      </w:tblGrid>
      <w:tr>
        <w:trPr>
          <w:trHeight w:val="507" w:hRule="atLeast"/>
        </w:trPr>
        <w:tc>
          <w:tcPr>
            <w:tcW w:w="4499" w:type="dxa"/>
            <w:tcBorders>
              <w:top w:val="double" w:sz="6" w:space="0" w:color="000000"/>
              <w:left w:val="doub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jc w:val="center"/>
              <w:rPr>
                <w:sz w:val="18"/>
                <w:szCs w:val="18"/>
              </w:rPr>
            </w:pPr>
            <w:r>
              <w:rPr>
                <w:rFonts w:eastAsia="0" w:cs="0"/>
                <w:b/>
                <w:bCs/>
                <w:i/>
                <w:iCs/>
                <w:color w:val="000000"/>
                <w:kern w:val="0"/>
                <w:sz w:val="18"/>
                <w:szCs w:val="18"/>
                <w:lang w:val="ru-RU" w:eastAsia="zh-CN" w:bidi="hi-IN"/>
              </w:rPr>
              <w:t>Наименование показателя</w:t>
            </w:r>
          </w:p>
        </w:tc>
        <w:tc>
          <w:tcPr>
            <w:tcW w:w="1473" w:type="dxa"/>
            <w:tcBorders>
              <w:top w:val="doub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jc w:val="center"/>
              <w:rPr>
                <w:sz w:val="18"/>
                <w:szCs w:val="18"/>
              </w:rPr>
            </w:pPr>
            <w:r>
              <w:rPr>
                <w:rFonts w:eastAsia="0" w:cs="0"/>
                <w:b/>
                <w:bCs/>
                <w:i/>
                <w:iCs/>
                <w:color w:val="000000"/>
                <w:kern w:val="0"/>
                <w:sz w:val="18"/>
                <w:szCs w:val="18"/>
                <w:lang w:val="ru-RU" w:eastAsia="zh-CN" w:bidi="hi-IN"/>
              </w:rPr>
              <w:t>Единица измерения</w:t>
            </w:r>
          </w:p>
        </w:tc>
        <w:tc>
          <w:tcPr>
            <w:tcW w:w="1508" w:type="dxa"/>
            <w:tcBorders>
              <w:top w:val="doub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jc w:val="center"/>
              <w:rPr>
                <w:sz w:val="18"/>
                <w:szCs w:val="18"/>
              </w:rPr>
            </w:pPr>
            <w:r>
              <w:rPr>
                <w:rFonts w:eastAsia="0" w:cs="0"/>
                <w:b/>
                <w:bCs/>
                <w:i/>
                <w:iCs/>
                <w:color w:val="000000"/>
                <w:kern w:val="0"/>
                <w:sz w:val="18"/>
                <w:szCs w:val="18"/>
                <w:lang w:val="ru-RU" w:eastAsia="zh-CN" w:bidi="hi-IN"/>
              </w:rPr>
              <w:t>2024,</w:t>
            </w:r>
          </w:p>
          <w:p>
            <w:pPr>
              <w:pStyle w:val="Normal"/>
              <w:widowControl w:val="false"/>
              <w:tabs>
                <w:tab w:val="clear" w:pos="720"/>
              </w:tabs>
              <w:bidi w:val="0"/>
              <w:spacing w:before="23" w:after="40"/>
              <w:ind w:left="0" w:right="0" w:hanging="0"/>
              <w:contextualSpacing/>
              <w:jc w:val="center"/>
              <w:rPr>
                <w:sz w:val="18"/>
                <w:szCs w:val="18"/>
              </w:rPr>
            </w:pPr>
            <w:r>
              <w:rPr>
                <w:rFonts w:eastAsia="0" w:cs="0"/>
                <w:b/>
                <w:bCs/>
                <w:i/>
                <w:iCs/>
                <w:color w:val="000000"/>
                <w:kern w:val="0"/>
                <w:sz w:val="18"/>
                <w:szCs w:val="18"/>
                <w:lang w:val="ru-RU" w:eastAsia="zh-CN" w:bidi="hi-IN"/>
              </w:rPr>
              <w:t>12 мес.</w:t>
            </w:r>
          </w:p>
        </w:tc>
        <w:tc>
          <w:tcPr>
            <w:tcW w:w="1547" w:type="dxa"/>
            <w:tcBorders>
              <w:top w:val="double" w:sz="6" w:space="0" w:color="000000"/>
              <w:left w:val="single" w:sz="6" w:space="0" w:color="000000"/>
              <w:bottom w:val="single" w:sz="6" w:space="0" w:color="000000"/>
              <w:right w:val="double" w:sz="6" w:space="0" w:color="000000"/>
            </w:tcBorders>
          </w:tcPr>
          <w:p>
            <w:pPr>
              <w:pStyle w:val="Normal"/>
              <w:widowControl w:val="false"/>
              <w:tabs>
                <w:tab w:val="clear" w:pos="720"/>
              </w:tabs>
              <w:bidi w:val="0"/>
              <w:spacing w:before="23" w:after="40"/>
              <w:ind w:left="0" w:right="0" w:hanging="0"/>
              <w:contextualSpacing/>
              <w:jc w:val="center"/>
              <w:rPr>
                <w:sz w:val="18"/>
                <w:szCs w:val="18"/>
              </w:rPr>
            </w:pPr>
            <w:r>
              <w:rPr>
                <w:rFonts w:eastAsia="0" w:cs="0"/>
                <w:b/>
                <w:bCs/>
                <w:i/>
                <w:iCs/>
                <w:color w:val="000000"/>
                <w:kern w:val="0"/>
                <w:sz w:val="18"/>
                <w:szCs w:val="18"/>
                <w:lang w:val="ru-RU" w:eastAsia="zh-CN" w:bidi="hi-IN"/>
              </w:rPr>
              <w:t>2025,</w:t>
            </w:r>
          </w:p>
          <w:p>
            <w:pPr>
              <w:pStyle w:val="Normal"/>
              <w:widowControl w:val="false"/>
              <w:tabs>
                <w:tab w:val="clear" w:pos="720"/>
              </w:tabs>
              <w:bidi w:val="0"/>
              <w:spacing w:before="23" w:after="40"/>
              <w:ind w:left="0" w:right="0" w:hanging="0"/>
              <w:contextualSpacing/>
              <w:jc w:val="center"/>
              <w:rPr>
                <w:sz w:val="18"/>
                <w:szCs w:val="18"/>
              </w:rPr>
            </w:pPr>
            <w:r>
              <w:rPr>
                <w:rFonts w:eastAsia="0" w:cs="0"/>
                <w:b/>
                <w:bCs/>
                <w:i/>
                <w:iCs/>
                <w:color w:val="000000"/>
                <w:kern w:val="0"/>
                <w:sz w:val="18"/>
                <w:szCs w:val="18"/>
                <w:lang w:val="ru-RU" w:eastAsia="zh-CN" w:bidi="hi-IN"/>
              </w:rPr>
              <w:t>12 мес.</w:t>
            </w:r>
          </w:p>
        </w:tc>
      </w:tr>
      <w:tr>
        <w:trPr>
          <w:trHeight w:val="520" w:hRule="atLeast"/>
        </w:trPr>
        <w:tc>
          <w:tcPr>
            <w:tcW w:w="4499" w:type="dxa"/>
            <w:tcBorders>
              <w:top w:val="single" w:sz="6" w:space="0" w:color="000000"/>
              <w:left w:val="doub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Продажа электроэнергии и мощности на розничном рынке</w:t>
            </w:r>
          </w:p>
        </w:tc>
        <w:tc>
          <w:tcPr>
            <w:tcW w:w="147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млн. руб.</w:t>
            </w:r>
          </w:p>
        </w:tc>
        <w:tc>
          <w:tcPr>
            <w:tcW w:w="1508"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14 672</w:t>
            </w:r>
          </w:p>
        </w:tc>
        <w:tc>
          <w:tcPr>
            <w:tcW w:w="1547" w:type="dxa"/>
            <w:tcBorders>
              <w:top w:val="single" w:sz="6" w:space="0" w:color="000000"/>
              <w:left w:val="single" w:sz="6" w:space="0" w:color="000000"/>
              <w:bottom w:val="single" w:sz="6" w:space="0" w:color="000000"/>
              <w:right w:val="doub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14 720</w:t>
            </w:r>
          </w:p>
        </w:tc>
      </w:tr>
      <w:tr>
        <w:trPr>
          <w:trHeight w:val="285" w:hRule="atLeast"/>
        </w:trPr>
        <w:tc>
          <w:tcPr>
            <w:tcW w:w="4499" w:type="dxa"/>
            <w:tcBorders>
              <w:top w:val="single" w:sz="6" w:space="0" w:color="000000"/>
              <w:left w:val="doub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Продажа теплоэнергии и горячей воды</w:t>
            </w:r>
          </w:p>
        </w:tc>
        <w:tc>
          <w:tcPr>
            <w:tcW w:w="147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млн. руб.</w:t>
            </w:r>
          </w:p>
        </w:tc>
        <w:tc>
          <w:tcPr>
            <w:tcW w:w="1508"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6 418</w:t>
            </w:r>
          </w:p>
        </w:tc>
        <w:tc>
          <w:tcPr>
            <w:tcW w:w="1547" w:type="dxa"/>
            <w:tcBorders>
              <w:top w:val="single" w:sz="6" w:space="0" w:color="000000"/>
              <w:left w:val="single" w:sz="6" w:space="0" w:color="000000"/>
              <w:bottom w:val="single" w:sz="6" w:space="0" w:color="000000"/>
              <w:right w:val="doub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6 813</w:t>
            </w:r>
          </w:p>
        </w:tc>
      </w:tr>
      <w:tr>
        <w:trPr>
          <w:trHeight w:val="520" w:hRule="atLeast"/>
        </w:trPr>
        <w:tc>
          <w:tcPr>
            <w:tcW w:w="4499" w:type="dxa"/>
            <w:tcBorders>
              <w:top w:val="single" w:sz="6" w:space="0" w:color="000000"/>
              <w:left w:val="doub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Оказание услуг по технологическому присоединению к сети</w:t>
            </w:r>
          </w:p>
        </w:tc>
        <w:tc>
          <w:tcPr>
            <w:tcW w:w="147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млн. руб.</w:t>
            </w:r>
          </w:p>
        </w:tc>
        <w:tc>
          <w:tcPr>
            <w:tcW w:w="1508"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193</w:t>
            </w:r>
          </w:p>
        </w:tc>
        <w:tc>
          <w:tcPr>
            <w:tcW w:w="1547" w:type="dxa"/>
            <w:tcBorders>
              <w:top w:val="single" w:sz="6" w:space="0" w:color="000000"/>
              <w:left w:val="single" w:sz="6" w:space="0" w:color="000000"/>
              <w:bottom w:val="single" w:sz="6" w:space="0" w:color="000000"/>
              <w:right w:val="doub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148</w:t>
            </w:r>
          </w:p>
        </w:tc>
      </w:tr>
      <w:tr>
        <w:trPr>
          <w:trHeight w:val="285" w:hRule="atLeast"/>
        </w:trPr>
        <w:tc>
          <w:tcPr>
            <w:tcW w:w="4499" w:type="dxa"/>
            <w:tcBorders>
              <w:top w:val="single" w:sz="6" w:space="0" w:color="000000"/>
              <w:left w:val="doub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Прочая выручка</w:t>
            </w:r>
          </w:p>
        </w:tc>
        <w:tc>
          <w:tcPr>
            <w:tcW w:w="147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млн. руб.</w:t>
            </w:r>
          </w:p>
        </w:tc>
        <w:tc>
          <w:tcPr>
            <w:tcW w:w="1508"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632</w:t>
            </w:r>
          </w:p>
        </w:tc>
        <w:tc>
          <w:tcPr>
            <w:tcW w:w="1547" w:type="dxa"/>
            <w:tcBorders>
              <w:top w:val="single" w:sz="6" w:space="0" w:color="000000"/>
              <w:left w:val="single" w:sz="6" w:space="0" w:color="000000"/>
              <w:bottom w:val="single" w:sz="6" w:space="0" w:color="000000"/>
              <w:right w:val="doub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638</w:t>
            </w:r>
          </w:p>
        </w:tc>
      </w:tr>
      <w:tr>
        <w:trPr>
          <w:trHeight w:val="297" w:hRule="atLeast"/>
        </w:trPr>
        <w:tc>
          <w:tcPr>
            <w:tcW w:w="4499" w:type="dxa"/>
            <w:tcBorders>
              <w:top w:val="single" w:sz="6" w:space="0" w:color="000000"/>
              <w:left w:val="doub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ИТОГО по ст. "Выручка"</w:t>
            </w:r>
          </w:p>
        </w:tc>
        <w:tc>
          <w:tcPr>
            <w:tcW w:w="147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млн. руб.</w:t>
            </w:r>
          </w:p>
        </w:tc>
        <w:tc>
          <w:tcPr>
            <w:tcW w:w="1508"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21 915</w:t>
            </w:r>
          </w:p>
        </w:tc>
        <w:tc>
          <w:tcPr>
            <w:tcW w:w="1547" w:type="dxa"/>
            <w:tcBorders>
              <w:top w:val="single" w:sz="6" w:space="0" w:color="000000"/>
              <w:left w:val="single" w:sz="6" w:space="0" w:color="000000"/>
              <w:bottom w:val="single" w:sz="6" w:space="0" w:color="000000"/>
              <w:right w:val="doub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22 319</w:t>
            </w:r>
          </w:p>
        </w:tc>
      </w:tr>
      <w:tr>
        <w:trPr>
          <w:trHeight w:val="1189" w:hRule="atLeast"/>
        </w:trPr>
        <w:tc>
          <w:tcPr>
            <w:tcW w:w="4499" w:type="dxa"/>
            <w:tcBorders>
              <w:top w:val="single" w:sz="6" w:space="0" w:color="000000"/>
              <w:left w:val="doub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Субсидия на компенсацию разницы м/у утвержденными ЭОТ на э/э и т/э и сниженными тарифами, предъявленными потребителям + компенсацию расходов на топливо</w:t>
            </w:r>
          </w:p>
        </w:tc>
        <w:tc>
          <w:tcPr>
            <w:tcW w:w="147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млн. руб.</w:t>
            </w:r>
          </w:p>
        </w:tc>
        <w:tc>
          <w:tcPr>
            <w:tcW w:w="1508"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17 057</w:t>
            </w:r>
          </w:p>
        </w:tc>
        <w:tc>
          <w:tcPr>
            <w:tcW w:w="1547" w:type="dxa"/>
            <w:tcBorders>
              <w:top w:val="single" w:sz="6" w:space="0" w:color="000000"/>
              <w:left w:val="single" w:sz="6" w:space="0" w:color="000000"/>
              <w:bottom w:val="single" w:sz="6" w:space="0" w:color="000000"/>
              <w:right w:val="doub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20 662</w:t>
            </w:r>
          </w:p>
        </w:tc>
      </w:tr>
      <w:tr>
        <w:trPr>
          <w:trHeight w:val="1202" w:hRule="atLeast"/>
        </w:trPr>
        <w:tc>
          <w:tcPr>
            <w:tcW w:w="4499" w:type="dxa"/>
            <w:tcBorders>
              <w:top w:val="single" w:sz="6" w:space="0" w:color="000000"/>
              <w:left w:val="doub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Субсидия, полученная гарантирующими поставщиками (по Постановлению Правительства РФ № 895 субсидия на выравнивание тарифов до уровня среднероссийских)</w:t>
            </w:r>
          </w:p>
        </w:tc>
        <w:tc>
          <w:tcPr>
            <w:tcW w:w="147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млн. руб.</w:t>
            </w:r>
          </w:p>
        </w:tc>
        <w:tc>
          <w:tcPr>
            <w:tcW w:w="1508"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8 234</w:t>
            </w:r>
          </w:p>
        </w:tc>
        <w:tc>
          <w:tcPr>
            <w:tcW w:w="1547" w:type="dxa"/>
            <w:tcBorders>
              <w:top w:val="single" w:sz="6" w:space="0" w:color="000000"/>
              <w:left w:val="single" w:sz="6" w:space="0" w:color="000000"/>
              <w:bottom w:val="single" w:sz="6" w:space="0" w:color="000000"/>
              <w:right w:val="doub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8 542</w:t>
            </w:r>
          </w:p>
        </w:tc>
      </w:tr>
      <w:tr>
        <w:trPr>
          <w:trHeight w:val="520" w:hRule="atLeast"/>
        </w:trPr>
        <w:tc>
          <w:tcPr>
            <w:tcW w:w="4499" w:type="dxa"/>
            <w:tcBorders>
              <w:top w:val="single" w:sz="6" w:space="0" w:color="000000"/>
              <w:left w:val="doub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ИТОГО по ст. "Государственные субсидии"</w:t>
            </w:r>
          </w:p>
        </w:tc>
        <w:tc>
          <w:tcPr>
            <w:tcW w:w="147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млн. руб.</w:t>
            </w:r>
          </w:p>
        </w:tc>
        <w:tc>
          <w:tcPr>
            <w:tcW w:w="1508"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25 291</w:t>
            </w:r>
          </w:p>
        </w:tc>
        <w:tc>
          <w:tcPr>
            <w:tcW w:w="1547" w:type="dxa"/>
            <w:tcBorders>
              <w:top w:val="single" w:sz="6" w:space="0" w:color="000000"/>
              <w:left w:val="single" w:sz="6" w:space="0" w:color="000000"/>
              <w:bottom w:val="single" w:sz="6" w:space="0" w:color="000000"/>
              <w:right w:val="doub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29 204</w:t>
            </w:r>
          </w:p>
        </w:tc>
      </w:tr>
      <w:tr>
        <w:trPr>
          <w:trHeight w:val="285" w:hRule="atLeast"/>
        </w:trPr>
        <w:tc>
          <w:tcPr>
            <w:tcW w:w="4499" w:type="dxa"/>
            <w:tcBorders>
              <w:top w:val="single" w:sz="6" w:space="0" w:color="000000"/>
              <w:left w:val="doub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Расходы на топливо</w:t>
            </w:r>
          </w:p>
        </w:tc>
        <w:tc>
          <w:tcPr>
            <w:tcW w:w="147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млн. руб.</w:t>
            </w:r>
          </w:p>
        </w:tc>
        <w:tc>
          <w:tcPr>
            <w:tcW w:w="1508"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19 176</w:t>
            </w:r>
          </w:p>
        </w:tc>
        <w:tc>
          <w:tcPr>
            <w:tcW w:w="1547" w:type="dxa"/>
            <w:tcBorders>
              <w:top w:val="single" w:sz="6" w:space="0" w:color="000000"/>
              <w:left w:val="single" w:sz="6" w:space="0" w:color="000000"/>
              <w:bottom w:val="single" w:sz="6" w:space="0" w:color="000000"/>
              <w:right w:val="doub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20 967</w:t>
            </w:r>
          </w:p>
        </w:tc>
      </w:tr>
      <w:tr>
        <w:trPr>
          <w:trHeight w:val="743" w:hRule="atLeast"/>
        </w:trPr>
        <w:tc>
          <w:tcPr>
            <w:tcW w:w="4499" w:type="dxa"/>
            <w:tcBorders>
              <w:top w:val="single" w:sz="6" w:space="0" w:color="000000"/>
              <w:left w:val="doub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Вознаграждения работникам (в том числе налоги и расходы по пенсионному обеспечению)</w:t>
            </w:r>
          </w:p>
        </w:tc>
        <w:tc>
          <w:tcPr>
            <w:tcW w:w="147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млн. руб.</w:t>
            </w:r>
          </w:p>
        </w:tc>
        <w:tc>
          <w:tcPr>
            <w:tcW w:w="1508"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9 663</w:t>
            </w:r>
          </w:p>
        </w:tc>
        <w:tc>
          <w:tcPr>
            <w:tcW w:w="1547" w:type="dxa"/>
            <w:tcBorders>
              <w:top w:val="single" w:sz="6" w:space="0" w:color="000000"/>
              <w:left w:val="single" w:sz="6" w:space="0" w:color="000000"/>
              <w:bottom w:val="single" w:sz="6" w:space="0" w:color="000000"/>
              <w:right w:val="doub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10 419</w:t>
            </w:r>
          </w:p>
        </w:tc>
      </w:tr>
      <w:tr>
        <w:trPr>
          <w:trHeight w:val="297" w:hRule="atLeast"/>
        </w:trPr>
        <w:tc>
          <w:tcPr>
            <w:tcW w:w="4499" w:type="dxa"/>
            <w:tcBorders>
              <w:top w:val="single" w:sz="6" w:space="0" w:color="000000"/>
              <w:left w:val="doub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Покупная энергия и мощность</w:t>
            </w:r>
          </w:p>
        </w:tc>
        <w:tc>
          <w:tcPr>
            <w:tcW w:w="147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млн. руб.</w:t>
            </w:r>
          </w:p>
        </w:tc>
        <w:tc>
          <w:tcPr>
            <w:tcW w:w="1508"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6 540</w:t>
            </w:r>
          </w:p>
        </w:tc>
        <w:tc>
          <w:tcPr>
            <w:tcW w:w="1547" w:type="dxa"/>
            <w:tcBorders>
              <w:top w:val="single" w:sz="6" w:space="0" w:color="000000"/>
              <w:left w:val="single" w:sz="6" w:space="0" w:color="000000"/>
              <w:bottom w:val="single" w:sz="6" w:space="0" w:color="000000"/>
              <w:right w:val="doub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3 557</w:t>
            </w:r>
          </w:p>
        </w:tc>
      </w:tr>
      <w:tr>
        <w:trPr>
          <w:trHeight w:val="285" w:hRule="atLeast"/>
        </w:trPr>
        <w:tc>
          <w:tcPr>
            <w:tcW w:w="4499" w:type="dxa"/>
            <w:tcBorders>
              <w:top w:val="single" w:sz="6" w:space="0" w:color="000000"/>
              <w:left w:val="doub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Амортизация основных средств</w:t>
            </w:r>
          </w:p>
        </w:tc>
        <w:tc>
          <w:tcPr>
            <w:tcW w:w="147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млн. руб.</w:t>
            </w:r>
          </w:p>
        </w:tc>
        <w:tc>
          <w:tcPr>
            <w:tcW w:w="1508"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1 910</w:t>
            </w:r>
          </w:p>
        </w:tc>
        <w:tc>
          <w:tcPr>
            <w:tcW w:w="1547" w:type="dxa"/>
            <w:tcBorders>
              <w:top w:val="single" w:sz="6" w:space="0" w:color="000000"/>
              <w:left w:val="single" w:sz="6" w:space="0" w:color="000000"/>
              <w:bottom w:val="single" w:sz="6" w:space="0" w:color="000000"/>
              <w:right w:val="doub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2 229</w:t>
            </w:r>
          </w:p>
        </w:tc>
      </w:tr>
      <w:tr>
        <w:trPr>
          <w:trHeight w:val="520" w:hRule="atLeast"/>
        </w:trPr>
        <w:tc>
          <w:tcPr>
            <w:tcW w:w="4499" w:type="dxa"/>
            <w:tcBorders>
              <w:top w:val="single" w:sz="6" w:space="0" w:color="000000"/>
              <w:left w:val="doub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Прочие материалы</w:t>
            </w:r>
          </w:p>
        </w:tc>
        <w:tc>
          <w:tcPr>
            <w:tcW w:w="147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млн. руб.</w:t>
            </w:r>
          </w:p>
        </w:tc>
        <w:tc>
          <w:tcPr>
            <w:tcW w:w="1508"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1 552</w:t>
            </w:r>
          </w:p>
        </w:tc>
        <w:tc>
          <w:tcPr>
            <w:tcW w:w="1547" w:type="dxa"/>
            <w:tcBorders>
              <w:top w:val="single" w:sz="6" w:space="0" w:color="000000"/>
              <w:left w:val="single" w:sz="6" w:space="0" w:color="000000"/>
              <w:bottom w:val="single" w:sz="6" w:space="0" w:color="000000"/>
              <w:right w:val="doub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1 755</w:t>
            </w:r>
          </w:p>
        </w:tc>
      </w:tr>
      <w:tr>
        <w:trPr>
          <w:trHeight w:val="285" w:hRule="atLeast"/>
        </w:trPr>
        <w:tc>
          <w:tcPr>
            <w:tcW w:w="4499" w:type="dxa"/>
            <w:tcBorders>
              <w:top w:val="single" w:sz="6" w:space="0" w:color="000000"/>
              <w:left w:val="doub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Услуги сетевых организаций по передаче электроэнергии</w:t>
            </w:r>
          </w:p>
        </w:tc>
        <w:tc>
          <w:tcPr>
            <w:tcW w:w="147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млн. руб.</w:t>
            </w:r>
          </w:p>
        </w:tc>
        <w:tc>
          <w:tcPr>
            <w:tcW w:w="1508"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1 178</w:t>
            </w:r>
          </w:p>
        </w:tc>
        <w:tc>
          <w:tcPr>
            <w:tcW w:w="1547" w:type="dxa"/>
            <w:tcBorders>
              <w:top w:val="single" w:sz="6" w:space="0" w:color="000000"/>
              <w:left w:val="single" w:sz="6" w:space="0" w:color="000000"/>
              <w:bottom w:val="single" w:sz="6" w:space="0" w:color="000000"/>
              <w:right w:val="doub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1 483</w:t>
            </w:r>
          </w:p>
        </w:tc>
      </w:tr>
      <w:tr>
        <w:trPr>
          <w:trHeight w:val="297" w:hRule="atLeast"/>
        </w:trPr>
        <w:tc>
          <w:tcPr>
            <w:tcW w:w="4499" w:type="dxa"/>
            <w:tcBorders>
              <w:top w:val="single" w:sz="6" w:space="0" w:color="000000"/>
              <w:left w:val="doub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Услуги сторонних организаций, включая:</w:t>
            </w:r>
          </w:p>
        </w:tc>
        <w:tc>
          <w:tcPr>
            <w:tcW w:w="147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млн. руб.</w:t>
            </w:r>
          </w:p>
        </w:tc>
        <w:tc>
          <w:tcPr>
            <w:tcW w:w="1508"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0" w:after="0"/>
              <w:ind w:left="0" w:right="0" w:hanging="0"/>
              <w:contextualSpacing w:val="false"/>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r>
          </w:p>
        </w:tc>
        <w:tc>
          <w:tcPr>
            <w:tcW w:w="1547" w:type="dxa"/>
            <w:tcBorders>
              <w:top w:val="single" w:sz="6" w:space="0" w:color="000000"/>
              <w:left w:val="single" w:sz="6" w:space="0" w:color="000000"/>
              <w:bottom w:val="single" w:sz="6" w:space="0" w:color="000000"/>
              <w:right w:val="double" w:sz="6" w:space="0" w:color="000000"/>
            </w:tcBorders>
          </w:tcPr>
          <w:p>
            <w:pPr>
              <w:pStyle w:val="Normal"/>
              <w:widowControl w:val="false"/>
              <w:tabs>
                <w:tab w:val="clear" w:pos="720"/>
              </w:tabs>
              <w:bidi w:val="0"/>
              <w:spacing w:before="0" w:after="0"/>
              <w:ind w:left="0" w:right="0" w:hanging="0"/>
              <w:contextualSpacing w:val="false"/>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r>
          </w:p>
        </w:tc>
      </w:tr>
      <w:tr>
        <w:trPr>
          <w:trHeight w:val="285" w:hRule="atLeast"/>
        </w:trPr>
        <w:tc>
          <w:tcPr>
            <w:tcW w:w="4499" w:type="dxa"/>
            <w:tcBorders>
              <w:top w:val="single" w:sz="6" w:space="0" w:color="000000"/>
              <w:left w:val="doub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Агентские расходы</w:t>
            </w:r>
          </w:p>
        </w:tc>
        <w:tc>
          <w:tcPr>
            <w:tcW w:w="147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млн. руб.</w:t>
            </w:r>
          </w:p>
        </w:tc>
        <w:tc>
          <w:tcPr>
            <w:tcW w:w="1508"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1 189</w:t>
            </w:r>
          </w:p>
        </w:tc>
        <w:tc>
          <w:tcPr>
            <w:tcW w:w="1547" w:type="dxa"/>
            <w:tcBorders>
              <w:top w:val="single" w:sz="6" w:space="0" w:color="000000"/>
              <w:left w:val="single" w:sz="6" w:space="0" w:color="000000"/>
              <w:bottom w:val="single" w:sz="6" w:space="0" w:color="000000"/>
              <w:right w:val="doub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1 271</w:t>
            </w:r>
          </w:p>
        </w:tc>
      </w:tr>
      <w:tr>
        <w:trPr>
          <w:trHeight w:val="285" w:hRule="atLeast"/>
        </w:trPr>
        <w:tc>
          <w:tcPr>
            <w:tcW w:w="4499" w:type="dxa"/>
            <w:tcBorders>
              <w:top w:val="single" w:sz="6" w:space="0" w:color="000000"/>
              <w:left w:val="double" w:sz="6" w:space="0" w:color="000000"/>
              <w:bottom w:val="single" w:sz="6" w:space="0" w:color="000000"/>
              <w:right w:val="single" w:sz="6" w:space="0" w:color="000000"/>
            </w:tcBorders>
          </w:tcPr>
          <w:p>
            <w:pPr>
              <w:pStyle w:val="Normal"/>
              <w:widowControl w:val="false"/>
              <w:bidi w:val="0"/>
              <w:spacing w:before="23" w:after="40"/>
              <w:ind w:left="0" w:right="0" w:hanging="0"/>
              <w:contextualSpacing/>
              <w:rPr>
                <w:sz w:val="18"/>
                <w:szCs w:val="18"/>
              </w:rPr>
            </w:pPr>
            <w:r>
              <w:rPr>
                <w:rFonts w:eastAsia="0" w:cs="0"/>
                <w:b/>
                <w:bCs/>
                <w:i/>
                <w:iCs/>
                <w:color w:val="000000"/>
                <w:kern w:val="0"/>
                <w:sz w:val="18"/>
                <w:szCs w:val="18"/>
                <w:lang w:val="ru-RU" w:eastAsia="zh-CN" w:bidi="hi-IN"/>
              </w:rPr>
              <w:t>Транспортные расходы</w:t>
            </w:r>
          </w:p>
        </w:tc>
        <w:tc>
          <w:tcPr>
            <w:tcW w:w="1473" w:type="dxa"/>
            <w:tcBorders>
              <w:top w:val="single" w:sz="6" w:space="0" w:color="000000"/>
              <w:left w:val="single" w:sz="6" w:space="0" w:color="000000"/>
              <w:bottom w:val="single" w:sz="6" w:space="0" w:color="000000"/>
              <w:right w:val="single" w:sz="6" w:space="0" w:color="000000"/>
            </w:tcBorders>
          </w:tcPr>
          <w:p>
            <w:pPr>
              <w:pStyle w:val="Normal"/>
              <w:widowControl w:val="false"/>
              <w:bidi w:val="0"/>
              <w:spacing w:before="23" w:after="40"/>
              <w:ind w:left="0" w:right="0" w:hanging="0"/>
              <w:contextualSpacing/>
              <w:rPr>
                <w:sz w:val="18"/>
                <w:szCs w:val="18"/>
              </w:rPr>
            </w:pPr>
            <w:r>
              <w:rPr>
                <w:rFonts w:eastAsia="0" w:cs="0"/>
                <w:b/>
                <w:bCs/>
                <w:i/>
                <w:iCs/>
                <w:color w:val="000000"/>
                <w:kern w:val="0"/>
                <w:sz w:val="18"/>
                <w:szCs w:val="18"/>
                <w:lang w:val="ru-RU" w:eastAsia="zh-CN" w:bidi="hi-IN"/>
              </w:rPr>
              <w:t>млн. руб.</w:t>
            </w:r>
          </w:p>
        </w:tc>
        <w:tc>
          <w:tcPr>
            <w:tcW w:w="1508" w:type="dxa"/>
            <w:tcBorders>
              <w:top w:val="single" w:sz="6" w:space="0" w:color="000000"/>
              <w:left w:val="single" w:sz="6" w:space="0" w:color="000000"/>
              <w:bottom w:val="single" w:sz="6" w:space="0" w:color="000000"/>
              <w:right w:val="single" w:sz="6" w:space="0" w:color="000000"/>
            </w:tcBorders>
          </w:tcPr>
          <w:p>
            <w:pPr>
              <w:pStyle w:val="Normal"/>
              <w:widowControl w:val="false"/>
              <w:bidi w:val="0"/>
              <w:spacing w:before="23" w:after="40"/>
              <w:ind w:left="0" w:right="0" w:hanging="0"/>
              <w:contextualSpacing/>
              <w:rPr>
                <w:sz w:val="18"/>
                <w:szCs w:val="18"/>
              </w:rPr>
            </w:pPr>
            <w:r>
              <w:rPr>
                <w:rFonts w:eastAsia="0" w:cs="0"/>
                <w:b/>
                <w:bCs/>
                <w:i/>
                <w:iCs/>
                <w:color w:val="000000"/>
                <w:kern w:val="0"/>
                <w:sz w:val="18"/>
                <w:szCs w:val="18"/>
                <w:lang w:val="ru-RU" w:eastAsia="zh-CN" w:bidi="hi-IN"/>
              </w:rPr>
              <w:t>1 061</w:t>
            </w:r>
          </w:p>
        </w:tc>
        <w:tc>
          <w:tcPr>
            <w:tcW w:w="1547" w:type="dxa"/>
            <w:tcBorders>
              <w:top w:val="single" w:sz="6" w:space="0" w:color="000000"/>
              <w:left w:val="single" w:sz="6" w:space="0" w:color="000000"/>
              <w:bottom w:val="single" w:sz="6" w:space="0" w:color="000000"/>
              <w:right w:val="double" w:sz="6" w:space="0" w:color="000000"/>
            </w:tcBorders>
          </w:tcPr>
          <w:p>
            <w:pPr>
              <w:pStyle w:val="Normal"/>
              <w:widowControl w:val="false"/>
              <w:bidi w:val="0"/>
              <w:spacing w:before="23" w:after="40"/>
              <w:ind w:left="0" w:right="0" w:hanging="0"/>
              <w:contextualSpacing/>
              <w:rPr>
                <w:sz w:val="18"/>
                <w:szCs w:val="18"/>
              </w:rPr>
            </w:pPr>
            <w:r>
              <w:rPr>
                <w:rFonts w:eastAsia="0" w:cs="0"/>
                <w:b/>
                <w:bCs/>
                <w:i/>
                <w:iCs/>
                <w:color w:val="000000"/>
                <w:kern w:val="0"/>
                <w:sz w:val="18"/>
                <w:szCs w:val="18"/>
                <w:lang w:val="ru-RU" w:eastAsia="zh-CN" w:bidi="hi-IN"/>
              </w:rPr>
              <w:t>1 103</w:t>
            </w:r>
          </w:p>
        </w:tc>
      </w:tr>
      <w:tr>
        <w:trPr>
          <w:trHeight w:val="297" w:hRule="atLeast"/>
        </w:trPr>
        <w:tc>
          <w:tcPr>
            <w:tcW w:w="4499" w:type="dxa"/>
            <w:tcBorders>
              <w:top w:val="single" w:sz="6" w:space="0" w:color="000000"/>
              <w:left w:val="doub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Ремонт и техническое обслуживание</w:t>
            </w:r>
          </w:p>
        </w:tc>
        <w:tc>
          <w:tcPr>
            <w:tcW w:w="147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млн. руб.</w:t>
            </w:r>
          </w:p>
        </w:tc>
        <w:tc>
          <w:tcPr>
            <w:tcW w:w="1508"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966</w:t>
            </w:r>
          </w:p>
        </w:tc>
        <w:tc>
          <w:tcPr>
            <w:tcW w:w="1547" w:type="dxa"/>
            <w:tcBorders>
              <w:top w:val="single" w:sz="6" w:space="0" w:color="000000"/>
              <w:left w:val="single" w:sz="6" w:space="0" w:color="000000"/>
              <w:bottom w:val="single" w:sz="6" w:space="0" w:color="000000"/>
              <w:right w:val="doub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839</w:t>
            </w:r>
          </w:p>
        </w:tc>
      </w:tr>
      <w:tr>
        <w:trPr>
          <w:trHeight w:val="520" w:hRule="atLeast"/>
        </w:trPr>
        <w:tc>
          <w:tcPr>
            <w:tcW w:w="4499" w:type="dxa"/>
            <w:tcBorders>
              <w:top w:val="single" w:sz="6" w:space="0" w:color="000000"/>
              <w:left w:val="doub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Расходы на приобретение и транспортировку тепловой энергии</w:t>
            </w:r>
          </w:p>
        </w:tc>
        <w:tc>
          <w:tcPr>
            <w:tcW w:w="147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млн. руб.</w:t>
            </w:r>
          </w:p>
        </w:tc>
        <w:tc>
          <w:tcPr>
            <w:tcW w:w="1508"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642</w:t>
            </w:r>
          </w:p>
        </w:tc>
        <w:tc>
          <w:tcPr>
            <w:tcW w:w="1547" w:type="dxa"/>
            <w:tcBorders>
              <w:top w:val="single" w:sz="6" w:space="0" w:color="000000"/>
              <w:left w:val="single" w:sz="6" w:space="0" w:color="000000"/>
              <w:bottom w:val="single" w:sz="6" w:space="0" w:color="000000"/>
              <w:right w:val="doub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669</w:t>
            </w:r>
          </w:p>
        </w:tc>
      </w:tr>
      <w:tr>
        <w:trPr>
          <w:trHeight w:val="520" w:hRule="atLeast"/>
        </w:trPr>
        <w:tc>
          <w:tcPr>
            <w:tcW w:w="4499" w:type="dxa"/>
            <w:tcBorders>
              <w:top w:val="single" w:sz="6" w:space="0" w:color="000000"/>
              <w:left w:val="double" w:sz="6" w:space="0" w:color="000000"/>
              <w:bottom w:val="single" w:sz="6" w:space="0" w:color="000000"/>
              <w:right w:val="single" w:sz="6" w:space="0" w:color="000000"/>
            </w:tcBorders>
          </w:tcPr>
          <w:p>
            <w:pPr>
              <w:pStyle w:val="Normal"/>
              <w:widowControl w:val="false"/>
              <w:bidi w:val="0"/>
              <w:spacing w:before="23" w:after="40"/>
              <w:ind w:left="0" w:right="0" w:hanging="0"/>
              <w:contextualSpacing/>
              <w:rPr>
                <w:sz w:val="18"/>
                <w:szCs w:val="18"/>
              </w:rPr>
            </w:pPr>
            <w:r>
              <w:rPr>
                <w:rFonts w:eastAsia="0" w:cs="0"/>
                <w:b/>
                <w:bCs/>
                <w:i/>
                <w:iCs/>
                <w:color w:val="000000"/>
                <w:kern w:val="0"/>
                <w:sz w:val="18"/>
                <w:szCs w:val="18"/>
                <w:lang w:val="ru-RU" w:eastAsia="zh-CN" w:bidi="hi-IN"/>
              </w:rPr>
              <w:t>Расходы на консультационные, юридические и информационные услуги</w:t>
            </w:r>
          </w:p>
        </w:tc>
        <w:tc>
          <w:tcPr>
            <w:tcW w:w="1473" w:type="dxa"/>
            <w:tcBorders>
              <w:top w:val="single" w:sz="6" w:space="0" w:color="000000"/>
              <w:left w:val="single" w:sz="6" w:space="0" w:color="000000"/>
              <w:bottom w:val="single" w:sz="6" w:space="0" w:color="000000"/>
              <w:right w:val="single" w:sz="6" w:space="0" w:color="000000"/>
            </w:tcBorders>
          </w:tcPr>
          <w:p>
            <w:pPr>
              <w:pStyle w:val="Normal"/>
              <w:widowControl w:val="false"/>
              <w:bidi w:val="0"/>
              <w:spacing w:before="23" w:after="40"/>
              <w:ind w:left="0" w:right="0" w:hanging="0"/>
              <w:contextualSpacing/>
              <w:rPr>
                <w:sz w:val="18"/>
                <w:szCs w:val="18"/>
              </w:rPr>
            </w:pPr>
            <w:r>
              <w:rPr>
                <w:rFonts w:eastAsia="0" w:cs="0"/>
                <w:b/>
                <w:bCs/>
                <w:i/>
                <w:iCs/>
                <w:color w:val="000000"/>
                <w:kern w:val="0"/>
                <w:sz w:val="18"/>
                <w:szCs w:val="18"/>
                <w:lang w:val="ru-RU" w:eastAsia="zh-CN" w:bidi="hi-IN"/>
              </w:rPr>
              <w:t>млн. руб.</w:t>
            </w:r>
          </w:p>
        </w:tc>
        <w:tc>
          <w:tcPr>
            <w:tcW w:w="1508" w:type="dxa"/>
            <w:tcBorders>
              <w:top w:val="single" w:sz="6" w:space="0" w:color="000000"/>
              <w:left w:val="single" w:sz="6" w:space="0" w:color="000000"/>
              <w:bottom w:val="single" w:sz="6" w:space="0" w:color="000000"/>
              <w:right w:val="single" w:sz="6" w:space="0" w:color="000000"/>
            </w:tcBorders>
          </w:tcPr>
          <w:p>
            <w:pPr>
              <w:pStyle w:val="Normal"/>
              <w:widowControl w:val="false"/>
              <w:bidi w:val="0"/>
              <w:spacing w:before="23" w:after="40"/>
              <w:ind w:left="0" w:right="0" w:hanging="0"/>
              <w:contextualSpacing/>
              <w:rPr>
                <w:sz w:val="18"/>
                <w:szCs w:val="18"/>
              </w:rPr>
            </w:pPr>
            <w:r>
              <w:rPr>
                <w:rFonts w:eastAsia="0" w:cs="0"/>
                <w:b/>
                <w:bCs/>
                <w:i/>
                <w:iCs/>
                <w:color w:val="000000"/>
                <w:kern w:val="0"/>
                <w:sz w:val="18"/>
                <w:szCs w:val="18"/>
                <w:lang w:val="ru-RU" w:eastAsia="zh-CN" w:bidi="hi-IN"/>
              </w:rPr>
              <w:t>180</w:t>
            </w:r>
          </w:p>
        </w:tc>
        <w:tc>
          <w:tcPr>
            <w:tcW w:w="1547" w:type="dxa"/>
            <w:tcBorders>
              <w:top w:val="single" w:sz="6" w:space="0" w:color="000000"/>
              <w:left w:val="single" w:sz="6" w:space="0" w:color="000000"/>
              <w:bottom w:val="single" w:sz="6" w:space="0" w:color="000000"/>
              <w:right w:val="double" w:sz="6" w:space="0" w:color="000000"/>
            </w:tcBorders>
          </w:tcPr>
          <w:p>
            <w:pPr>
              <w:pStyle w:val="Normal"/>
              <w:widowControl w:val="false"/>
              <w:bidi w:val="0"/>
              <w:spacing w:before="23" w:after="40"/>
              <w:ind w:left="0" w:right="0" w:hanging="0"/>
              <w:contextualSpacing/>
              <w:rPr>
                <w:sz w:val="18"/>
                <w:szCs w:val="18"/>
              </w:rPr>
            </w:pPr>
            <w:r>
              <w:rPr>
                <w:rFonts w:eastAsia="0" w:cs="0"/>
                <w:b/>
                <w:bCs/>
                <w:i/>
                <w:iCs/>
                <w:color w:val="000000"/>
                <w:kern w:val="0"/>
                <w:sz w:val="18"/>
                <w:szCs w:val="18"/>
                <w:lang w:val="ru-RU" w:eastAsia="zh-CN" w:bidi="hi-IN"/>
              </w:rPr>
              <w:t>405</w:t>
            </w:r>
          </w:p>
        </w:tc>
      </w:tr>
      <w:tr>
        <w:trPr>
          <w:trHeight w:val="285" w:hRule="atLeast"/>
        </w:trPr>
        <w:tc>
          <w:tcPr>
            <w:tcW w:w="4499" w:type="dxa"/>
            <w:tcBorders>
              <w:top w:val="single" w:sz="6" w:space="0" w:color="000000"/>
              <w:left w:val="doub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Расходы на охрану</w:t>
            </w:r>
          </w:p>
        </w:tc>
        <w:tc>
          <w:tcPr>
            <w:tcW w:w="147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млн. руб.</w:t>
            </w:r>
          </w:p>
        </w:tc>
        <w:tc>
          <w:tcPr>
            <w:tcW w:w="1508"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241</w:t>
            </w:r>
          </w:p>
        </w:tc>
        <w:tc>
          <w:tcPr>
            <w:tcW w:w="1547" w:type="dxa"/>
            <w:tcBorders>
              <w:top w:val="single" w:sz="6" w:space="0" w:color="000000"/>
              <w:left w:val="single" w:sz="6" w:space="0" w:color="000000"/>
              <w:bottom w:val="single" w:sz="6" w:space="0" w:color="000000"/>
              <w:right w:val="doub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311</w:t>
            </w:r>
          </w:p>
        </w:tc>
      </w:tr>
      <w:tr>
        <w:trPr>
          <w:trHeight w:val="297" w:hRule="atLeast"/>
        </w:trPr>
        <w:tc>
          <w:tcPr>
            <w:tcW w:w="4499" w:type="dxa"/>
            <w:tcBorders>
              <w:top w:val="single" w:sz="6" w:space="0" w:color="000000"/>
              <w:left w:val="doub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Расходы на аренду</w:t>
            </w:r>
          </w:p>
        </w:tc>
        <w:tc>
          <w:tcPr>
            <w:tcW w:w="147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млн. руб.</w:t>
            </w:r>
          </w:p>
        </w:tc>
        <w:tc>
          <w:tcPr>
            <w:tcW w:w="1508"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23</w:t>
            </w:r>
          </w:p>
        </w:tc>
        <w:tc>
          <w:tcPr>
            <w:tcW w:w="1547" w:type="dxa"/>
            <w:tcBorders>
              <w:top w:val="single" w:sz="6" w:space="0" w:color="000000"/>
              <w:left w:val="single" w:sz="6" w:space="0" w:color="000000"/>
              <w:bottom w:val="single" w:sz="6" w:space="0" w:color="000000"/>
              <w:right w:val="doub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45</w:t>
            </w:r>
          </w:p>
        </w:tc>
      </w:tr>
      <w:tr>
        <w:trPr>
          <w:trHeight w:val="285" w:hRule="atLeast"/>
        </w:trPr>
        <w:tc>
          <w:tcPr>
            <w:tcW w:w="4499" w:type="dxa"/>
            <w:tcBorders>
              <w:top w:val="single" w:sz="6" w:space="0" w:color="000000"/>
              <w:left w:val="doub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Расходы на страхование</w:t>
            </w:r>
          </w:p>
        </w:tc>
        <w:tc>
          <w:tcPr>
            <w:tcW w:w="147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млн. руб.</w:t>
            </w:r>
          </w:p>
        </w:tc>
        <w:tc>
          <w:tcPr>
            <w:tcW w:w="1508"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37</w:t>
            </w:r>
          </w:p>
        </w:tc>
        <w:tc>
          <w:tcPr>
            <w:tcW w:w="1547" w:type="dxa"/>
            <w:tcBorders>
              <w:top w:val="single" w:sz="6" w:space="0" w:color="000000"/>
              <w:left w:val="single" w:sz="6" w:space="0" w:color="000000"/>
              <w:bottom w:val="single" w:sz="6" w:space="0" w:color="000000"/>
              <w:right w:val="doub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45</w:t>
            </w:r>
          </w:p>
        </w:tc>
      </w:tr>
      <w:tr>
        <w:trPr>
          <w:trHeight w:val="297" w:hRule="atLeast"/>
        </w:trPr>
        <w:tc>
          <w:tcPr>
            <w:tcW w:w="4499" w:type="dxa"/>
            <w:tcBorders>
              <w:top w:val="single" w:sz="6" w:space="0" w:color="000000"/>
              <w:left w:val="doub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Прочие услуги сторонних организаций</w:t>
            </w:r>
          </w:p>
        </w:tc>
        <w:tc>
          <w:tcPr>
            <w:tcW w:w="147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млн. руб.</w:t>
            </w:r>
          </w:p>
        </w:tc>
        <w:tc>
          <w:tcPr>
            <w:tcW w:w="1508"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928</w:t>
            </w:r>
          </w:p>
        </w:tc>
        <w:tc>
          <w:tcPr>
            <w:tcW w:w="1547" w:type="dxa"/>
            <w:tcBorders>
              <w:top w:val="single" w:sz="6" w:space="0" w:color="000000"/>
              <w:left w:val="single" w:sz="6" w:space="0" w:color="000000"/>
              <w:bottom w:val="single" w:sz="6" w:space="0" w:color="000000"/>
              <w:right w:val="doub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692</w:t>
            </w:r>
          </w:p>
        </w:tc>
      </w:tr>
      <w:tr>
        <w:trPr>
          <w:trHeight w:val="285" w:hRule="atLeast"/>
        </w:trPr>
        <w:tc>
          <w:tcPr>
            <w:tcW w:w="4499" w:type="dxa"/>
            <w:tcBorders>
              <w:top w:val="single" w:sz="6" w:space="0" w:color="000000"/>
              <w:left w:val="doub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Расходы на водопользование</w:t>
            </w:r>
          </w:p>
        </w:tc>
        <w:tc>
          <w:tcPr>
            <w:tcW w:w="147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млн. руб.</w:t>
            </w:r>
          </w:p>
        </w:tc>
        <w:tc>
          <w:tcPr>
            <w:tcW w:w="1508"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754</w:t>
            </w:r>
          </w:p>
        </w:tc>
        <w:tc>
          <w:tcPr>
            <w:tcW w:w="1547" w:type="dxa"/>
            <w:tcBorders>
              <w:top w:val="single" w:sz="6" w:space="0" w:color="000000"/>
              <w:left w:val="single" w:sz="6" w:space="0" w:color="000000"/>
              <w:bottom w:val="single" w:sz="6" w:space="0" w:color="000000"/>
              <w:right w:val="doub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1 033</w:t>
            </w:r>
          </w:p>
        </w:tc>
      </w:tr>
      <w:tr>
        <w:trPr>
          <w:trHeight w:val="285" w:hRule="atLeast"/>
        </w:trPr>
        <w:tc>
          <w:tcPr>
            <w:tcW w:w="4499" w:type="dxa"/>
            <w:tcBorders>
              <w:top w:val="single" w:sz="6" w:space="0" w:color="000000"/>
              <w:left w:val="double" w:sz="6" w:space="0" w:color="000000"/>
              <w:bottom w:val="single" w:sz="6" w:space="0" w:color="000000"/>
              <w:right w:val="single" w:sz="6" w:space="0" w:color="000000"/>
            </w:tcBorders>
          </w:tcPr>
          <w:p>
            <w:pPr>
              <w:pStyle w:val="Normal"/>
              <w:widowControl w:val="false"/>
              <w:bidi w:val="0"/>
              <w:spacing w:before="23" w:after="40"/>
              <w:ind w:left="0" w:right="0" w:hanging="0"/>
              <w:contextualSpacing/>
              <w:rPr>
                <w:sz w:val="18"/>
                <w:szCs w:val="18"/>
              </w:rPr>
            </w:pPr>
            <w:r>
              <w:rPr>
                <w:rFonts w:eastAsia="0" w:cs="0"/>
                <w:b/>
                <w:bCs/>
                <w:i/>
                <w:iCs/>
                <w:color w:val="000000"/>
                <w:kern w:val="0"/>
                <w:sz w:val="18"/>
                <w:szCs w:val="18"/>
                <w:lang w:val="ru-RU" w:eastAsia="zh-CN" w:bidi="hi-IN"/>
              </w:rPr>
              <w:t>(Восстановление)/начисление оценочного обязательства по налогам</w:t>
            </w:r>
          </w:p>
        </w:tc>
        <w:tc>
          <w:tcPr>
            <w:tcW w:w="1473" w:type="dxa"/>
            <w:tcBorders>
              <w:top w:val="single" w:sz="6" w:space="0" w:color="000000"/>
              <w:left w:val="single" w:sz="6" w:space="0" w:color="000000"/>
              <w:bottom w:val="single" w:sz="6" w:space="0" w:color="000000"/>
              <w:right w:val="single" w:sz="6" w:space="0" w:color="000000"/>
            </w:tcBorders>
          </w:tcPr>
          <w:p>
            <w:pPr>
              <w:pStyle w:val="Normal"/>
              <w:widowControl w:val="false"/>
              <w:bidi w:val="0"/>
              <w:spacing w:before="23" w:after="40"/>
              <w:ind w:left="0" w:right="0" w:hanging="0"/>
              <w:contextualSpacing/>
              <w:rPr>
                <w:sz w:val="18"/>
                <w:szCs w:val="18"/>
              </w:rPr>
            </w:pPr>
            <w:r>
              <w:rPr>
                <w:rFonts w:eastAsia="0" w:cs="0"/>
                <w:b/>
                <w:bCs/>
                <w:i/>
                <w:iCs/>
                <w:color w:val="000000"/>
                <w:kern w:val="0"/>
                <w:sz w:val="18"/>
                <w:szCs w:val="18"/>
                <w:lang w:val="ru-RU" w:eastAsia="zh-CN" w:bidi="hi-IN"/>
              </w:rPr>
              <w:t>млн. руб.</w:t>
            </w:r>
          </w:p>
        </w:tc>
        <w:tc>
          <w:tcPr>
            <w:tcW w:w="1508" w:type="dxa"/>
            <w:tcBorders>
              <w:top w:val="single" w:sz="6" w:space="0" w:color="000000"/>
              <w:left w:val="single" w:sz="6" w:space="0" w:color="000000"/>
              <w:bottom w:val="single" w:sz="6" w:space="0" w:color="000000"/>
              <w:right w:val="single" w:sz="6" w:space="0" w:color="000000"/>
            </w:tcBorders>
          </w:tcPr>
          <w:p>
            <w:pPr>
              <w:pStyle w:val="Normal"/>
              <w:widowControl w:val="false"/>
              <w:bidi w:val="0"/>
              <w:spacing w:before="23" w:after="40"/>
              <w:ind w:left="0" w:right="0" w:hanging="0"/>
              <w:contextualSpacing/>
              <w:rPr>
                <w:sz w:val="18"/>
                <w:szCs w:val="18"/>
              </w:rPr>
            </w:pPr>
            <w:r>
              <w:rPr>
                <w:rFonts w:eastAsia="0" w:cs="0"/>
                <w:b/>
                <w:bCs/>
                <w:i/>
                <w:iCs/>
                <w:color w:val="000000"/>
                <w:kern w:val="0"/>
                <w:sz w:val="18"/>
                <w:szCs w:val="18"/>
                <w:lang w:val="ru-RU" w:eastAsia="zh-CN" w:bidi="hi-IN"/>
              </w:rPr>
              <w:t>5</w:t>
            </w:r>
          </w:p>
        </w:tc>
        <w:tc>
          <w:tcPr>
            <w:tcW w:w="1547" w:type="dxa"/>
            <w:tcBorders>
              <w:top w:val="single" w:sz="6" w:space="0" w:color="000000"/>
              <w:left w:val="single" w:sz="6" w:space="0" w:color="000000"/>
              <w:bottom w:val="single" w:sz="6" w:space="0" w:color="000000"/>
              <w:right w:val="double" w:sz="6" w:space="0" w:color="000000"/>
            </w:tcBorders>
          </w:tcPr>
          <w:p>
            <w:pPr>
              <w:pStyle w:val="Normal"/>
              <w:widowControl w:val="false"/>
              <w:bidi w:val="0"/>
              <w:spacing w:before="23" w:after="40"/>
              <w:ind w:left="0" w:right="0" w:hanging="0"/>
              <w:contextualSpacing/>
              <w:rPr>
                <w:sz w:val="18"/>
                <w:szCs w:val="18"/>
              </w:rPr>
            </w:pPr>
            <w:r>
              <w:rPr>
                <w:rFonts w:eastAsia="0" w:cs="0"/>
                <w:b/>
                <w:bCs/>
                <w:i/>
                <w:iCs/>
                <w:color w:val="000000"/>
                <w:kern w:val="0"/>
                <w:sz w:val="18"/>
                <w:szCs w:val="18"/>
                <w:lang w:val="ru-RU" w:eastAsia="zh-CN" w:bidi="hi-IN"/>
              </w:rPr>
              <w:t>-5</w:t>
            </w:r>
          </w:p>
        </w:tc>
      </w:tr>
      <w:tr>
        <w:trPr>
          <w:trHeight w:val="285" w:hRule="atLeast"/>
        </w:trPr>
        <w:tc>
          <w:tcPr>
            <w:tcW w:w="4499" w:type="dxa"/>
            <w:tcBorders>
              <w:top w:val="single" w:sz="6" w:space="0" w:color="000000"/>
              <w:left w:val="double" w:sz="6" w:space="0" w:color="000000"/>
              <w:bottom w:val="single" w:sz="6" w:space="0" w:color="000000"/>
              <w:right w:val="single" w:sz="6" w:space="0" w:color="000000"/>
            </w:tcBorders>
          </w:tcPr>
          <w:p>
            <w:pPr>
              <w:pStyle w:val="Normal"/>
              <w:widowControl w:val="false"/>
              <w:bidi w:val="0"/>
              <w:spacing w:before="23" w:after="40"/>
              <w:ind w:left="0" w:right="0" w:hanging="0"/>
              <w:contextualSpacing/>
              <w:rPr>
                <w:sz w:val="18"/>
                <w:szCs w:val="18"/>
              </w:rPr>
            </w:pPr>
            <w:r>
              <w:rPr>
                <w:rFonts w:eastAsia="0" w:cs="0"/>
                <w:b/>
                <w:bCs/>
                <w:i/>
                <w:iCs/>
                <w:color w:val="000000"/>
                <w:kern w:val="0"/>
                <w:sz w:val="18"/>
                <w:szCs w:val="18"/>
                <w:lang w:val="ru-RU" w:eastAsia="zh-CN" w:bidi="hi-IN"/>
              </w:rPr>
              <w:t>Прочие расходы</w:t>
            </w:r>
          </w:p>
        </w:tc>
        <w:tc>
          <w:tcPr>
            <w:tcW w:w="1473" w:type="dxa"/>
            <w:tcBorders>
              <w:top w:val="single" w:sz="6" w:space="0" w:color="000000"/>
              <w:left w:val="single" w:sz="6" w:space="0" w:color="000000"/>
              <w:bottom w:val="single" w:sz="6" w:space="0" w:color="000000"/>
              <w:right w:val="single" w:sz="6" w:space="0" w:color="000000"/>
            </w:tcBorders>
          </w:tcPr>
          <w:p>
            <w:pPr>
              <w:pStyle w:val="Normal"/>
              <w:widowControl w:val="false"/>
              <w:bidi w:val="0"/>
              <w:spacing w:before="23" w:after="40"/>
              <w:ind w:left="0" w:right="0" w:hanging="0"/>
              <w:contextualSpacing/>
              <w:rPr>
                <w:sz w:val="18"/>
                <w:szCs w:val="18"/>
              </w:rPr>
            </w:pPr>
            <w:r>
              <w:rPr>
                <w:rFonts w:eastAsia="0" w:cs="0"/>
                <w:b/>
                <w:bCs/>
                <w:i/>
                <w:iCs/>
                <w:color w:val="000000"/>
                <w:kern w:val="0"/>
                <w:sz w:val="18"/>
                <w:szCs w:val="18"/>
                <w:lang w:val="ru-RU" w:eastAsia="zh-CN" w:bidi="hi-IN"/>
              </w:rPr>
              <w:t>млн. руб.</w:t>
            </w:r>
          </w:p>
        </w:tc>
        <w:tc>
          <w:tcPr>
            <w:tcW w:w="1508" w:type="dxa"/>
            <w:tcBorders>
              <w:top w:val="single" w:sz="6" w:space="0" w:color="000000"/>
              <w:left w:val="single" w:sz="6" w:space="0" w:color="000000"/>
              <w:bottom w:val="single" w:sz="6" w:space="0" w:color="000000"/>
              <w:right w:val="single" w:sz="6" w:space="0" w:color="000000"/>
            </w:tcBorders>
          </w:tcPr>
          <w:p>
            <w:pPr>
              <w:pStyle w:val="Normal"/>
              <w:widowControl w:val="false"/>
              <w:bidi w:val="0"/>
              <w:spacing w:before="23" w:after="40"/>
              <w:ind w:left="0" w:right="0" w:hanging="0"/>
              <w:contextualSpacing/>
              <w:rPr>
                <w:sz w:val="18"/>
                <w:szCs w:val="18"/>
              </w:rPr>
            </w:pPr>
            <w:r>
              <w:rPr>
                <w:rFonts w:eastAsia="0" w:cs="0"/>
                <w:b/>
                <w:bCs/>
                <w:i/>
                <w:iCs/>
                <w:color w:val="000000"/>
                <w:kern w:val="0"/>
                <w:sz w:val="18"/>
                <w:szCs w:val="18"/>
                <w:lang w:val="ru-RU" w:eastAsia="zh-CN" w:bidi="hi-IN"/>
              </w:rPr>
              <w:t>64</w:t>
            </w:r>
          </w:p>
        </w:tc>
        <w:tc>
          <w:tcPr>
            <w:tcW w:w="1547" w:type="dxa"/>
            <w:tcBorders>
              <w:top w:val="single" w:sz="6" w:space="0" w:color="000000"/>
              <w:left w:val="single" w:sz="6" w:space="0" w:color="000000"/>
              <w:bottom w:val="single" w:sz="6" w:space="0" w:color="000000"/>
              <w:right w:val="double" w:sz="6" w:space="0" w:color="000000"/>
            </w:tcBorders>
          </w:tcPr>
          <w:p>
            <w:pPr>
              <w:pStyle w:val="Normal"/>
              <w:widowControl w:val="false"/>
              <w:bidi w:val="0"/>
              <w:spacing w:before="23" w:after="40"/>
              <w:ind w:left="0" w:right="0" w:hanging="0"/>
              <w:contextualSpacing/>
              <w:rPr>
                <w:sz w:val="18"/>
                <w:szCs w:val="18"/>
              </w:rPr>
            </w:pPr>
            <w:r>
              <w:rPr>
                <w:rFonts w:eastAsia="0" w:cs="0"/>
                <w:b/>
                <w:bCs/>
                <w:i/>
                <w:iCs/>
                <w:color w:val="000000"/>
                <w:kern w:val="0"/>
                <w:sz w:val="18"/>
                <w:szCs w:val="18"/>
                <w:lang w:val="ru-RU" w:eastAsia="zh-CN" w:bidi="hi-IN"/>
              </w:rPr>
              <w:t>278</w:t>
            </w:r>
          </w:p>
        </w:tc>
      </w:tr>
      <w:tr>
        <w:trPr>
          <w:trHeight w:val="507" w:hRule="atLeast"/>
        </w:trPr>
        <w:tc>
          <w:tcPr>
            <w:tcW w:w="4499" w:type="dxa"/>
            <w:tcBorders>
              <w:top w:val="single" w:sz="6" w:space="0" w:color="000000"/>
              <w:left w:val="double" w:sz="6" w:space="0" w:color="000000"/>
              <w:bottom w:val="doub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ИТОГО по ст. "Операционные расходы (без учета убытков от обесценения)"</w:t>
            </w:r>
          </w:p>
        </w:tc>
        <w:tc>
          <w:tcPr>
            <w:tcW w:w="1473" w:type="dxa"/>
            <w:tcBorders>
              <w:top w:val="single" w:sz="6" w:space="0" w:color="000000"/>
              <w:left w:val="single" w:sz="6" w:space="0" w:color="000000"/>
              <w:bottom w:val="doub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млн. руб.</w:t>
            </w:r>
          </w:p>
        </w:tc>
        <w:tc>
          <w:tcPr>
            <w:tcW w:w="1508" w:type="dxa"/>
            <w:tcBorders>
              <w:top w:val="single" w:sz="6" w:space="0" w:color="000000"/>
              <w:left w:val="single" w:sz="6" w:space="0" w:color="000000"/>
              <w:bottom w:val="double" w:sz="6" w:space="0" w:color="000000"/>
              <w:right w:val="sing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46 109</w:t>
            </w:r>
          </w:p>
        </w:tc>
        <w:tc>
          <w:tcPr>
            <w:tcW w:w="1547" w:type="dxa"/>
            <w:tcBorders>
              <w:top w:val="single" w:sz="6" w:space="0" w:color="000000"/>
              <w:left w:val="single" w:sz="6" w:space="0" w:color="000000"/>
              <w:bottom w:val="double" w:sz="6" w:space="0" w:color="000000"/>
              <w:right w:val="double" w:sz="6" w:space="0" w:color="000000"/>
            </w:tcBorders>
          </w:tcPr>
          <w:p>
            <w:pPr>
              <w:pStyle w:val="Normal"/>
              <w:widowControl w:val="false"/>
              <w:tabs>
                <w:tab w:val="clear" w:pos="720"/>
              </w:tabs>
              <w:bidi w:val="0"/>
              <w:spacing w:before="23" w:after="40"/>
              <w:ind w:left="0" w:right="0" w:hanging="0"/>
              <w:contextualSpacing/>
              <w:rPr>
                <w:sz w:val="18"/>
                <w:szCs w:val="18"/>
              </w:rPr>
            </w:pPr>
            <w:r>
              <w:rPr>
                <w:rFonts w:eastAsia="0" w:cs="0"/>
                <w:b/>
                <w:bCs/>
                <w:i/>
                <w:iCs/>
                <w:color w:val="000000"/>
                <w:kern w:val="0"/>
                <w:sz w:val="18"/>
                <w:szCs w:val="18"/>
                <w:lang w:val="ru-RU" w:eastAsia="zh-CN" w:bidi="hi-IN"/>
              </w:rPr>
              <w:t>47 096</w:t>
            </w:r>
          </w:p>
        </w:tc>
      </w:tr>
    </w:tbl>
    <w:p>
      <w:pPr>
        <w:pStyle w:val="Normal"/>
        <w:widowControl w:val="false"/>
        <w:bidi w:val="0"/>
        <w:ind w:left="0" w:right="0" w:hanging="0"/>
        <w:rPr>
          <w:b/>
        </w:rPr>
      </w:pPr>
      <w:r>
        <w:rPr>
          <w:b/>
        </w:rPr>
      </w:r>
    </w:p>
    <w:p>
      <w:pPr>
        <w:pStyle w:val="Normal"/>
        <w:spacing w:before="0" w:after="0"/>
        <w:contextualSpacing w:val="false"/>
        <w:rPr>
          <w:i/>
          <w:i/>
          <w:iCs/>
          <w:sz w:val="16"/>
          <w:szCs w:val="16"/>
        </w:rPr>
      </w:pPr>
      <w:r>
        <w:rPr>
          <w:i/>
          <w:iCs/>
          <w:sz w:val="16"/>
          <w:szCs w:val="16"/>
        </w:rPr>
      </w:r>
    </w:p>
    <w:p>
      <w:pPr>
        <w:pStyle w:val="Normal"/>
        <w:jc w:val="both"/>
        <w:rPr>
          <w:i w:val="false"/>
          <w:i w:val="false"/>
          <w:iCs w:val="false"/>
        </w:rPr>
      </w:pPr>
      <w:r>
        <w:rPr>
          <w:i w:val="false"/>
          <w:iCs w:val="false"/>
        </w:rPr>
        <w:t>Анализ динамики изменения приведенных показателей операционной деятельности    группы эмитента:</w:t>
      </w:r>
    </w:p>
    <w:p>
      <w:pPr>
        <w:pStyle w:val="Normal"/>
        <w:jc w:val="both"/>
        <w:rPr/>
      </w:pPr>
      <w:r>
        <w:rPr>
          <w:b/>
          <w:i/>
        </w:rPr>
        <w:t>В том числе по статьям:</w:t>
      </w:r>
    </w:p>
    <w:p>
      <w:pPr>
        <w:pStyle w:val="Normal"/>
        <w:bidi w:val="0"/>
        <w:ind w:left="200" w:right="0" w:hanging="0"/>
        <w:jc w:val="both"/>
        <w:rPr>
          <w:b/>
          <w:bCs/>
          <w:i/>
          <w:i/>
          <w:iCs/>
        </w:rPr>
      </w:pPr>
      <w:r>
        <w:rPr>
          <w:b/>
          <w:bCs/>
          <w:i/>
          <w:iCs/>
        </w:rPr>
        <w:t>- "продажа теплоэнергии и горячей воды" (+) 395 млн. руб. за счет роста среднеотпускных тарифов на тепловую энергию в соответствии с утвержденными тарифными решениями регулирующего органа.;</w:t>
      </w:r>
    </w:p>
    <w:p>
      <w:pPr>
        <w:pStyle w:val="Normal"/>
        <w:bidi w:val="0"/>
        <w:ind w:left="200" w:right="0" w:hanging="0"/>
        <w:jc w:val="both"/>
        <w:rPr>
          <w:b/>
          <w:bCs/>
          <w:i/>
          <w:i/>
          <w:iCs/>
        </w:rPr>
      </w:pPr>
      <w:r>
        <w:rPr>
          <w:b/>
          <w:bCs/>
          <w:i/>
          <w:iCs/>
        </w:rPr>
        <w:t>- "оказание услуг по технологическому присоединению к сети" (-) 45 млн. руб. - доходы формируются в зависимости от количества фактических заявителей на осуществление технологического присоединения к сетям;</w:t>
      </w:r>
    </w:p>
    <w:p>
      <w:pPr>
        <w:pStyle w:val="Normal"/>
        <w:bidi w:val="0"/>
        <w:ind w:left="200" w:right="0" w:hanging="0"/>
        <w:jc w:val="both"/>
        <w:rPr>
          <w:b/>
          <w:bCs/>
          <w:i/>
          <w:i/>
          <w:iCs/>
        </w:rPr>
      </w:pPr>
      <w:r>
        <w:rPr>
          <w:b/>
          <w:bCs/>
          <w:i/>
          <w:iCs/>
        </w:rPr>
        <w:t xml:space="preserve">- "государственные субсидии" (+) 3 913 млн. руб. в том числе:    (+) 3 605 млн. руб. по ст.    "субсидия на компенсацию разницы в тарифах" – за счет роста экономически обоснованного тарифа на э/э и т/э в соответствии с утвержденными тарифными решениями регулирующих органов; </w:t>
      </w:r>
    </w:p>
    <w:p>
      <w:pPr>
        <w:pStyle w:val="Normal"/>
        <w:bidi w:val="0"/>
        <w:ind w:left="200" w:right="0" w:hanging="0"/>
        <w:jc w:val="both"/>
        <w:rPr>
          <w:b/>
          <w:bCs/>
          <w:i/>
          <w:i/>
          <w:iCs/>
        </w:rPr>
      </w:pPr>
      <w:r>
        <w:rPr>
          <w:b/>
          <w:bCs/>
          <w:i/>
          <w:iCs/>
        </w:rPr>
        <w:t>- "расходы на топливо" (+) 1 791 млн. руб. - рост цен на нефтепродукты, снижение поставок природного газа и рост расхода топочного мазута как резервного топлива на Камчатских ТЭЦ;</w:t>
      </w:r>
    </w:p>
    <w:p>
      <w:pPr>
        <w:pStyle w:val="Normal"/>
        <w:bidi w:val="0"/>
        <w:ind w:left="200" w:right="0" w:hanging="0"/>
        <w:jc w:val="both"/>
        <w:rPr>
          <w:b/>
          <w:bCs/>
          <w:i/>
          <w:i/>
          <w:iCs/>
        </w:rPr>
      </w:pPr>
      <w:r>
        <w:rPr>
          <w:b/>
          <w:bCs/>
          <w:i/>
          <w:iCs/>
        </w:rPr>
        <w:t>- "вознаграждения работникам (в том числе налоги и расходы по пенсионному обеспечению)"(+) 756  млн. руб. – рост за счет индексации ММТС;- "покупная энергия и мощность" (-) 2 983 млн. руб. – постановлением Правительства РФ от 26.11.2021 № 2062 утверждены критерии определения потребителей электрической энергии, не относящиеся к населению, в отношении которых на территориях ДФО осуществляется доведение цен (тарифов) на э/э до базовых уровней цен (тарифов) на э/э. Согласно п. 8 и п. 9 указанных критериев, с 1.01.2025 к потребителям, относящимся к организациям топливно-энергетического комплекса, а также потребителям осуществляющим деятельность в области добычи, производства, использования и обращения драг.металлов не применяется субсидирование в виде доведения тарифов до базовых. В связи с чем, основная масса компаний, осуществляющих добычу и производство драг.металлов, расторгли договоры покупки э/э с ПАО «Камчатскэнерго». Горнодобывающие предприятия стали сами обеспечивать себя и вырабатывать э/энергию на собственных ДЭС, без заключения договоров купли-продажи э/энергии. Данные компании находятся в территориально изолированных территориях Камчатского края.</w:t>
      </w:r>
    </w:p>
    <w:p>
      <w:pPr>
        <w:pStyle w:val="Normal"/>
        <w:bidi w:val="0"/>
        <w:ind w:left="200" w:right="0" w:hanging="0"/>
        <w:jc w:val="both"/>
        <w:rPr>
          <w:b/>
          <w:bCs/>
          <w:i/>
          <w:i/>
          <w:iCs/>
        </w:rPr>
      </w:pPr>
      <w:r>
        <w:rPr>
          <w:b/>
          <w:bCs/>
          <w:i/>
          <w:iCs/>
        </w:rPr>
        <w:t>- "амортизация основных средств" (+) 319 млн. руб. - расчет амортизационных отчислений произведен с    учетом введенных в эксплуатацию объектов ОПФ в рамках реализации инвестиционной программы;- "услуги сетевых организаций по передаче электроэнергии" (+) 305 млн. руб., "расходы на приобретение и транспортировку тепловой энергии" (+) 27 млн. руб., "расходы на водопользование" (+) 279 млн. руб. - за счет увеличения утвержденных РСТ и Ц Камчатского края тарифов;- "агентские расходы" (+) 82 млн. руб. за счет увеличения агентского вознаграждения по договору с ПАО "ДЭК" на осуществление энергосбытовой деятельности;</w:t>
      </w:r>
    </w:p>
    <w:p>
      <w:pPr>
        <w:pStyle w:val="Normal"/>
        <w:bidi w:val="0"/>
        <w:ind w:left="200" w:right="0" w:hanging="0"/>
        <w:jc w:val="both"/>
        <w:rPr>
          <w:b/>
          <w:bCs/>
          <w:i/>
          <w:i/>
          <w:iCs/>
        </w:rPr>
      </w:pPr>
      <w:r>
        <w:rPr>
          <w:b/>
          <w:bCs/>
          <w:i/>
          <w:iCs/>
        </w:rPr>
        <w:t>- "транспортные расходы" (+) 42 млн. руб. – за счет роста стоимости услуг по договору с АО "ТК РусГидро" на транспортное обслуживание;</w:t>
      </w:r>
    </w:p>
    <w:p>
      <w:pPr>
        <w:pStyle w:val="Normal"/>
        <w:jc w:val="both"/>
        <w:rPr/>
      </w:pPr>
      <w:r>
        <w:rPr/>
      </w:r>
    </w:p>
    <w:p>
      <w:pPr>
        <w:pStyle w:val="Normal"/>
        <w:jc w:val="both"/>
        <w:rPr>
          <w:i w:val="false"/>
          <w:i w:val="false"/>
          <w:iCs w:val="false"/>
        </w:rPr>
      </w:pPr>
      <w:r>
        <w:rPr>
          <w:i w:val="false"/>
          <w:iCs w:val="false"/>
        </w:rPr>
        <w:t>Основные события и факторы, в том числе макроэкономические, произошедшие в отчетном периоде, которые, по мнению эмитента, оказали существенное влияние на изменение основных операционных показателей группы эмитента:</w:t>
      </w:r>
    </w:p>
    <w:p>
      <w:pPr>
        <w:pStyle w:val="Normal"/>
        <w:numPr>
          <w:ilvl w:val="0"/>
          <w:numId w:val="3"/>
        </w:numPr>
        <w:tabs>
          <w:tab w:val="clear" w:pos="720"/>
          <w:tab w:val="left" w:pos="532" w:leader="none"/>
        </w:tabs>
        <w:ind w:left="0" w:hanging="0"/>
        <w:jc w:val="both"/>
        <w:rPr>
          <w:i/>
          <w:i/>
          <w:iCs/>
        </w:rPr>
      </w:pPr>
      <w:r>
        <w:rPr>
          <w:b/>
          <w:bCs/>
          <w:i/>
          <w:iCs/>
        </w:rPr>
        <w:t xml:space="preserve">рост электропотребления в Центральном энергоузле и в районах, обслуживаемых АО «ЮЭСК»; </w:t>
      </w:r>
    </w:p>
    <w:p>
      <w:pPr>
        <w:pStyle w:val="Normal"/>
        <w:numPr>
          <w:ilvl w:val="0"/>
          <w:numId w:val="3"/>
        </w:numPr>
        <w:tabs>
          <w:tab w:val="clear" w:pos="720"/>
          <w:tab w:val="left" w:pos="532" w:leader="none"/>
        </w:tabs>
        <w:ind w:left="0" w:hanging="0"/>
        <w:jc w:val="both"/>
        <w:rPr>
          <w:i/>
          <w:i/>
          <w:iCs/>
        </w:rPr>
      </w:pPr>
      <w:r>
        <w:rPr>
          <w:b/>
          <w:bCs/>
          <w:i/>
          <w:iCs/>
        </w:rPr>
        <w:t xml:space="preserve">увеличение тарифов на электрическую и тепловую энергию, согласно принятым Регулирующим органом тарифным решениям; </w:t>
      </w:r>
    </w:p>
    <w:p>
      <w:pPr>
        <w:pStyle w:val="Normal"/>
        <w:numPr>
          <w:ilvl w:val="0"/>
          <w:numId w:val="3"/>
        </w:numPr>
        <w:tabs>
          <w:tab w:val="clear" w:pos="720"/>
          <w:tab w:val="left" w:pos="532" w:leader="none"/>
        </w:tabs>
        <w:ind w:left="0" w:hanging="0"/>
        <w:jc w:val="both"/>
        <w:rPr>
          <w:i/>
          <w:i/>
          <w:iCs/>
        </w:rPr>
      </w:pPr>
      <w:r>
        <w:rPr>
          <w:b/>
          <w:bCs/>
          <w:i/>
          <w:iCs/>
        </w:rPr>
        <w:t xml:space="preserve">колебание цен на нефтепродукты, снижение поставок природного газа и рост расхода топочного мазута как резервного топлива на Камчатских ТЭЦ; </w:t>
      </w:r>
    </w:p>
    <w:p>
      <w:pPr>
        <w:pStyle w:val="Normal"/>
        <w:numPr>
          <w:ilvl w:val="0"/>
          <w:numId w:val="3"/>
        </w:numPr>
        <w:tabs>
          <w:tab w:val="clear" w:pos="720"/>
          <w:tab w:val="left" w:pos="532" w:leader="none"/>
        </w:tabs>
        <w:ind w:left="0" w:hanging="0"/>
        <w:jc w:val="both"/>
        <w:rPr>
          <w:i/>
          <w:i/>
          <w:iCs/>
        </w:rPr>
      </w:pPr>
      <w:r>
        <w:rPr>
          <w:b/>
          <w:bCs/>
          <w:i/>
          <w:iCs/>
        </w:rPr>
        <w:t xml:space="preserve">снижение ключевой ставки ЦБ РФ. </w:t>
      </w:r>
    </w:p>
    <w:p>
      <w:pPr>
        <w:pStyle w:val="Normal"/>
        <w:tabs>
          <w:tab w:val="clear" w:pos="720"/>
          <w:tab w:val="left" w:pos="532" w:leader="none"/>
        </w:tabs>
        <w:ind w:left="0" w:hanging="0"/>
        <w:jc w:val="both"/>
        <w:rPr>
          <w:i/>
          <w:i/>
          <w:iCs/>
        </w:rPr>
      </w:pPr>
      <w:r>
        <w:rPr>
          <w:i/>
          <w:iCs/>
        </w:rPr>
      </w:r>
    </w:p>
    <w:p>
      <w:pPr>
        <w:pStyle w:val="2"/>
        <w:spacing w:before="240" w:after="40"/>
        <w:contextualSpacing/>
        <w:jc w:val="both"/>
        <w:rPr/>
      </w:pPr>
      <w:r>
        <w:rPr>
          <w:rFonts w:eastAsia="0" w:cs="0"/>
          <w:color w:val="000000"/>
          <w:lang w:bidi="hi-IN"/>
        </w:rPr>
        <w:t>1.4. Основные финансовые показатели эмитента.</w:t>
      </w:r>
    </w:p>
    <w:p>
      <w:pPr>
        <w:pStyle w:val="Normal"/>
        <w:jc w:val="both"/>
        <w:rPr/>
      </w:pPr>
      <w:r>
        <w:rPr/>
      </w:r>
    </w:p>
    <w:p>
      <w:pPr>
        <w:pStyle w:val="Normal"/>
        <w:jc w:val="both"/>
        <w:rPr/>
      </w:pPr>
      <w:r>
        <w:rPr>
          <w:i w:val="false"/>
          <w:iCs w:val="false"/>
        </w:rPr>
        <w:t>Указываются финансовые показатели, характеризующие финансовые результаты деятельности эмитента, а если эмитентом составляется и раскрывается</w:t>
      </w:r>
      <w:r>
        <w:rPr/>
        <w:t xml:space="preserve"> </w:t>
      </w:r>
      <w:r>
        <w:rPr>
          <w:i w:val="false"/>
          <w:iCs w:val="false"/>
        </w:rPr>
        <w:t>консолидированная финансовая отчетность, - финансовые результаты деятельности группы эмитента.</w:t>
      </w:r>
    </w:p>
    <w:p>
      <w:pPr>
        <w:pStyle w:val="Normal"/>
        <w:widowControl/>
        <w:spacing w:before="0" w:after="0"/>
        <w:contextualSpacing w:val="false"/>
        <w:jc w:val="both"/>
        <w:rPr>
          <w:i w:val="false"/>
          <w:i w:val="false"/>
          <w:iCs w:val="false"/>
        </w:rPr>
      </w:pPr>
      <w:r>
        <w:rPr>
          <w:i w:val="false"/>
          <w:iCs w:val="false"/>
        </w:rPr>
        <w:t xml:space="preserve">В отчете эмитента за 12 месяцев приводятся основные финансовые показатели группы эмитента за 12 месяцев отчетного года в сравнении с 12 месяцами предшествующего года (на дату окончания отчетного года в сравнении с показателями на конец предшествующего года). </w:t>
      </w:r>
    </w:p>
    <w:p>
      <w:pPr>
        <w:pStyle w:val="Normal"/>
        <w:widowControl/>
        <w:spacing w:before="0" w:after="0"/>
        <w:contextualSpacing w:val="false"/>
        <w:rPr>
          <w:rFonts w:ascii="Times New Roman" w:hAnsi="Times New Roman" w:eastAsia="0" w:cs="0"/>
          <w:b/>
          <w:bCs/>
          <w:color w:val="000000"/>
          <w:sz w:val="24"/>
          <w:lang w:bidi="hi-IN"/>
        </w:rPr>
      </w:pPr>
      <w:r>
        <w:rPr>
          <w:rFonts w:eastAsia="0" w:cs="0" w:ascii="Times New Roman" w:hAnsi="Times New Roman"/>
          <w:b/>
          <w:bCs/>
          <w:color w:val="000000"/>
          <w:sz w:val="24"/>
          <w:lang w:bidi="hi-IN"/>
        </w:rPr>
      </w:r>
    </w:p>
    <w:p>
      <w:pPr>
        <w:pStyle w:val="ThinDelim"/>
        <w:spacing w:before="20" w:after="40"/>
        <w:contextualSpacing/>
        <w:jc w:val="both"/>
        <w:rPr>
          <w:rFonts w:ascii="Times New Roman" w:hAnsi="Times New Roman" w:eastAsia="0" w:cs="0"/>
          <w:b/>
          <w:bCs/>
          <w:color w:val="000000"/>
          <w:sz w:val="24"/>
          <w:lang w:bidi="hi-IN"/>
        </w:rPr>
      </w:pPr>
      <w:r>
        <w:rPr>
          <w:rFonts w:eastAsia="0" w:cs="0" w:ascii="Times New Roman" w:hAnsi="Times New Roman"/>
          <w:b/>
          <w:bCs/>
          <w:color w:val="000000"/>
          <w:sz w:val="24"/>
          <w:lang w:bidi="hi-IN"/>
        </w:rPr>
        <w:t>1.4.1. Основные финансовые показатели, рассчитываемые на основе консолидированной финансовой отчетности:</w:t>
      </w:r>
    </w:p>
    <w:p>
      <w:pPr>
        <w:pStyle w:val="ThinDelim"/>
        <w:rPr>
          <w:b/>
          <w:bCs/>
        </w:rPr>
      </w:pPr>
      <w:r>
        <w:rPr>
          <w:b/>
          <w:bCs/>
        </w:rPr>
      </w:r>
    </w:p>
    <w:p>
      <w:pPr>
        <w:pStyle w:val="ThinDelim"/>
        <w:rPr>
          <w:b/>
          <w:bCs/>
        </w:rPr>
      </w:pPr>
      <w:r>
        <w:rPr>
          <w:b/>
          <w:bCs/>
        </w:rPr>
      </w:r>
    </w:p>
    <w:tbl>
      <w:tblPr>
        <w:tblW w:w="8804" w:type="dxa"/>
        <w:jc w:val="left"/>
        <w:tblInd w:w="409" w:type="dxa"/>
        <w:tblLayout w:type="fixed"/>
        <w:tblCellMar>
          <w:top w:w="0" w:type="dxa"/>
          <w:left w:w="72" w:type="dxa"/>
          <w:bottom w:w="0" w:type="dxa"/>
          <w:right w:w="72" w:type="dxa"/>
        </w:tblCellMar>
        <w:tblLook w:noVBand="1" w:val="04a0" w:noHBand="0" w:lastColumn="0" w:firstColumn="1" w:lastRow="0" w:firstRow="1"/>
      </w:tblPr>
      <w:tblGrid>
        <w:gridCol w:w="677"/>
        <w:gridCol w:w="4661"/>
        <w:gridCol w:w="1750"/>
        <w:gridCol w:w="1715"/>
      </w:tblGrid>
      <w:tr>
        <w:trPr/>
        <w:tc>
          <w:tcPr>
            <w:tcW w:w="67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jc w:val="center"/>
              <w:rPr/>
            </w:pPr>
            <w:r>
              <w:rPr>
                <w:b/>
                <w:bCs/>
                <w:sz w:val="18"/>
                <w:szCs w:val="18"/>
              </w:rPr>
              <w:t>N п/п</w:t>
            </w:r>
          </w:p>
        </w:tc>
        <w:tc>
          <w:tcPr>
            <w:tcW w:w="466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val="false"/>
              <w:jc w:val="center"/>
              <w:rPr/>
            </w:pPr>
            <w:r>
              <w:rPr>
                <w:b/>
                <w:bCs/>
                <w:sz w:val="18"/>
                <w:szCs w:val="18"/>
              </w:rPr>
              <w:t>Наименование показателя</w:t>
            </w:r>
          </w:p>
        </w:tc>
        <w:tc>
          <w:tcPr>
            <w:tcW w:w="175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jc w:val="center"/>
              <w:rPr>
                <w:highlight w:val="none"/>
                <w:shd w:fill="auto" w:val="clear"/>
              </w:rPr>
            </w:pPr>
            <w:r>
              <w:rPr>
                <w:b/>
                <w:bCs/>
                <w:sz w:val="18"/>
                <w:szCs w:val="18"/>
                <w:shd w:fill="auto" w:val="clear"/>
              </w:rPr>
              <w:t>2024, 12 мес.</w:t>
            </w:r>
          </w:p>
        </w:tc>
        <w:tc>
          <w:tcPr>
            <w:tcW w:w="171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jc w:val="center"/>
              <w:rPr>
                <w:highlight w:val="none"/>
                <w:shd w:fill="auto" w:val="clear"/>
              </w:rPr>
            </w:pPr>
            <w:r>
              <w:rPr>
                <w:b/>
                <w:bCs/>
                <w:sz w:val="18"/>
                <w:szCs w:val="18"/>
                <w:shd w:fill="auto" w:val="clear"/>
              </w:rPr>
              <w:t>2025, 12 мес.</w:t>
            </w:r>
          </w:p>
        </w:tc>
      </w:tr>
      <w:tr>
        <w:trPr/>
        <w:tc>
          <w:tcPr>
            <w:tcW w:w="67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pPr>
            <w:r>
              <w:rPr>
                <w:b/>
                <w:bCs/>
                <w:i/>
                <w:iCs/>
                <w:sz w:val="18"/>
                <w:szCs w:val="18"/>
              </w:rPr>
              <w:t>1</w:t>
            </w:r>
          </w:p>
        </w:tc>
        <w:tc>
          <w:tcPr>
            <w:tcW w:w="466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pPr>
            <w:r>
              <w:rPr>
                <w:b/>
                <w:bCs/>
                <w:i/>
                <w:iCs/>
                <w:sz w:val="18"/>
                <w:szCs w:val="18"/>
              </w:rPr>
              <w:t>Выручка, млн. руб.</w:t>
            </w:r>
          </w:p>
        </w:tc>
        <w:tc>
          <w:tcPr>
            <w:tcW w:w="1750"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47 206</w:t>
            </w:r>
          </w:p>
        </w:tc>
        <w:tc>
          <w:tcPr>
            <w:tcW w:w="1715"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51 523</w:t>
            </w:r>
          </w:p>
        </w:tc>
      </w:tr>
      <w:tr>
        <w:trPr/>
        <w:tc>
          <w:tcPr>
            <w:tcW w:w="67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pPr>
            <w:r>
              <w:rPr>
                <w:b/>
                <w:bCs/>
                <w:i/>
                <w:iCs/>
                <w:sz w:val="18"/>
                <w:szCs w:val="18"/>
              </w:rPr>
              <w:t>2</w:t>
            </w:r>
          </w:p>
        </w:tc>
        <w:tc>
          <w:tcPr>
            <w:tcW w:w="466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pPr>
            <w:r>
              <w:rPr>
                <w:b/>
                <w:bCs/>
                <w:i/>
                <w:iCs/>
                <w:sz w:val="18"/>
                <w:szCs w:val="18"/>
              </w:rPr>
              <w:t>Прибыль до вычета расходов по выплате процентов, налогов, износа основных средств и амортизации нематериальных активов (EBITDA), млн. руб.</w:t>
            </w:r>
          </w:p>
        </w:tc>
        <w:tc>
          <w:tcPr>
            <w:tcW w:w="1750" w:type="dxa"/>
            <w:tcBorders>
              <w:top w:val="single" w:sz="6" w:space="0" w:color="000000"/>
              <w:left w:val="single" w:sz="6" w:space="0" w:color="000000"/>
              <w:bottom w:val="single" w:sz="6" w:space="0" w:color="000000"/>
              <w:right w:val="single" w:sz="6" w:space="0" w:color="000000"/>
            </w:tcBorders>
          </w:tcPr>
          <w:p>
            <w:pPr>
              <w:pStyle w:val="Normal"/>
              <w:widowControl w:val="false"/>
              <w:bidi w:val="0"/>
              <w:spacing w:before="23" w:after="40"/>
              <w:ind w:left="0" w:right="0" w:hanging="0"/>
              <w:contextualSpacing/>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2 778</w:t>
            </w:r>
          </w:p>
        </w:tc>
        <w:tc>
          <w:tcPr>
            <w:tcW w:w="1715" w:type="dxa"/>
            <w:tcBorders>
              <w:top w:val="single" w:sz="6" w:space="0" w:color="000000"/>
              <w:left w:val="single" w:sz="6" w:space="0" w:color="000000"/>
              <w:bottom w:val="single" w:sz="6" w:space="0" w:color="000000"/>
              <w:right w:val="single" w:sz="6" w:space="0" w:color="000000"/>
            </w:tcBorders>
          </w:tcPr>
          <w:p>
            <w:pPr>
              <w:pStyle w:val="Normal"/>
              <w:widowControl w:val="false"/>
              <w:bidi w:val="0"/>
              <w:spacing w:before="23" w:after="40"/>
              <w:ind w:left="0" w:right="0" w:hanging="0"/>
              <w:contextualSpacing/>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5 135</w:t>
            </w:r>
          </w:p>
        </w:tc>
      </w:tr>
      <w:tr>
        <w:trPr/>
        <w:tc>
          <w:tcPr>
            <w:tcW w:w="67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val="false"/>
              <w:rPr>
                <w:b/>
                <w:bCs/>
                <w:i/>
                <w:i/>
                <w:iCs/>
                <w:sz w:val="18"/>
                <w:szCs w:val="18"/>
              </w:rPr>
            </w:pPr>
            <w:r>
              <w:rPr>
                <w:b/>
                <w:bCs/>
                <w:i/>
                <w:iCs/>
                <w:sz w:val="18"/>
                <w:szCs w:val="18"/>
              </w:rPr>
            </w:r>
          </w:p>
        </w:tc>
        <w:tc>
          <w:tcPr>
            <w:tcW w:w="466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pPr>
            <w:r>
              <w:rPr>
                <w:b/>
                <w:bCs/>
                <w:i/>
                <w:iCs/>
                <w:sz w:val="18"/>
                <w:szCs w:val="18"/>
              </w:rPr>
              <w:t>Операционная прибыль до вычета износа основных средств и амортизации нематериальных активов (OIBDA), руб.</w:t>
            </w:r>
          </w:p>
        </w:tc>
        <w:tc>
          <w:tcPr>
            <w:tcW w:w="1750" w:type="dxa"/>
            <w:tcBorders>
              <w:top w:val="single" w:sz="6" w:space="0" w:color="000000"/>
              <w:left w:val="single" w:sz="6" w:space="0" w:color="000000"/>
              <w:bottom w:val="single" w:sz="6" w:space="0" w:color="000000"/>
              <w:right w:val="single" w:sz="6" w:space="0" w:color="000000"/>
            </w:tcBorders>
          </w:tcPr>
          <w:p>
            <w:pPr>
              <w:pStyle w:val="Normal"/>
              <w:widowControl w:val="false"/>
              <w:bidi w:val="0"/>
              <w:spacing w:before="23" w:after="40"/>
              <w:ind w:left="0" w:right="0" w:hanging="0"/>
              <w:contextualSpacing/>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2 005</w:t>
            </w:r>
          </w:p>
        </w:tc>
        <w:tc>
          <w:tcPr>
            <w:tcW w:w="1715" w:type="dxa"/>
            <w:tcBorders>
              <w:top w:val="single" w:sz="6" w:space="0" w:color="000000"/>
              <w:left w:val="single" w:sz="6" w:space="0" w:color="000000"/>
              <w:bottom w:val="single" w:sz="6" w:space="0" w:color="000000"/>
              <w:right w:val="single" w:sz="6" w:space="0" w:color="000000"/>
            </w:tcBorders>
          </w:tcPr>
          <w:p>
            <w:pPr>
              <w:pStyle w:val="Normal"/>
              <w:widowControl w:val="false"/>
              <w:bidi w:val="0"/>
              <w:spacing w:before="23" w:after="40"/>
              <w:ind w:left="0" w:right="0" w:hanging="0"/>
              <w:contextualSpacing/>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4 610</w:t>
            </w:r>
          </w:p>
        </w:tc>
      </w:tr>
      <w:tr>
        <w:trPr/>
        <w:tc>
          <w:tcPr>
            <w:tcW w:w="67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pPr>
            <w:r>
              <w:rPr>
                <w:b/>
                <w:bCs/>
                <w:i/>
                <w:iCs/>
                <w:sz w:val="18"/>
                <w:szCs w:val="18"/>
              </w:rPr>
              <w:t>3</w:t>
            </w:r>
          </w:p>
        </w:tc>
        <w:tc>
          <w:tcPr>
            <w:tcW w:w="466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pPr>
            <w:r>
              <w:rPr>
                <w:b/>
                <w:bCs/>
                <w:i/>
                <w:iCs/>
                <w:sz w:val="18"/>
                <w:szCs w:val="18"/>
              </w:rPr>
              <w:t>Рентабельность по EBITDA (EBITDA margin), %</w:t>
            </w:r>
          </w:p>
        </w:tc>
        <w:tc>
          <w:tcPr>
            <w:tcW w:w="1750" w:type="dxa"/>
            <w:tcBorders>
              <w:top w:val="single" w:sz="6" w:space="0" w:color="000000"/>
              <w:left w:val="single" w:sz="6" w:space="0" w:color="000000"/>
              <w:bottom w:val="single" w:sz="6" w:space="0" w:color="000000"/>
              <w:right w:val="single" w:sz="6" w:space="0" w:color="000000"/>
            </w:tcBorders>
          </w:tcPr>
          <w:p>
            <w:pPr>
              <w:pStyle w:val="Normal"/>
              <w:widowControl w:val="false"/>
              <w:bidi w:val="0"/>
              <w:spacing w:before="23" w:after="40"/>
              <w:ind w:left="0" w:right="0" w:hanging="0"/>
              <w:contextualSpacing/>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5.88</w:t>
            </w:r>
          </w:p>
        </w:tc>
        <w:tc>
          <w:tcPr>
            <w:tcW w:w="1715" w:type="dxa"/>
            <w:tcBorders>
              <w:top w:val="single" w:sz="6" w:space="0" w:color="000000"/>
              <w:left w:val="single" w:sz="6" w:space="0" w:color="000000"/>
              <w:bottom w:val="single" w:sz="6" w:space="0" w:color="000000"/>
              <w:right w:val="single" w:sz="6" w:space="0" w:color="000000"/>
            </w:tcBorders>
          </w:tcPr>
          <w:p>
            <w:pPr>
              <w:pStyle w:val="Normal"/>
              <w:widowControl w:val="false"/>
              <w:bidi w:val="0"/>
              <w:spacing w:before="23" w:after="40"/>
              <w:ind w:left="0" w:right="0" w:hanging="0"/>
              <w:contextualSpacing/>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9.97</w:t>
            </w:r>
          </w:p>
        </w:tc>
      </w:tr>
      <w:tr>
        <w:trPr/>
        <w:tc>
          <w:tcPr>
            <w:tcW w:w="67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val="false"/>
              <w:rPr>
                <w:b/>
                <w:bCs/>
                <w:i/>
                <w:i/>
                <w:iCs/>
                <w:sz w:val="18"/>
                <w:szCs w:val="18"/>
              </w:rPr>
            </w:pPr>
            <w:r>
              <w:rPr>
                <w:b/>
                <w:bCs/>
                <w:i/>
                <w:iCs/>
                <w:sz w:val="18"/>
                <w:szCs w:val="18"/>
              </w:rPr>
            </w:r>
          </w:p>
        </w:tc>
        <w:tc>
          <w:tcPr>
            <w:tcW w:w="466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pPr>
            <w:r>
              <w:rPr>
                <w:b/>
                <w:bCs/>
                <w:i/>
                <w:iCs/>
                <w:sz w:val="18"/>
                <w:szCs w:val="18"/>
              </w:rPr>
              <w:t>Рентабельность по OIBDA (OIBDA margin), %</w:t>
            </w:r>
          </w:p>
        </w:tc>
        <w:tc>
          <w:tcPr>
            <w:tcW w:w="1750" w:type="dxa"/>
            <w:tcBorders>
              <w:top w:val="single" w:sz="6" w:space="0" w:color="000000"/>
              <w:left w:val="single" w:sz="6" w:space="0" w:color="000000"/>
              <w:bottom w:val="single" w:sz="6" w:space="0" w:color="000000"/>
              <w:right w:val="single" w:sz="6" w:space="0" w:color="000000"/>
            </w:tcBorders>
          </w:tcPr>
          <w:p>
            <w:pPr>
              <w:pStyle w:val="Normal"/>
              <w:widowControl w:val="false"/>
              <w:bidi w:val="0"/>
              <w:spacing w:before="23" w:after="40"/>
              <w:ind w:left="0" w:right="0" w:hanging="0"/>
              <w:contextualSpacing/>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4.25</w:t>
            </w:r>
          </w:p>
        </w:tc>
        <w:tc>
          <w:tcPr>
            <w:tcW w:w="1715" w:type="dxa"/>
            <w:tcBorders>
              <w:top w:val="single" w:sz="6" w:space="0" w:color="000000"/>
              <w:left w:val="single" w:sz="6" w:space="0" w:color="000000"/>
              <w:bottom w:val="single" w:sz="6" w:space="0" w:color="000000"/>
              <w:right w:val="single" w:sz="6" w:space="0" w:color="000000"/>
            </w:tcBorders>
          </w:tcPr>
          <w:p>
            <w:pPr>
              <w:pStyle w:val="Normal"/>
              <w:widowControl w:val="false"/>
              <w:bidi w:val="0"/>
              <w:spacing w:before="23" w:after="40"/>
              <w:ind w:left="0" w:right="0" w:hanging="0"/>
              <w:contextualSpacing/>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8.95</w:t>
            </w:r>
          </w:p>
        </w:tc>
      </w:tr>
      <w:tr>
        <w:trPr/>
        <w:tc>
          <w:tcPr>
            <w:tcW w:w="67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pPr>
            <w:r>
              <w:rPr>
                <w:b/>
                <w:bCs/>
                <w:i/>
                <w:iCs/>
                <w:sz w:val="18"/>
                <w:szCs w:val="18"/>
              </w:rPr>
              <w:t>4</w:t>
            </w:r>
          </w:p>
        </w:tc>
        <w:tc>
          <w:tcPr>
            <w:tcW w:w="466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pPr>
            <w:r>
              <w:rPr>
                <w:b/>
                <w:bCs/>
                <w:i/>
                <w:iCs/>
                <w:sz w:val="18"/>
                <w:szCs w:val="18"/>
              </w:rPr>
              <w:t>Чистая прибыль (убыток), млн. руб.</w:t>
            </w:r>
          </w:p>
        </w:tc>
        <w:tc>
          <w:tcPr>
            <w:tcW w:w="1750" w:type="dxa"/>
            <w:tcBorders>
              <w:top w:val="single" w:sz="6" w:space="0" w:color="000000"/>
              <w:left w:val="single" w:sz="6" w:space="0" w:color="000000"/>
              <w:bottom w:val="single" w:sz="6" w:space="0" w:color="000000"/>
              <w:right w:val="single" w:sz="6" w:space="0" w:color="000000"/>
            </w:tcBorders>
          </w:tcPr>
          <w:p>
            <w:pPr>
              <w:pStyle w:val="Normal"/>
              <w:widowControl w:val="false"/>
              <w:bidi w:val="0"/>
              <w:spacing w:before="23" w:after="40"/>
              <w:ind w:left="0" w:right="0" w:hanging="0"/>
              <w:contextualSpacing/>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-819</w:t>
            </w:r>
          </w:p>
        </w:tc>
        <w:tc>
          <w:tcPr>
            <w:tcW w:w="1715" w:type="dxa"/>
            <w:tcBorders>
              <w:top w:val="single" w:sz="6" w:space="0" w:color="000000"/>
              <w:left w:val="single" w:sz="6" w:space="0" w:color="000000"/>
              <w:bottom w:val="single" w:sz="6" w:space="0" w:color="000000"/>
              <w:right w:val="single" w:sz="6" w:space="0" w:color="000000"/>
            </w:tcBorders>
          </w:tcPr>
          <w:p>
            <w:pPr>
              <w:pStyle w:val="Normal"/>
              <w:widowControl w:val="false"/>
              <w:bidi w:val="0"/>
              <w:spacing w:before="23" w:after="40"/>
              <w:ind w:left="0" w:right="0" w:hanging="0"/>
              <w:contextualSpacing/>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-30</w:t>
            </w:r>
          </w:p>
        </w:tc>
      </w:tr>
      <w:tr>
        <w:trPr/>
        <w:tc>
          <w:tcPr>
            <w:tcW w:w="67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pPr>
            <w:r>
              <w:rPr>
                <w:b/>
                <w:bCs/>
                <w:i/>
                <w:iCs/>
                <w:sz w:val="18"/>
                <w:szCs w:val="18"/>
              </w:rPr>
              <w:t>5</w:t>
            </w:r>
          </w:p>
        </w:tc>
        <w:tc>
          <w:tcPr>
            <w:tcW w:w="466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pPr>
            <w:r>
              <w:rPr>
                <w:b/>
                <w:bCs/>
                <w:i/>
                <w:iCs/>
                <w:sz w:val="18"/>
                <w:szCs w:val="18"/>
              </w:rPr>
              <w:t>Чистые денежные средства, полученные от операционной деятельности, млн. руб.</w:t>
            </w:r>
          </w:p>
        </w:tc>
        <w:tc>
          <w:tcPr>
            <w:tcW w:w="1750" w:type="dxa"/>
            <w:tcBorders>
              <w:top w:val="single" w:sz="6" w:space="0" w:color="000000"/>
              <w:left w:val="single" w:sz="6" w:space="0" w:color="000000"/>
              <w:bottom w:val="single" w:sz="6" w:space="0" w:color="000000"/>
              <w:right w:val="single" w:sz="6" w:space="0" w:color="000000"/>
            </w:tcBorders>
          </w:tcPr>
          <w:p>
            <w:pPr>
              <w:pStyle w:val="Normal"/>
              <w:widowControl w:val="false"/>
              <w:bidi w:val="0"/>
              <w:spacing w:before="23" w:after="40"/>
              <w:ind w:left="0" w:right="0" w:hanging="0"/>
              <w:contextualSpacing/>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5 831</w:t>
            </w:r>
          </w:p>
        </w:tc>
        <w:tc>
          <w:tcPr>
            <w:tcW w:w="1715" w:type="dxa"/>
            <w:tcBorders>
              <w:top w:val="single" w:sz="6" w:space="0" w:color="000000"/>
              <w:left w:val="single" w:sz="6" w:space="0" w:color="000000"/>
              <w:bottom w:val="single" w:sz="6" w:space="0" w:color="000000"/>
              <w:right w:val="single" w:sz="6" w:space="0" w:color="000000"/>
            </w:tcBorders>
          </w:tcPr>
          <w:p>
            <w:pPr>
              <w:pStyle w:val="Normal"/>
              <w:widowControl w:val="false"/>
              <w:bidi w:val="0"/>
              <w:spacing w:before="23" w:after="40"/>
              <w:ind w:left="0" w:right="0" w:hanging="0"/>
              <w:contextualSpacing/>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7 322</w:t>
            </w:r>
          </w:p>
        </w:tc>
      </w:tr>
      <w:tr>
        <w:trPr/>
        <w:tc>
          <w:tcPr>
            <w:tcW w:w="67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pPr>
            <w:r>
              <w:rPr>
                <w:b/>
                <w:bCs/>
                <w:i/>
                <w:iCs/>
                <w:sz w:val="18"/>
                <w:szCs w:val="18"/>
              </w:rPr>
              <w:t>6</w:t>
            </w:r>
          </w:p>
        </w:tc>
        <w:tc>
          <w:tcPr>
            <w:tcW w:w="466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pPr>
            <w:r>
              <w:rPr>
                <w:b/>
                <w:bCs/>
                <w:i/>
                <w:iCs/>
                <w:sz w:val="18"/>
                <w:szCs w:val="18"/>
              </w:rPr>
              <w:t>Расходы на приобретение основных средств и нематериальных активов (капитальные затраты), млн. руб.</w:t>
            </w:r>
          </w:p>
        </w:tc>
        <w:tc>
          <w:tcPr>
            <w:tcW w:w="1750" w:type="dxa"/>
            <w:tcBorders>
              <w:top w:val="single" w:sz="6" w:space="0" w:color="000000"/>
              <w:left w:val="single" w:sz="6" w:space="0" w:color="000000"/>
              <w:bottom w:val="single" w:sz="6" w:space="0" w:color="000000"/>
              <w:right w:val="single" w:sz="6" w:space="0" w:color="000000"/>
            </w:tcBorders>
          </w:tcPr>
          <w:p>
            <w:pPr>
              <w:pStyle w:val="Normal"/>
              <w:widowControl w:val="false"/>
              <w:bidi w:val="0"/>
              <w:spacing w:before="23" w:after="40"/>
              <w:ind w:left="0" w:right="0" w:hanging="0"/>
              <w:contextualSpacing/>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-5 308</w:t>
            </w:r>
          </w:p>
        </w:tc>
        <w:tc>
          <w:tcPr>
            <w:tcW w:w="1715" w:type="dxa"/>
            <w:tcBorders>
              <w:top w:val="single" w:sz="6" w:space="0" w:color="000000"/>
              <w:left w:val="single" w:sz="6" w:space="0" w:color="000000"/>
              <w:bottom w:val="single" w:sz="6" w:space="0" w:color="000000"/>
              <w:right w:val="single" w:sz="6" w:space="0" w:color="000000"/>
            </w:tcBorders>
          </w:tcPr>
          <w:p>
            <w:pPr>
              <w:pStyle w:val="Normal"/>
              <w:widowControl w:val="false"/>
              <w:bidi w:val="0"/>
              <w:spacing w:before="23" w:after="40"/>
              <w:ind w:left="0" w:right="0" w:hanging="0"/>
              <w:contextualSpacing/>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-5 020</w:t>
            </w:r>
          </w:p>
        </w:tc>
      </w:tr>
      <w:tr>
        <w:trPr/>
        <w:tc>
          <w:tcPr>
            <w:tcW w:w="67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pPr>
            <w:r>
              <w:rPr>
                <w:b/>
                <w:bCs/>
                <w:i/>
                <w:iCs/>
                <w:sz w:val="18"/>
                <w:szCs w:val="18"/>
              </w:rPr>
              <w:t>7</w:t>
            </w:r>
          </w:p>
        </w:tc>
        <w:tc>
          <w:tcPr>
            <w:tcW w:w="466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pPr>
            <w:r>
              <w:rPr>
                <w:b/>
                <w:bCs/>
                <w:i/>
                <w:iCs/>
                <w:sz w:val="18"/>
                <w:szCs w:val="18"/>
              </w:rPr>
              <w:t>Свободный денежный поток, млн. руб.</w:t>
            </w:r>
          </w:p>
        </w:tc>
        <w:tc>
          <w:tcPr>
            <w:tcW w:w="1750" w:type="dxa"/>
            <w:tcBorders>
              <w:top w:val="single" w:sz="6" w:space="0" w:color="000000"/>
              <w:left w:val="single" w:sz="6" w:space="0" w:color="000000"/>
              <w:bottom w:val="single" w:sz="6" w:space="0" w:color="000000"/>
              <w:right w:val="single" w:sz="6" w:space="0" w:color="000000"/>
            </w:tcBorders>
          </w:tcPr>
          <w:p>
            <w:pPr>
              <w:pStyle w:val="Normal"/>
              <w:widowControl w:val="false"/>
              <w:bidi w:val="0"/>
              <w:spacing w:before="23" w:after="40"/>
              <w:ind w:left="0" w:right="0" w:hanging="0"/>
              <w:contextualSpacing/>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523</w:t>
            </w:r>
          </w:p>
        </w:tc>
        <w:tc>
          <w:tcPr>
            <w:tcW w:w="1715" w:type="dxa"/>
            <w:tcBorders>
              <w:top w:val="single" w:sz="6" w:space="0" w:color="000000"/>
              <w:left w:val="single" w:sz="6" w:space="0" w:color="000000"/>
              <w:bottom w:val="single" w:sz="6" w:space="0" w:color="000000"/>
              <w:right w:val="single" w:sz="6" w:space="0" w:color="000000"/>
            </w:tcBorders>
          </w:tcPr>
          <w:p>
            <w:pPr>
              <w:pStyle w:val="Normal"/>
              <w:widowControl w:val="false"/>
              <w:bidi w:val="0"/>
              <w:spacing w:before="23" w:after="40"/>
              <w:ind w:left="0" w:right="0" w:hanging="0"/>
              <w:contextualSpacing/>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2 302</w:t>
            </w:r>
          </w:p>
        </w:tc>
      </w:tr>
      <w:tr>
        <w:trPr/>
        <w:tc>
          <w:tcPr>
            <w:tcW w:w="67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pPr>
            <w:r>
              <w:rPr>
                <w:b/>
                <w:bCs/>
                <w:i/>
                <w:iCs/>
                <w:sz w:val="18"/>
                <w:szCs w:val="18"/>
              </w:rPr>
              <w:t>8</w:t>
            </w:r>
          </w:p>
        </w:tc>
        <w:tc>
          <w:tcPr>
            <w:tcW w:w="466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pPr>
            <w:r>
              <w:rPr>
                <w:b/>
                <w:bCs/>
                <w:i/>
                <w:iCs/>
                <w:sz w:val="18"/>
                <w:szCs w:val="18"/>
              </w:rPr>
              <w:t>Чистый долг, млн. руб.</w:t>
            </w:r>
          </w:p>
        </w:tc>
        <w:tc>
          <w:tcPr>
            <w:tcW w:w="1750" w:type="dxa"/>
            <w:tcBorders>
              <w:top w:val="single" w:sz="6" w:space="0" w:color="000000"/>
              <w:left w:val="single" w:sz="6" w:space="0" w:color="000000"/>
              <w:bottom w:val="single" w:sz="6" w:space="0" w:color="000000"/>
              <w:right w:val="single" w:sz="6" w:space="0" w:color="000000"/>
            </w:tcBorders>
          </w:tcPr>
          <w:p>
            <w:pPr>
              <w:pStyle w:val="Normal"/>
              <w:widowControl w:val="false"/>
              <w:bidi w:val="0"/>
              <w:spacing w:before="23" w:after="40"/>
              <w:ind w:left="0" w:right="0" w:hanging="0"/>
              <w:contextualSpacing/>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15 411</w:t>
            </w:r>
          </w:p>
        </w:tc>
        <w:tc>
          <w:tcPr>
            <w:tcW w:w="1715" w:type="dxa"/>
            <w:tcBorders>
              <w:top w:val="single" w:sz="6" w:space="0" w:color="000000"/>
              <w:left w:val="single" w:sz="6" w:space="0" w:color="000000"/>
              <w:bottom w:val="single" w:sz="6" w:space="0" w:color="000000"/>
              <w:right w:val="single" w:sz="6" w:space="0" w:color="000000"/>
            </w:tcBorders>
          </w:tcPr>
          <w:p>
            <w:pPr>
              <w:pStyle w:val="Normal"/>
              <w:widowControl w:val="false"/>
              <w:bidi w:val="0"/>
              <w:spacing w:before="23" w:after="40"/>
              <w:ind w:left="0" w:right="0" w:hanging="0"/>
              <w:contextualSpacing/>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18 824</w:t>
            </w:r>
          </w:p>
        </w:tc>
      </w:tr>
      <w:tr>
        <w:trPr/>
        <w:tc>
          <w:tcPr>
            <w:tcW w:w="67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pPr>
            <w:r>
              <w:rPr>
                <w:b/>
                <w:bCs/>
                <w:i/>
                <w:iCs/>
                <w:sz w:val="18"/>
                <w:szCs w:val="18"/>
              </w:rPr>
              <w:t>9</w:t>
            </w:r>
          </w:p>
        </w:tc>
        <w:tc>
          <w:tcPr>
            <w:tcW w:w="466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pPr>
            <w:r>
              <w:rPr>
                <w:b/>
                <w:bCs/>
                <w:i/>
                <w:iCs/>
                <w:sz w:val="18"/>
                <w:szCs w:val="18"/>
              </w:rPr>
              <w:t>Отношение чистого долга к EBITDA за последние 12 месяцев</w:t>
            </w:r>
          </w:p>
        </w:tc>
        <w:tc>
          <w:tcPr>
            <w:tcW w:w="1750" w:type="dxa"/>
            <w:tcBorders>
              <w:top w:val="single" w:sz="6" w:space="0" w:color="000000"/>
              <w:left w:val="single" w:sz="6" w:space="0" w:color="000000"/>
              <w:bottom w:val="single" w:sz="6" w:space="0" w:color="000000"/>
              <w:right w:val="single" w:sz="6" w:space="0" w:color="000000"/>
            </w:tcBorders>
          </w:tcPr>
          <w:p>
            <w:pPr>
              <w:pStyle w:val="Normal"/>
              <w:widowControl w:val="false"/>
              <w:bidi w:val="0"/>
              <w:spacing w:before="23" w:after="40"/>
              <w:ind w:left="0" w:right="0" w:hanging="0"/>
              <w:contextualSpacing/>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5.55</w:t>
            </w:r>
          </w:p>
        </w:tc>
        <w:tc>
          <w:tcPr>
            <w:tcW w:w="1715" w:type="dxa"/>
            <w:tcBorders>
              <w:top w:val="single" w:sz="6" w:space="0" w:color="000000"/>
              <w:left w:val="single" w:sz="6" w:space="0" w:color="000000"/>
              <w:bottom w:val="single" w:sz="6" w:space="0" w:color="000000"/>
              <w:right w:val="single" w:sz="6" w:space="0" w:color="000000"/>
            </w:tcBorders>
          </w:tcPr>
          <w:p>
            <w:pPr>
              <w:pStyle w:val="Normal"/>
              <w:widowControl w:val="false"/>
              <w:bidi w:val="0"/>
              <w:spacing w:before="23" w:after="40"/>
              <w:ind w:left="0" w:right="0" w:hanging="0"/>
              <w:contextualSpacing/>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3.67</w:t>
            </w:r>
          </w:p>
        </w:tc>
      </w:tr>
      <w:tr>
        <w:trPr/>
        <w:tc>
          <w:tcPr>
            <w:tcW w:w="67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val="false"/>
              <w:rPr>
                <w:b/>
                <w:bCs/>
                <w:i/>
                <w:i/>
                <w:iCs/>
                <w:sz w:val="18"/>
                <w:szCs w:val="18"/>
              </w:rPr>
            </w:pPr>
            <w:r>
              <w:rPr>
                <w:b/>
                <w:bCs/>
                <w:i/>
                <w:iCs/>
                <w:sz w:val="18"/>
                <w:szCs w:val="18"/>
              </w:rPr>
            </w:r>
          </w:p>
        </w:tc>
        <w:tc>
          <w:tcPr>
            <w:tcW w:w="466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pPr>
            <w:r>
              <w:rPr>
                <w:b/>
                <w:bCs/>
                <w:i/>
                <w:iCs/>
                <w:sz w:val="18"/>
                <w:szCs w:val="18"/>
              </w:rPr>
              <w:t>Отношение чистого долга к OIBDA за последние 12 месяцев</w:t>
            </w:r>
          </w:p>
        </w:tc>
        <w:tc>
          <w:tcPr>
            <w:tcW w:w="1750" w:type="dxa"/>
            <w:tcBorders>
              <w:top w:val="single" w:sz="6" w:space="0" w:color="000000"/>
              <w:left w:val="single" w:sz="6" w:space="0" w:color="000000"/>
              <w:bottom w:val="single" w:sz="6" w:space="0" w:color="000000"/>
              <w:right w:val="single" w:sz="6" w:space="0" w:color="000000"/>
            </w:tcBorders>
          </w:tcPr>
          <w:p>
            <w:pPr>
              <w:pStyle w:val="Normal"/>
              <w:widowControl w:val="false"/>
              <w:bidi w:val="0"/>
              <w:spacing w:before="23" w:after="40"/>
              <w:ind w:left="0" w:right="0" w:hanging="0"/>
              <w:contextualSpacing/>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7.69</w:t>
            </w:r>
          </w:p>
        </w:tc>
        <w:tc>
          <w:tcPr>
            <w:tcW w:w="1715" w:type="dxa"/>
            <w:tcBorders>
              <w:top w:val="single" w:sz="6" w:space="0" w:color="000000"/>
              <w:left w:val="single" w:sz="6" w:space="0" w:color="000000"/>
              <w:bottom w:val="single" w:sz="6" w:space="0" w:color="000000"/>
              <w:right w:val="single" w:sz="6" w:space="0" w:color="000000"/>
            </w:tcBorders>
          </w:tcPr>
          <w:p>
            <w:pPr>
              <w:pStyle w:val="Normal"/>
              <w:widowControl w:val="false"/>
              <w:bidi w:val="0"/>
              <w:spacing w:before="23" w:after="40"/>
              <w:ind w:left="0" w:right="0" w:hanging="0"/>
              <w:contextualSpacing/>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4.08</w:t>
            </w:r>
          </w:p>
        </w:tc>
      </w:tr>
      <w:tr>
        <w:trPr/>
        <w:tc>
          <w:tcPr>
            <w:tcW w:w="67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pPr>
            <w:r>
              <w:rPr>
                <w:b/>
                <w:bCs/>
                <w:i/>
                <w:iCs/>
                <w:sz w:val="18"/>
                <w:szCs w:val="18"/>
              </w:rPr>
              <w:t>10</w:t>
            </w:r>
          </w:p>
        </w:tc>
        <w:tc>
          <w:tcPr>
            <w:tcW w:w="466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pPr>
            <w:r>
              <w:rPr>
                <w:b/>
                <w:bCs/>
                <w:i/>
                <w:iCs/>
                <w:sz w:val="18"/>
                <w:szCs w:val="18"/>
              </w:rPr>
              <w:t>Рентабельность капитала (ROE), %</w:t>
            </w:r>
          </w:p>
        </w:tc>
        <w:tc>
          <w:tcPr>
            <w:tcW w:w="1750"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-5.49</w:t>
            </w:r>
          </w:p>
        </w:tc>
        <w:tc>
          <w:tcPr>
            <w:tcW w:w="1715"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bidi w:val="0"/>
              <w:spacing w:before="23" w:after="40"/>
              <w:ind w:left="0" w:right="0" w:hanging="0"/>
              <w:contextualSpacing/>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-0.21</w:t>
            </w:r>
          </w:p>
        </w:tc>
      </w:tr>
    </w:tbl>
    <w:p>
      <w:pPr>
        <w:pStyle w:val="Normal"/>
        <w:rPr>
          <w:b/>
          <w:bCs/>
        </w:rPr>
      </w:pPr>
      <w:r>
        <w:rPr>
          <w:b/>
          <w:bCs/>
        </w:rPr>
      </w:r>
    </w:p>
    <w:p>
      <w:pPr>
        <w:pStyle w:val="Normal"/>
        <w:jc w:val="both"/>
        <w:rPr>
          <w:b w:val="false"/>
          <w:bCs w:val="false"/>
          <w:i w:val="false"/>
          <w:i w:val="false"/>
          <w:iCs w:val="false"/>
        </w:rPr>
      </w:pPr>
      <w:r>
        <w:rPr>
          <w:b w:val="false"/>
          <w:bCs w:val="false"/>
          <w:i w:val="false"/>
          <w:iCs w:val="false"/>
        </w:rPr>
        <w:t>Статьи консолидированной финансовой отчетности (финансовой отчетности), на основе которых рассчитан показатель «Чистый долг»:</w:t>
      </w:r>
    </w:p>
    <w:p>
      <w:pPr>
        <w:pStyle w:val="Normal"/>
        <w:widowControl w:val="false"/>
        <w:suppressAutoHyphens w:val="true"/>
        <w:bidi w:val="0"/>
        <w:spacing w:before="23" w:after="40"/>
        <w:ind w:left="0" w:right="0" w:hanging="0"/>
        <w:contextualSpacing/>
        <w:jc w:val="left"/>
        <w:rPr/>
      </w:pPr>
      <w:r>
        <w:rPr>
          <w:rStyle w:val="Subst"/>
          <w:rFonts w:eastAsia="0" w:cs="0"/>
          <w:b/>
          <w:bCs/>
          <w:i/>
          <w:iCs/>
          <w:color w:val="000000"/>
          <w:kern w:val="0"/>
          <w:sz w:val="20"/>
          <w:szCs w:val="24"/>
          <w:lang w:val="ru-RU" w:eastAsia="zh-CN" w:bidi="hi-IN"/>
        </w:rPr>
        <w:t>Показатель "Чистый долг" рассчитан как разность между общим долгом и денежными средствами и их эквивалентами.</w:t>
      </w:r>
    </w:p>
    <w:p>
      <w:pPr>
        <w:pStyle w:val="Normal"/>
        <w:jc w:val="both"/>
        <w:rPr>
          <w:b/>
          <w:i/>
          <w:i/>
        </w:rPr>
      </w:pPr>
      <w:r>
        <w:rPr>
          <w:b/>
          <w:i/>
        </w:rPr>
      </w:r>
    </w:p>
    <w:p>
      <w:pPr>
        <w:pStyle w:val="Normal"/>
        <w:jc w:val="both"/>
        <w:rPr/>
      </w:pPr>
      <w:r>
        <w:rPr>
          <w:b w:val="false"/>
          <w:bCs w:val="false"/>
          <w:i w:val="false"/>
          <w:iCs w:val="false"/>
        </w:rPr>
        <w:t>Статьи консолидированной финансовой (финансовой) отчётности, на основе которых рассчитан показатель    EBITDA или OIBDA</w:t>
      </w:r>
      <w:r>
        <w:rPr>
          <w:b/>
          <w:i/>
        </w:rPr>
        <w:t>:</w:t>
      </w:r>
    </w:p>
    <w:p>
      <w:pPr>
        <w:pStyle w:val="Normal"/>
        <w:jc w:val="both"/>
        <w:rPr/>
      </w:pPr>
      <w:r>
        <w:rPr>
          <w:rStyle w:val="Subst"/>
          <w:sz w:val="20"/>
          <w:szCs w:val="20"/>
        </w:rPr>
        <w:t>Показатель "EBITDA" рассчитан как сумма прибыли (убытка) до налогообложения, расходов по выплате процентов, износа основных средств и амортизацию нематериальных активов.</w:t>
      </w:r>
    </w:p>
    <w:p>
      <w:pPr>
        <w:pStyle w:val="2"/>
        <w:spacing w:before="240" w:after="40"/>
        <w:contextualSpacing/>
        <w:jc w:val="both"/>
        <w:rPr>
          <w:rFonts w:ascii="Times New Roman" w:hAnsi="Times New Roman" w:eastAsia="0" w:cs="0"/>
          <w:b/>
          <w:bCs/>
          <w:color w:val="000000"/>
          <w:kern w:val="0"/>
          <w:sz w:val="24"/>
          <w:szCs w:val="24"/>
          <w:lang w:val="ru-RU" w:eastAsia="zh-CN" w:bidi="hi-IN"/>
        </w:rPr>
      </w:pPr>
      <w:r>
        <w:rPr>
          <w:rFonts w:eastAsia="0" w:cs="0"/>
          <w:b/>
          <w:bCs/>
          <w:color w:val="000000"/>
          <w:kern w:val="0"/>
          <w:sz w:val="24"/>
          <w:szCs w:val="24"/>
          <w:lang w:val="ru-RU" w:eastAsia="zh-CN" w:bidi="hi-IN"/>
        </w:rPr>
        <w:t>1.4.2. Финансовые показатели, рассчитываемые на основе бухгалтерской (финансовой) отчетности:</w:t>
      </w:r>
    </w:p>
    <w:p>
      <w:pPr>
        <w:pStyle w:val="Normal"/>
        <w:spacing w:before="20" w:after="40"/>
        <w:contextualSpacing/>
        <w:jc w:val="both"/>
        <w:rPr>
          <w:i/>
          <w:i/>
          <w:iCs/>
        </w:rPr>
      </w:pPr>
      <w:r>
        <w:rPr>
          <w:rFonts w:eastAsia="0" w:cs="0"/>
          <w:b/>
          <w:bCs/>
          <w:i/>
          <w:iCs/>
          <w:color w:val="000000"/>
          <w:kern w:val="0"/>
          <w:sz w:val="20"/>
          <w:szCs w:val="24"/>
          <w:lang w:val="ru-RU" w:eastAsia="zh-CN" w:bidi="hi-IN"/>
        </w:rPr>
        <w:t>Э</w:t>
      </w:r>
      <w:r>
        <w:rPr>
          <w:b/>
          <w:bCs/>
          <w:i/>
          <w:iCs/>
        </w:rPr>
        <w:t>митент, составляет и раскрывает консолидированную финансовую отчетность (финансовую отчетность).</w:t>
      </w:r>
    </w:p>
    <w:p>
      <w:pPr>
        <w:pStyle w:val="2"/>
        <w:spacing w:before="240" w:after="40"/>
        <w:contextualSpacing/>
        <w:jc w:val="both"/>
        <w:rPr/>
      </w:pPr>
      <w:r>
        <w:rPr>
          <w:rFonts w:eastAsia="0" w:cs="0"/>
          <w:color w:val="000000"/>
          <w:lang w:bidi="hi-IN"/>
        </w:rPr>
        <w:t>1.4.3. Финансовые показатели кредитной организации:</w:t>
      </w:r>
    </w:p>
    <w:p>
      <w:pPr>
        <w:pStyle w:val="Normal"/>
        <w:spacing w:before="20" w:after="40"/>
        <w:contextualSpacing/>
        <w:jc w:val="both"/>
        <w:rPr>
          <w:i/>
          <w:i/>
          <w:iCs/>
        </w:rPr>
      </w:pPr>
      <w:r>
        <w:rPr>
          <w:b/>
          <w:bCs/>
          <w:i/>
          <w:iCs/>
        </w:rPr>
        <w:t>Эмитент не является кредитной организацией.</w:t>
      </w:r>
    </w:p>
    <w:p>
      <w:pPr>
        <w:pStyle w:val="2"/>
        <w:spacing w:before="240" w:after="40"/>
        <w:contextualSpacing/>
        <w:jc w:val="both"/>
        <w:rPr/>
      </w:pPr>
      <w:r>
        <w:rPr>
          <w:rFonts w:eastAsia="0" w:cs="0"/>
          <w:color w:val="000000"/>
          <w:lang w:bidi="hi-IN"/>
        </w:rPr>
        <w:t>1.4.4. Иные финансовые показатели:</w:t>
      </w:r>
    </w:p>
    <w:p>
      <w:pPr>
        <w:pStyle w:val="ThinDelim"/>
        <w:rPr/>
      </w:pPr>
      <w:r>
        <w:rPr/>
      </w:r>
    </w:p>
    <w:tbl>
      <w:tblPr>
        <w:tblW w:w="9206" w:type="dxa"/>
        <w:jc w:val="left"/>
        <w:tblInd w:w="45" w:type="dxa"/>
        <w:tblLayout w:type="fixed"/>
        <w:tblCellMar>
          <w:top w:w="0" w:type="dxa"/>
          <w:left w:w="72" w:type="dxa"/>
          <w:bottom w:w="0" w:type="dxa"/>
          <w:right w:w="72" w:type="dxa"/>
        </w:tblCellMar>
        <w:tblLook w:noVBand="1" w:val="04a0" w:noHBand="0" w:lastColumn="0" w:firstColumn="1" w:lastRow="0" w:firstRow="1"/>
      </w:tblPr>
      <w:tblGrid>
        <w:gridCol w:w="3478"/>
        <w:gridCol w:w="2249"/>
        <w:gridCol w:w="1810"/>
        <w:gridCol w:w="1668"/>
      </w:tblGrid>
      <w:tr>
        <w:trPr/>
        <w:tc>
          <w:tcPr>
            <w:tcW w:w="3478"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jc w:val="center"/>
              <w:rPr/>
            </w:pPr>
            <w:r>
              <w:rPr>
                <w:b/>
                <w:bCs/>
                <w:i/>
                <w:iCs/>
                <w:sz w:val="18"/>
                <w:szCs w:val="18"/>
              </w:rPr>
              <w:t>Наименование показателя</w:t>
            </w:r>
          </w:p>
        </w:tc>
        <w:tc>
          <w:tcPr>
            <w:tcW w:w="224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jc w:val="center"/>
              <w:rPr/>
            </w:pPr>
            <w:r>
              <w:rPr>
                <w:b/>
                <w:bCs/>
                <w:i/>
                <w:iCs/>
                <w:sz w:val="18"/>
                <w:szCs w:val="18"/>
              </w:rPr>
              <w:t>Единица измерения</w:t>
            </w:r>
          </w:p>
        </w:tc>
        <w:tc>
          <w:tcPr>
            <w:tcW w:w="181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jc w:val="center"/>
              <w:rPr/>
            </w:pPr>
            <w:r>
              <w:rPr>
                <w:b/>
                <w:bCs/>
                <w:i/>
                <w:iCs/>
                <w:sz w:val="18"/>
                <w:szCs w:val="18"/>
              </w:rPr>
              <w:t>2024, 12 мес.</w:t>
            </w:r>
          </w:p>
        </w:tc>
        <w:tc>
          <w:tcPr>
            <w:tcW w:w="1668"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jc w:val="center"/>
              <w:rPr/>
            </w:pPr>
            <w:r>
              <w:rPr>
                <w:b/>
                <w:bCs/>
                <w:i/>
                <w:iCs/>
                <w:sz w:val="18"/>
                <w:szCs w:val="18"/>
              </w:rPr>
              <w:t>2025, 12 мес.</w:t>
            </w:r>
          </w:p>
        </w:tc>
      </w:tr>
      <w:tr>
        <w:trPr/>
        <w:tc>
          <w:tcPr>
            <w:tcW w:w="3478"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pPr>
            <w:r>
              <w:rPr>
                <w:b/>
                <w:bCs/>
                <w:i/>
                <w:iCs/>
                <w:sz w:val="18"/>
                <w:szCs w:val="18"/>
              </w:rPr>
              <w:t>Среднегодовой размер собственного капитала</w:t>
            </w:r>
          </w:p>
        </w:tc>
        <w:tc>
          <w:tcPr>
            <w:tcW w:w="224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pPr>
            <w:r>
              <w:rPr>
                <w:b/>
                <w:bCs/>
                <w:i/>
                <w:iCs/>
                <w:sz w:val="18"/>
                <w:szCs w:val="18"/>
              </w:rPr>
              <w:t>млн. руб.</w:t>
            </w:r>
          </w:p>
        </w:tc>
        <w:tc>
          <w:tcPr>
            <w:tcW w:w="181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3" w:after="40"/>
              <w:contextualSpacing/>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14 925</w:t>
            </w:r>
          </w:p>
        </w:tc>
        <w:tc>
          <w:tcPr>
            <w:tcW w:w="1668"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3" w:after="40"/>
              <w:contextualSpacing/>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14 541</w:t>
            </w:r>
          </w:p>
        </w:tc>
      </w:tr>
    </w:tbl>
    <w:p>
      <w:pPr>
        <w:pStyle w:val="Normal"/>
        <w:rPr/>
      </w:pPr>
      <w:r>
        <w:rPr/>
      </w:r>
    </w:p>
    <w:p>
      <w:pPr>
        <w:pStyle w:val="Normal"/>
        <w:jc w:val="both"/>
        <w:rPr/>
      </w:pPr>
      <w:r>
        <w:rPr>
          <w:rStyle w:val="Subst"/>
          <w:b w:val="false"/>
          <w:i w:val="false"/>
          <w:iCs w:val="false"/>
          <w:sz w:val="20"/>
          <w:szCs w:val="20"/>
        </w:rPr>
        <w:t>Методика расчета иных финансовых показателей:</w:t>
      </w:r>
    </w:p>
    <w:p>
      <w:pPr>
        <w:pStyle w:val="Normal"/>
        <w:jc w:val="both"/>
        <w:rPr/>
      </w:pPr>
      <w:r>
        <w:rPr>
          <w:rStyle w:val="Subst"/>
          <w:bCs/>
          <w:iCs/>
          <w:sz w:val="20"/>
          <w:szCs w:val="20"/>
          <w:lang w:eastAsia="ru-RU" w:bidi="ar-SA"/>
        </w:rPr>
        <w:t>Среднегодовой размер собственного капитала рассчитывается как среднее арифметическое от размера собственного капитала на начало и конец отчетного периода.</w:t>
      </w:r>
    </w:p>
    <w:p>
      <w:pPr>
        <w:pStyle w:val="2"/>
        <w:spacing w:before="240" w:after="40"/>
        <w:contextualSpacing/>
        <w:jc w:val="both"/>
        <w:rPr>
          <w:rFonts w:eastAsia="0" w:cs="0"/>
          <w:color w:val="000000"/>
          <w:lang w:bidi="hi-IN"/>
        </w:rPr>
      </w:pPr>
      <w:r>
        <w:rPr>
          <w:rFonts w:eastAsia="0" w:cs="0"/>
          <w:color w:val="000000"/>
          <w:lang w:bidi="hi-IN"/>
        </w:rPr>
      </w:r>
    </w:p>
    <w:p>
      <w:pPr>
        <w:pStyle w:val="2"/>
        <w:spacing w:before="240" w:after="40"/>
        <w:contextualSpacing/>
        <w:jc w:val="both"/>
        <w:rPr/>
      </w:pPr>
      <w:r>
        <w:rPr>
          <w:rFonts w:eastAsia="0" w:cs="0"/>
          <w:color w:val="000000"/>
          <w:lang w:bidi="hi-IN"/>
        </w:rPr>
        <w:t>1.4.5. Анализ динамики изменения финансовых показателей, приведенных в подпунктах 1.4.1 - 1.4.4 настоящего пункта</w:t>
      </w:r>
    </w:p>
    <w:p>
      <w:pPr>
        <w:pStyle w:val="Normal"/>
        <w:spacing w:before="0" w:after="0"/>
        <w:contextualSpacing w:val="false"/>
        <w:jc w:val="both"/>
        <w:rPr>
          <w:rFonts w:ascii="Times New Roman" w:hAnsi="Times New Roman"/>
          <w:b/>
          <w:bCs/>
          <w:sz w:val="24"/>
        </w:rPr>
      </w:pPr>
      <w:r>
        <w:rPr>
          <w:rFonts w:ascii="Times New Roman" w:hAnsi="Times New Roman"/>
          <w:b/>
          <w:bCs/>
          <w:sz w:val="24"/>
        </w:rPr>
      </w:r>
    </w:p>
    <w:p>
      <w:pPr>
        <w:pStyle w:val="Normal"/>
        <w:spacing w:before="0" w:after="0"/>
        <w:contextualSpacing w:val="false"/>
        <w:jc w:val="both"/>
        <w:rPr>
          <w:i w:val="false"/>
          <w:i w:val="false"/>
          <w:iCs w:val="false"/>
        </w:rPr>
      </w:pPr>
      <w:r>
        <w:rPr>
          <w:i w:val="false"/>
          <w:iCs w:val="false"/>
          <w:szCs w:val="20"/>
        </w:rPr>
        <w:t>Основные события и факторы, в том числе макроэкономические, произошедшие в отчетном периоде, которые оказали существенное влияние на изменение приведенных финансовых показателей:</w:t>
      </w:r>
    </w:p>
    <w:p>
      <w:pPr>
        <w:pStyle w:val="Normal"/>
        <w:spacing w:before="0" w:after="0"/>
        <w:contextualSpacing w:val="false"/>
        <w:jc w:val="both"/>
        <w:rPr>
          <w:i/>
          <w:i/>
          <w:iCs/>
          <w:szCs w:val="20"/>
        </w:rPr>
      </w:pPr>
      <w:r>
        <w:rPr>
          <w:i/>
          <w:iCs/>
          <w:szCs w:val="20"/>
        </w:rPr>
      </w:r>
    </w:p>
    <w:p>
      <w:pPr>
        <w:pStyle w:val="Normal"/>
        <w:widowControl w:val="false"/>
        <w:suppressAutoHyphens w:val="true"/>
        <w:bidi w:val="0"/>
        <w:spacing w:before="23" w:after="40"/>
        <w:ind w:left="0" w:right="0" w:hanging="57"/>
        <w:contextualSpacing/>
        <w:jc w:val="both"/>
        <w:rPr/>
      </w:pPr>
      <w:r>
        <w:rPr>
          <w:rStyle w:val="Subst"/>
          <w:bCs/>
          <w:iCs/>
          <w:sz w:val="20"/>
          <w:szCs w:val="20"/>
          <w:lang w:val="ru-RU" w:eastAsia="ru-RU" w:bidi="ar-SA"/>
        </w:rPr>
        <w:t>1. Выручка.</w:t>
      </w:r>
    </w:p>
    <w:p>
      <w:pPr>
        <w:pStyle w:val="Normal"/>
        <w:widowControl w:val="false"/>
        <w:suppressAutoHyphens w:val="true"/>
        <w:bidi w:val="0"/>
        <w:spacing w:before="23" w:after="40"/>
        <w:ind w:left="0" w:right="0" w:hanging="57"/>
        <w:contextualSpacing/>
        <w:jc w:val="both"/>
        <w:rPr/>
      </w:pPr>
      <w:r>
        <w:rPr>
          <w:rStyle w:val="Subst"/>
          <w:bCs/>
          <w:iCs/>
          <w:sz w:val="20"/>
          <w:szCs w:val="20"/>
          <w:lang w:val="ru-RU" w:eastAsia="ru-RU" w:bidi="ar-SA"/>
        </w:rPr>
        <w:t>По итогам 12 месяцев 2025 года общая выручка с учетом субсидий группы Эмитента по сравнению с аналогичным периодом прошлого года (АППГ) повысилась на 9.1 % и составила 51 523 млн. руб. Изменения обусловлены повышением объема предоставляемых субсидий.    Рост выручки без учета государственных субсидий составил 1,8 %.</w:t>
      </w:r>
    </w:p>
    <w:p>
      <w:pPr>
        <w:pStyle w:val="Normal"/>
        <w:widowControl w:val="false"/>
        <w:suppressAutoHyphens w:val="true"/>
        <w:bidi w:val="0"/>
        <w:spacing w:before="23" w:after="40"/>
        <w:ind w:left="0" w:right="0" w:hanging="57"/>
        <w:contextualSpacing/>
        <w:jc w:val="both"/>
        <w:rPr/>
      </w:pPr>
      <w:r>
        <w:rPr>
          <w:rStyle w:val="Subst"/>
          <w:bCs/>
          <w:iCs/>
          <w:sz w:val="20"/>
          <w:szCs w:val="20"/>
          <w:lang w:val="ru-RU" w:eastAsia="ru-RU" w:bidi="ar-SA"/>
        </w:rPr>
        <w:t>2. EBITDA.</w:t>
      </w:r>
    </w:p>
    <w:p>
      <w:pPr>
        <w:pStyle w:val="Normal"/>
        <w:widowControl w:val="false"/>
        <w:suppressAutoHyphens w:val="true"/>
        <w:bidi w:val="0"/>
        <w:spacing w:before="23" w:after="40"/>
        <w:ind w:left="0" w:right="0" w:hanging="57"/>
        <w:contextualSpacing/>
        <w:jc w:val="both"/>
        <w:rPr/>
      </w:pPr>
      <w:r>
        <w:rPr>
          <w:rStyle w:val="Subst"/>
          <w:bCs/>
          <w:iCs/>
          <w:sz w:val="20"/>
          <w:szCs w:val="20"/>
          <w:lang w:val="ru-RU" w:eastAsia="ru-RU" w:bidi="ar-SA"/>
        </w:rPr>
        <w:t xml:space="preserve">Показатель EBITDA по сравнению с АППГ увеличился на 2 357 млн. руб. (84,8%) и составил 5 135 млн. руб. </w:t>
      </w:r>
    </w:p>
    <w:p>
      <w:pPr>
        <w:pStyle w:val="Normal"/>
        <w:widowControl w:val="false"/>
        <w:suppressAutoHyphens w:val="true"/>
        <w:bidi w:val="0"/>
        <w:spacing w:before="23" w:after="40"/>
        <w:ind w:left="0" w:right="0" w:hanging="57"/>
        <w:contextualSpacing/>
        <w:jc w:val="both"/>
        <w:rPr/>
      </w:pPr>
      <w:r>
        <w:rPr>
          <w:rStyle w:val="Subst"/>
          <w:bCs/>
          <w:iCs/>
          <w:sz w:val="20"/>
          <w:szCs w:val="20"/>
          <w:lang w:val="ru-RU" w:eastAsia="ru-RU" w:bidi="ar-SA"/>
        </w:rPr>
        <w:t>3. Рентабельность по EBITDA.</w:t>
      </w:r>
    </w:p>
    <w:p>
      <w:pPr>
        <w:pStyle w:val="Normal"/>
        <w:widowControl w:val="false"/>
        <w:suppressAutoHyphens w:val="true"/>
        <w:bidi w:val="0"/>
        <w:spacing w:before="23" w:after="40"/>
        <w:ind w:left="0" w:right="0" w:hanging="57"/>
        <w:contextualSpacing/>
        <w:jc w:val="both"/>
        <w:rPr/>
      </w:pPr>
      <w:r>
        <w:rPr>
          <w:rStyle w:val="Subst"/>
          <w:bCs/>
          <w:iCs/>
          <w:sz w:val="20"/>
          <w:szCs w:val="20"/>
          <w:lang w:val="ru-RU" w:eastAsia="ru-RU" w:bidi="ar-SA"/>
        </w:rPr>
        <w:t>Показатель рентабельность по EBITDA в сравнении АППГ снизился и составил 9,97%. Снижение связано с высоким уровнем базового периода, обусловленного разовыми операциями.</w:t>
      </w:r>
    </w:p>
    <w:p>
      <w:pPr>
        <w:pStyle w:val="Normal"/>
        <w:widowControl w:val="false"/>
        <w:suppressAutoHyphens w:val="true"/>
        <w:bidi w:val="0"/>
        <w:spacing w:before="23" w:after="40"/>
        <w:ind w:left="0" w:right="0" w:hanging="57"/>
        <w:contextualSpacing/>
        <w:jc w:val="both"/>
        <w:rPr/>
      </w:pPr>
      <w:r>
        <w:rPr>
          <w:rStyle w:val="Subst"/>
          <w:bCs/>
          <w:iCs/>
          <w:sz w:val="20"/>
          <w:szCs w:val="20"/>
          <w:lang w:val="ru-RU" w:eastAsia="ru-RU" w:bidi="ar-SA"/>
        </w:rPr>
        <w:t>4. Чистая прибыль.</w:t>
      </w:r>
    </w:p>
    <w:p>
      <w:pPr>
        <w:pStyle w:val="Normal"/>
        <w:widowControl w:val="false"/>
        <w:suppressAutoHyphens w:val="true"/>
        <w:bidi w:val="0"/>
        <w:spacing w:before="23" w:after="40"/>
        <w:ind w:left="0" w:right="0" w:hanging="57"/>
        <w:contextualSpacing/>
        <w:jc w:val="both"/>
        <w:rPr/>
      </w:pPr>
      <w:r>
        <w:rPr>
          <w:rStyle w:val="Subst"/>
          <w:bCs/>
          <w:iCs/>
          <w:sz w:val="20"/>
          <w:szCs w:val="20"/>
          <w:lang w:val="ru-RU" w:eastAsia="ru-RU" w:bidi="ar-SA"/>
        </w:rPr>
        <w:t xml:space="preserve">За 12 месяцев 2025 года убыток    группы Эмитента в сравнении АППГ снизился    на 96.3 % и составил -30 млн. руб. </w:t>
      </w:r>
    </w:p>
    <w:p>
      <w:pPr>
        <w:pStyle w:val="Normal"/>
        <w:widowControl w:val="false"/>
        <w:suppressAutoHyphens w:val="true"/>
        <w:bidi w:val="0"/>
        <w:spacing w:before="23" w:after="40"/>
        <w:ind w:left="0" w:right="0" w:hanging="57"/>
        <w:contextualSpacing/>
        <w:jc w:val="both"/>
        <w:rPr/>
      </w:pPr>
      <w:r>
        <w:rPr>
          <w:rStyle w:val="Subst"/>
          <w:bCs/>
          <w:iCs/>
          <w:sz w:val="20"/>
          <w:szCs w:val="20"/>
          <w:lang w:val="ru-RU" w:eastAsia="ru-RU" w:bidi="ar-SA"/>
        </w:rPr>
        <w:t>5. Чистые денежные средства, полученные от операционной деятельности.</w:t>
      </w:r>
    </w:p>
    <w:p>
      <w:pPr>
        <w:pStyle w:val="Normal"/>
        <w:widowControl w:val="false"/>
        <w:suppressAutoHyphens w:val="true"/>
        <w:bidi w:val="0"/>
        <w:spacing w:before="23" w:after="40"/>
        <w:ind w:left="0" w:right="0" w:hanging="57"/>
        <w:contextualSpacing/>
        <w:jc w:val="both"/>
        <w:rPr/>
      </w:pPr>
      <w:r>
        <w:rPr>
          <w:rStyle w:val="Subst"/>
          <w:bCs/>
          <w:iCs/>
          <w:sz w:val="20"/>
          <w:szCs w:val="20"/>
          <w:lang w:val="ru-RU" w:eastAsia="ru-RU" w:bidi="ar-SA"/>
        </w:rPr>
        <w:t>За 12 месяцев 2025 года размер чистых поступлений денежных средств от операционной деятельности по сравнению АППГ увеличился на 1 491 млн. руб. и составил 7 322 млн. руб.</w:t>
      </w:r>
    </w:p>
    <w:p>
      <w:pPr>
        <w:pStyle w:val="Normal"/>
        <w:widowControl w:val="false"/>
        <w:suppressAutoHyphens w:val="true"/>
        <w:bidi w:val="0"/>
        <w:spacing w:before="23" w:after="40"/>
        <w:ind w:left="0" w:right="0" w:hanging="57"/>
        <w:contextualSpacing/>
        <w:jc w:val="both"/>
        <w:rPr/>
      </w:pPr>
      <w:r>
        <w:rPr>
          <w:rStyle w:val="Subst"/>
          <w:bCs/>
          <w:iCs/>
          <w:sz w:val="20"/>
          <w:szCs w:val="20"/>
          <w:lang w:val="ru-RU" w:eastAsia="ru-RU" w:bidi="ar-SA"/>
        </w:rPr>
        <w:t>6. Капитальные затраты.</w:t>
      </w:r>
    </w:p>
    <w:p>
      <w:pPr>
        <w:pStyle w:val="Normal"/>
        <w:widowControl w:val="false"/>
        <w:suppressAutoHyphens w:val="true"/>
        <w:bidi w:val="0"/>
        <w:spacing w:before="23" w:after="40"/>
        <w:ind w:left="0" w:right="0" w:hanging="57"/>
        <w:contextualSpacing/>
        <w:jc w:val="both"/>
        <w:rPr/>
      </w:pPr>
      <w:r>
        <w:rPr>
          <w:rStyle w:val="Subst"/>
          <w:bCs/>
          <w:iCs/>
          <w:sz w:val="20"/>
          <w:szCs w:val="20"/>
          <w:lang w:val="ru-RU" w:eastAsia="ru-RU" w:bidi="ar-SA"/>
        </w:rPr>
        <w:t xml:space="preserve">Капитальные расходы за 12 месяцев 2025 года по сравнению с АППГ снизились на 5,4 % и составили 5 020 млн. руб. </w:t>
      </w:r>
    </w:p>
    <w:p>
      <w:pPr>
        <w:pStyle w:val="Normal"/>
        <w:widowControl w:val="false"/>
        <w:suppressAutoHyphens w:val="true"/>
        <w:bidi w:val="0"/>
        <w:spacing w:before="23" w:after="40"/>
        <w:ind w:left="0" w:right="0" w:hanging="57"/>
        <w:contextualSpacing/>
        <w:jc w:val="both"/>
        <w:rPr/>
      </w:pPr>
      <w:r>
        <w:rPr>
          <w:rStyle w:val="Subst"/>
          <w:bCs/>
          <w:iCs/>
          <w:sz w:val="20"/>
          <w:szCs w:val="20"/>
          <w:lang w:val="ru-RU" w:eastAsia="ru-RU" w:bidi="ar-SA"/>
        </w:rPr>
        <w:t>7. Свободный денежный поток</w:t>
      </w:r>
    </w:p>
    <w:p>
      <w:pPr>
        <w:pStyle w:val="Normal"/>
        <w:widowControl w:val="false"/>
        <w:suppressAutoHyphens w:val="true"/>
        <w:bidi w:val="0"/>
        <w:spacing w:before="23" w:after="40"/>
        <w:ind w:left="0" w:right="0" w:hanging="57"/>
        <w:contextualSpacing/>
        <w:jc w:val="both"/>
        <w:rPr/>
      </w:pPr>
      <w:r>
        <w:rPr>
          <w:rStyle w:val="Subst"/>
          <w:bCs/>
          <w:iCs/>
          <w:sz w:val="20"/>
          <w:szCs w:val="20"/>
          <w:lang w:val="ru-RU" w:eastAsia="ru-RU" w:bidi="ar-SA"/>
        </w:rPr>
        <w:t>За 12 месяцев 2025 года свободный денежный поток группы Эмитента в сравнении с АППГ увеличился на 1 779 млн. руб. и составил 2 302 млн. руб. Обусловлено как увеличением чистых денежных средств, полученных от операционной деятельности, так и снижением капитальных затрат.</w:t>
      </w:r>
    </w:p>
    <w:p>
      <w:pPr>
        <w:pStyle w:val="Normal"/>
        <w:widowControl w:val="false"/>
        <w:suppressAutoHyphens w:val="true"/>
        <w:bidi w:val="0"/>
        <w:spacing w:before="23" w:after="40"/>
        <w:ind w:left="0" w:right="0" w:hanging="57"/>
        <w:contextualSpacing/>
        <w:jc w:val="both"/>
        <w:rPr/>
      </w:pPr>
      <w:r>
        <w:rPr>
          <w:rStyle w:val="Subst"/>
          <w:bCs/>
          <w:iCs/>
          <w:sz w:val="20"/>
          <w:szCs w:val="20"/>
          <w:lang w:val="ru-RU" w:eastAsia="ru-RU" w:bidi="ar-SA"/>
        </w:rPr>
        <w:t>8. Чистый долг.</w:t>
      </w:r>
    </w:p>
    <w:p>
      <w:pPr>
        <w:pStyle w:val="Normal"/>
        <w:widowControl w:val="false"/>
        <w:suppressAutoHyphens w:val="true"/>
        <w:bidi w:val="0"/>
        <w:spacing w:before="23" w:after="40"/>
        <w:ind w:left="0" w:right="0" w:hanging="57"/>
        <w:contextualSpacing/>
        <w:jc w:val="both"/>
        <w:rPr/>
      </w:pPr>
      <w:r>
        <w:rPr>
          <w:rStyle w:val="Subst"/>
          <w:bCs/>
          <w:iCs/>
          <w:sz w:val="20"/>
          <w:szCs w:val="20"/>
          <w:lang w:val="ru-RU" w:eastAsia="ru-RU" w:bidi="ar-SA"/>
        </w:rPr>
        <w:t>За период с 31.12.2024 по 31.12.2025 чистый долг увеличился на 3 413 млн. руб. (на 22,1%) и составил 18 824 млн. руб, что объясняется увеличением обязательств Группы, главным образом по причине удорожания стоимости топливно-энергетических ресурсов.</w:t>
      </w:r>
    </w:p>
    <w:p>
      <w:pPr>
        <w:pStyle w:val="Normal"/>
        <w:widowControl w:val="false"/>
        <w:suppressAutoHyphens w:val="true"/>
        <w:bidi w:val="0"/>
        <w:spacing w:before="23" w:after="40"/>
        <w:ind w:left="0" w:right="0" w:hanging="57"/>
        <w:contextualSpacing/>
        <w:jc w:val="both"/>
        <w:rPr/>
      </w:pPr>
      <w:r>
        <w:rPr>
          <w:rStyle w:val="Subst"/>
          <w:bCs/>
          <w:iCs/>
          <w:sz w:val="20"/>
          <w:szCs w:val="20"/>
          <w:lang w:val="ru-RU" w:eastAsia="ru-RU" w:bidi="ar-SA"/>
        </w:rPr>
        <w:t>9. Отношение чистого долга к EBITDA</w:t>
      </w:r>
    </w:p>
    <w:p>
      <w:pPr>
        <w:pStyle w:val="Normal"/>
        <w:widowControl w:val="false"/>
        <w:suppressAutoHyphens w:val="true"/>
        <w:bidi w:val="0"/>
        <w:spacing w:before="23" w:after="40"/>
        <w:ind w:left="0" w:right="0" w:hanging="57"/>
        <w:contextualSpacing/>
        <w:jc w:val="both"/>
        <w:rPr/>
      </w:pPr>
      <w:r>
        <w:rPr>
          <w:rStyle w:val="Subst"/>
          <w:bCs/>
          <w:iCs/>
          <w:sz w:val="20"/>
          <w:szCs w:val="20"/>
          <w:lang w:val="ru-RU" w:eastAsia="ru-RU" w:bidi="ar-SA"/>
        </w:rPr>
        <w:t>Одним из ключевых показателей для целей оценки уровня долговой нагрузки является коэффициент долговой нагрузки (отношение показателя Чистого долга к значению EBITDA). Чем ниже значение данного коэффициента, тем сильнее финансовая позиция Эмитента.</w:t>
      </w:r>
    </w:p>
    <w:p>
      <w:pPr>
        <w:pStyle w:val="Normal"/>
        <w:widowControl w:val="false"/>
        <w:suppressAutoHyphens w:val="true"/>
        <w:bidi w:val="0"/>
        <w:spacing w:before="23" w:after="40"/>
        <w:ind w:left="0" w:right="0" w:hanging="57"/>
        <w:contextualSpacing/>
        <w:jc w:val="both"/>
        <w:rPr/>
      </w:pPr>
      <w:r>
        <w:rPr>
          <w:rStyle w:val="Subst"/>
          <w:bCs/>
          <w:iCs/>
          <w:sz w:val="20"/>
          <w:szCs w:val="20"/>
          <w:lang w:val="ru-RU" w:eastAsia="ru-RU" w:bidi="ar-SA"/>
        </w:rPr>
        <w:t xml:space="preserve">За анализируемый период коэффициент долговой нагрузки группы Эмитента составил 3,67 по сравнению с АППГ снижение    на 1,88 пункта. </w:t>
      </w:r>
    </w:p>
    <w:p>
      <w:pPr>
        <w:pStyle w:val="Normal"/>
        <w:widowControl w:val="false"/>
        <w:suppressAutoHyphens w:val="true"/>
        <w:bidi w:val="0"/>
        <w:spacing w:before="23" w:after="40"/>
        <w:ind w:left="0" w:right="0" w:hanging="57"/>
        <w:contextualSpacing/>
        <w:jc w:val="both"/>
        <w:rPr/>
      </w:pPr>
      <w:r>
        <w:rPr>
          <w:rStyle w:val="Subst"/>
          <w:bCs/>
          <w:iCs/>
          <w:sz w:val="20"/>
          <w:szCs w:val="20"/>
          <w:lang w:val="ru-RU" w:eastAsia="ru-RU" w:bidi="ar-SA"/>
        </w:rPr>
        <w:t>10. Рентабельность капитала (ROE).</w:t>
      </w:r>
    </w:p>
    <w:p>
      <w:pPr>
        <w:pStyle w:val="Normal"/>
        <w:widowControl w:val="false"/>
        <w:suppressAutoHyphens w:val="true"/>
        <w:bidi w:val="0"/>
        <w:spacing w:before="23" w:after="40"/>
        <w:ind w:left="0" w:right="0" w:hanging="57"/>
        <w:contextualSpacing/>
        <w:jc w:val="both"/>
        <w:rPr/>
      </w:pPr>
      <w:r>
        <w:rPr>
          <w:rStyle w:val="Subst"/>
          <w:bCs/>
          <w:iCs/>
          <w:sz w:val="20"/>
          <w:szCs w:val="20"/>
          <w:lang w:val="ru-RU" w:eastAsia="ru-RU" w:bidi="ar-SA"/>
        </w:rPr>
        <w:t>Показатель рентабельности капитала (ROE) в сравнении с АППГ увеличился и составил -0,21.</w:t>
      </w:r>
    </w:p>
    <w:p>
      <w:pPr>
        <w:pStyle w:val="Normal"/>
        <w:ind w:left="200" w:hanging="0"/>
        <w:rPr/>
      </w:pPr>
      <w:r>
        <w:rPr/>
      </w:r>
    </w:p>
    <w:p>
      <w:pPr>
        <w:pStyle w:val="2"/>
        <w:spacing w:before="240" w:after="40"/>
        <w:contextualSpacing/>
        <w:jc w:val="both"/>
        <w:rPr/>
      </w:pPr>
      <w:r>
        <w:rPr>
          <w:rFonts w:eastAsia="0" w:cs="0"/>
          <w:color w:val="000000"/>
          <w:lang w:bidi="hi-IN"/>
        </w:rPr>
        <w:t xml:space="preserve">1.5. Сведения об основных поставщиках эмитента . </w:t>
      </w:r>
    </w:p>
    <w:p>
      <w:pPr>
        <w:pStyle w:val="Style14"/>
        <w:spacing w:lineRule="auto" w:line="240" w:before="164" w:after="0"/>
        <w:contextualSpacing/>
        <w:jc w:val="both"/>
        <w:rPr>
          <w:i w:val="false"/>
          <w:i w:val="false"/>
          <w:iCs w:val="false"/>
        </w:rPr>
      </w:pPr>
      <w:r>
        <w:rPr>
          <w:i w:val="false"/>
          <w:iCs w:val="false"/>
          <w:szCs w:val="20"/>
        </w:rPr>
        <w:t xml:space="preserve">Сведения об основных поставщиках группы эмитента, являющихся лицами, не входящими в группу эмитента (далее - внешнегрупповые поставщики), с отдельным указанием объема и (или) доли поставок сырья и товаров (работ, услуг), приходящихся на поставщиков, входящих в группу эмитента, и на внешнегрупповых поставщиков. </w:t>
      </w:r>
    </w:p>
    <w:p>
      <w:pPr>
        <w:pStyle w:val="Normal"/>
        <w:spacing w:before="20" w:after="40"/>
        <w:contextualSpacing/>
        <w:jc w:val="both"/>
        <w:rPr>
          <w:i w:val="false"/>
          <w:i w:val="false"/>
          <w:iCs w:val="false"/>
        </w:rPr>
      </w:pPr>
      <w:r>
        <w:rPr>
          <w:i w:val="false"/>
          <w:iCs w:val="false"/>
        </w:rPr>
      </w:r>
    </w:p>
    <w:p>
      <w:pPr>
        <w:pStyle w:val="Normal"/>
        <w:spacing w:before="20" w:after="40"/>
        <w:contextualSpacing/>
        <w:jc w:val="both"/>
        <w:rPr>
          <w:i w:val="false"/>
          <w:i w:val="false"/>
          <w:iCs w:val="false"/>
        </w:rPr>
      </w:pPr>
      <w:r>
        <w:rPr>
          <w:i w:val="false"/>
          <w:iCs w:val="false"/>
        </w:rPr>
        <w:t>Информация настоящего пункта раскрывается на основе данных консолидированной финансовой отчётности.</w:t>
      </w:r>
    </w:p>
    <w:p>
      <w:pPr>
        <w:pStyle w:val="Normal"/>
        <w:spacing w:before="20" w:after="40"/>
        <w:contextualSpacing/>
        <w:jc w:val="both"/>
        <w:rPr/>
      </w:pPr>
      <w:r>
        <w:rPr/>
      </w:r>
    </w:p>
    <w:p>
      <w:pPr>
        <w:pStyle w:val="Default"/>
        <w:spacing w:before="20" w:after="40"/>
        <w:contextualSpacing/>
        <w:jc w:val="both"/>
        <w:rPr>
          <w:i/>
          <w:i/>
          <w:iCs/>
        </w:rPr>
      </w:pPr>
      <w:r>
        <w:rPr>
          <w:i w:val="false"/>
          <w:iCs w:val="false"/>
          <w:sz w:val="20"/>
        </w:rPr>
        <w:t xml:space="preserve">Доля поставок сырья и товаров (работ, услуг), приходящихся на поставщиков, входящих в группу эмитента, %: </w:t>
      </w:r>
      <w:r>
        <w:rPr>
          <w:b/>
          <w:i/>
          <w:iCs/>
          <w:sz w:val="20"/>
        </w:rPr>
        <w:t xml:space="preserve">0 </w:t>
      </w:r>
    </w:p>
    <w:p>
      <w:pPr>
        <w:pStyle w:val="Default"/>
        <w:spacing w:before="20" w:after="40"/>
        <w:contextualSpacing/>
        <w:jc w:val="both"/>
        <w:rPr>
          <w:i/>
          <w:i/>
          <w:iCs/>
        </w:rPr>
      </w:pPr>
      <w:r>
        <w:rPr>
          <w:i w:val="false"/>
          <w:iCs w:val="false"/>
          <w:sz w:val="20"/>
        </w:rPr>
        <w:t xml:space="preserve">Доля поставок сырья и товаров (работ, услуг), приходящихся на внешнегрупповых поставщиков, %: </w:t>
      </w:r>
      <w:r>
        <w:rPr>
          <w:b/>
          <w:i/>
          <w:iCs/>
          <w:sz w:val="20"/>
        </w:rPr>
        <w:t xml:space="preserve">100 </w:t>
      </w:r>
    </w:p>
    <w:p>
      <w:pPr>
        <w:pStyle w:val="Normal"/>
        <w:spacing w:before="20" w:after="40"/>
        <w:contextualSpacing/>
        <w:jc w:val="both"/>
        <w:rPr/>
      </w:pPr>
      <w:r>
        <w:rPr/>
      </w:r>
    </w:p>
    <w:p>
      <w:pPr>
        <w:pStyle w:val="Normal"/>
        <w:spacing w:before="20" w:after="40"/>
        <w:contextualSpacing/>
        <w:jc w:val="both"/>
        <w:rPr>
          <w:i/>
          <w:i/>
          <w:iCs/>
        </w:rPr>
      </w:pPr>
      <w:r>
        <w:rPr>
          <w:i w:val="false"/>
          <w:iCs w:val="false"/>
        </w:rPr>
        <w:t xml:space="preserve">Определенный эмитентом уровень (количественный критерий) существенности объема и (или) доли поставок основного поставщика: </w:t>
      </w:r>
      <w:r>
        <w:rPr>
          <w:b/>
          <w:i/>
          <w:iCs/>
        </w:rPr>
        <w:t xml:space="preserve">10 процентов от объема поставок сырья и товаров (работ, услуг), осуществленных внешнегрупповыми поставщиками. </w:t>
      </w:r>
    </w:p>
    <w:p>
      <w:pPr>
        <w:pStyle w:val="SubHeading"/>
        <w:spacing w:before="240" w:after="40"/>
        <w:contextualSpacing/>
        <w:jc w:val="both"/>
        <w:rPr>
          <w:i w:val="false"/>
          <w:i w:val="false"/>
          <w:iCs w:val="false"/>
        </w:rPr>
      </w:pPr>
      <w:r>
        <w:rPr>
          <w:i w:val="false"/>
          <w:iCs w:val="false"/>
        </w:rPr>
        <w:t>Сведения о поставщиках, подпадающих под определенный эмитентом уровень существенности:</w:t>
      </w:r>
    </w:p>
    <w:p>
      <w:pPr>
        <w:pStyle w:val="Normal"/>
        <w:spacing w:before="20" w:after="40"/>
        <w:contextualSpacing/>
        <w:jc w:val="both"/>
        <w:rPr>
          <w:i/>
          <w:i/>
          <w:iCs/>
        </w:rPr>
      </w:pPr>
      <w:r>
        <w:rPr>
          <w:i/>
          <w:iCs/>
        </w:rPr>
      </w:r>
    </w:p>
    <w:p>
      <w:pPr>
        <w:pStyle w:val="Normal"/>
        <w:spacing w:before="20" w:after="40"/>
        <w:contextualSpacing/>
        <w:jc w:val="both"/>
        <w:rPr>
          <w:i/>
          <w:i/>
          <w:iCs/>
        </w:rPr>
      </w:pPr>
      <w:r>
        <w:rPr>
          <w:i w:val="false"/>
          <w:iCs w:val="false"/>
        </w:rPr>
        <w:t>Полное фирменное наименование:</w:t>
      </w:r>
      <w:r>
        <w:rPr>
          <w:b/>
          <w:i w:val="false"/>
          <w:iCs w:val="false"/>
        </w:rPr>
        <w:t xml:space="preserve"> </w:t>
      </w:r>
      <w:r>
        <w:rPr>
          <w:b/>
          <w:i/>
          <w:iCs/>
        </w:rPr>
        <w:t>Публичное акционерное общество «Нефтяная компания «Росне</w:t>
      </w:r>
      <w:r>
        <w:rPr>
          <w:b/>
          <w:i/>
          <w:iCs/>
          <w:shd w:fill="auto" w:val="clear"/>
        </w:rPr>
        <w:t>фть»</w:t>
      </w:r>
    </w:p>
    <w:p>
      <w:pPr>
        <w:pStyle w:val="Normal"/>
        <w:spacing w:before="20" w:after="40"/>
        <w:contextualSpacing/>
        <w:jc w:val="both"/>
        <w:rPr>
          <w:highlight w:val="none"/>
          <w:shd w:fill="auto" w:val="clear"/>
        </w:rPr>
      </w:pPr>
      <w:r>
        <w:rPr>
          <w:i w:val="false"/>
          <w:iCs w:val="false"/>
          <w:shd w:fill="auto" w:val="clear"/>
        </w:rPr>
        <w:t>Сокращенное фирменное наименование:</w:t>
      </w:r>
      <w:r>
        <w:rPr>
          <w:b/>
          <w:i/>
          <w:iCs/>
          <w:shd w:fill="auto" w:val="clear"/>
        </w:rPr>
        <w:t xml:space="preserve"> ПАО «НК «Роснефть» </w:t>
      </w:r>
    </w:p>
    <w:p>
      <w:pPr>
        <w:pStyle w:val="Normal"/>
        <w:spacing w:before="20" w:after="40"/>
        <w:contextualSpacing/>
        <w:jc w:val="both"/>
        <w:rPr>
          <w:highlight w:val="none"/>
          <w:shd w:fill="auto" w:val="clear"/>
        </w:rPr>
      </w:pPr>
      <w:r>
        <w:rPr>
          <w:i w:val="false"/>
          <w:iCs w:val="false"/>
          <w:shd w:fill="auto" w:val="clear"/>
        </w:rPr>
        <w:t>ИНН:</w:t>
      </w:r>
      <w:r>
        <w:rPr>
          <w:b/>
          <w:i/>
          <w:iCs/>
          <w:shd w:fill="auto" w:val="clear"/>
        </w:rPr>
        <w:t xml:space="preserve"> 7706107510</w:t>
      </w:r>
    </w:p>
    <w:p>
      <w:pPr>
        <w:pStyle w:val="Normal"/>
        <w:spacing w:before="20" w:after="40"/>
        <w:contextualSpacing/>
        <w:jc w:val="both"/>
        <w:rPr>
          <w:highlight w:val="none"/>
          <w:shd w:fill="auto" w:val="clear"/>
        </w:rPr>
      </w:pPr>
      <w:r>
        <w:rPr>
          <w:i w:val="false"/>
          <w:iCs w:val="false"/>
          <w:shd w:fill="auto" w:val="clear"/>
        </w:rPr>
        <w:t>ОГРН:</w:t>
      </w:r>
      <w:r>
        <w:rPr>
          <w:b/>
          <w:i w:val="false"/>
          <w:iCs w:val="false"/>
          <w:shd w:fill="auto" w:val="clear"/>
        </w:rPr>
        <w:t xml:space="preserve"> </w:t>
      </w:r>
      <w:r>
        <w:rPr>
          <w:b/>
          <w:i/>
          <w:iCs/>
          <w:shd w:fill="auto" w:val="clear"/>
        </w:rPr>
        <w:t>1027700043502</w:t>
      </w:r>
    </w:p>
    <w:p>
      <w:pPr>
        <w:pStyle w:val="Normal"/>
        <w:spacing w:before="20" w:after="40"/>
        <w:contextualSpacing/>
        <w:jc w:val="both"/>
        <w:rPr>
          <w:highlight w:val="none"/>
          <w:shd w:fill="auto" w:val="clear"/>
        </w:rPr>
      </w:pPr>
      <w:r>
        <w:rPr>
          <w:i w:val="false"/>
          <w:iCs w:val="false"/>
          <w:shd w:fill="auto" w:val="clear"/>
        </w:rPr>
        <w:t>Место нахождения:</w:t>
      </w:r>
      <w:r>
        <w:rPr>
          <w:b/>
          <w:i/>
          <w:iCs/>
          <w:shd w:fill="auto" w:val="clear"/>
        </w:rPr>
        <w:t xml:space="preserve"> г. Москва </w:t>
      </w:r>
    </w:p>
    <w:p>
      <w:pPr>
        <w:pStyle w:val="Normal"/>
        <w:spacing w:before="20" w:after="40"/>
        <w:contextualSpacing/>
        <w:jc w:val="both"/>
        <w:rPr>
          <w:highlight w:val="none"/>
          <w:shd w:fill="auto" w:val="clear"/>
        </w:rPr>
      </w:pPr>
      <w:r>
        <w:rPr>
          <w:shd w:fill="auto" w:val="clear"/>
        </w:rPr>
      </w:r>
    </w:p>
    <w:p>
      <w:pPr>
        <w:pStyle w:val="Normal"/>
        <w:spacing w:before="20" w:after="40"/>
        <w:contextualSpacing/>
        <w:jc w:val="both"/>
        <w:rPr>
          <w:highlight w:val="none"/>
          <w:shd w:fill="auto" w:val="clear"/>
        </w:rPr>
      </w:pPr>
      <w:r>
        <w:rPr>
          <w:shd w:fill="auto" w:val="clear"/>
        </w:rPr>
        <w:t>Краткое описание (характеристика) поставленного сырья и товаров (работ, услуг):</w:t>
      </w:r>
      <w:r>
        <w:rPr>
          <w:b/>
          <w:i/>
          <w:shd w:fill="auto" w:val="clear"/>
        </w:rPr>
        <w:t xml:space="preserve"> Мазут топочный М-100, 1,5%, малозольный</w:t>
      </w:r>
    </w:p>
    <w:p>
      <w:pPr>
        <w:pStyle w:val="Normal"/>
        <w:spacing w:before="20" w:after="40"/>
        <w:contextualSpacing/>
        <w:jc w:val="both"/>
        <w:rPr>
          <w:highlight w:val="none"/>
          <w:shd w:fill="auto" w:val="clear"/>
        </w:rPr>
      </w:pPr>
      <w:r>
        <w:rPr>
          <w:shd w:fill="auto" w:val="clear"/>
        </w:rPr>
        <w:t>Доля внешнегруппового поставщика в объеме поставок сырья и товаров (работ, услуг), осуществленных внешнегрупповыми поставщиками, %:</w:t>
      </w:r>
      <w:r>
        <w:rPr>
          <w:b/>
          <w:i/>
          <w:shd w:fill="auto" w:val="clear"/>
        </w:rPr>
        <w:t xml:space="preserve"> 32,3</w:t>
      </w:r>
    </w:p>
    <w:p>
      <w:pPr>
        <w:pStyle w:val="Normal"/>
        <w:spacing w:before="20" w:after="40"/>
        <w:contextualSpacing/>
        <w:jc w:val="both"/>
        <w:rPr>
          <w:highlight w:val="none"/>
          <w:shd w:fill="auto" w:val="clear"/>
        </w:rPr>
      </w:pPr>
      <w:r>
        <w:rPr>
          <w:shd w:fill="auto" w:val="clear"/>
        </w:rPr>
      </w:r>
    </w:p>
    <w:p>
      <w:pPr>
        <w:pStyle w:val="Normal"/>
        <w:spacing w:before="20" w:after="40"/>
        <w:contextualSpacing/>
        <w:jc w:val="both"/>
        <w:rPr>
          <w:i w:val="false"/>
          <w:i w:val="false"/>
          <w:iCs w:val="false"/>
        </w:rPr>
      </w:pPr>
      <w:r>
        <w:rPr>
          <w:i w:val="false"/>
          <w:iCs w:val="false"/>
        </w:rPr>
        <w:t>Сведения о том, является ли основной поставщик организацией, подконтрольной членам органов управления эмитента и (или) лицу, контролирующему эмитента</w:t>
      </w:r>
    </w:p>
    <w:p>
      <w:pPr>
        <w:pStyle w:val="Normal"/>
        <w:spacing w:before="20" w:after="40"/>
        <w:contextualSpacing/>
        <w:jc w:val="both"/>
        <w:rPr>
          <w:i/>
          <w:i/>
          <w:iCs/>
        </w:rPr>
      </w:pPr>
      <w:r>
        <w:rPr>
          <w:b/>
          <w:i/>
          <w:iCs/>
        </w:rPr>
        <w:t>поставщик не является организацией, подконтрольной членам органов управления Эмитента и (или) лицу, контролирующему Эмитента.</w:t>
      </w:r>
    </w:p>
    <w:p>
      <w:pPr>
        <w:pStyle w:val="SubHeading"/>
        <w:spacing w:before="240" w:after="40"/>
        <w:contextualSpacing/>
        <w:jc w:val="both"/>
        <w:rPr>
          <w:i w:val="false"/>
          <w:i w:val="false"/>
          <w:iCs w:val="false"/>
        </w:rPr>
      </w:pPr>
      <w:r>
        <w:rPr>
          <w:i w:val="false"/>
          <w:iCs w:val="false"/>
        </w:rPr>
        <w:t>Сведения об иных поставщиках, имеющих для эмитента существенное значение:</w:t>
      </w:r>
    </w:p>
    <w:p>
      <w:pPr>
        <w:pStyle w:val="Normal"/>
        <w:spacing w:before="20" w:after="40"/>
        <w:contextualSpacing/>
        <w:jc w:val="both"/>
        <w:rPr>
          <w:i/>
          <w:i/>
          <w:iCs/>
        </w:rPr>
      </w:pPr>
      <w:r>
        <w:rPr>
          <w:b/>
          <w:i/>
          <w:iCs/>
        </w:rPr>
        <w:t>Иных поставщиков, имеющих для эмитента существенное значение, нет</w:t>
      </w:r>
    </w:p>
    <w:p>
      <w:pPr>
        <w:pStyle w:val="2"/>
        <w:spacing w:before="240" w:after="40"/>
        <w:contextualSpacing/>
        <w:jc w:val="both"/>
        <w:rPr>
          <w:highlight w:val="none"/>
          <w:shd w:fill="auto" w:val="clear"/>
        </w:rPr>
      </w:pPr>
      <w:r>
        <w:rPr>
          <w:shd w:fill="auto" w:val="clear"/>
        </w:rPr>
        <w:t>1.6. Сведения об основных дебиторах эмитента</w:t>
      </w:r>
    </w:p>
    <w:p>
      <w:pPr>
        <w:pStyle w:val="2"/>
        <w:spacing w:before="240" w:after="40"/>
        <w:contextualSpacing/>
        <w:jc w:val="both"/>
        <w:rPr/>
      </w:pPr>
      <w:r>
        <w:rPr/>
      </w:r>
    </w:p>
    <w:p>
      <w:pPr>
        <w:pStyle w:val="Normal"/>
        <w:spacing w:before="20" w:after="40"/>
        <w:contextualSpacing/>
        <w:jc w:val="both"/>
        <w:rPr/>
      </w:pPr>
      <w:r>
        <w:rPr>
          <w:b/>
          <w:i/>
        </w:rPr>
        <w:t>Информация настоящего пункта раскрывается на основе данных консолидированной финансовой отчётности</w:t>
      </w:r>
    </w:p>
    <w:p>
      <w:pPr>
        <w:pStyle w:val="Normal"/>
        <w:spacing w:before="0" w:after="0"/>
        <w:contextualSpacing/>
        <w:jc w:val="both"/>
        <w:rPr/>
      </w:pPr>
      <w:r>
        <w:rPr/>
      </w:r>
    </w:p>
    <w:p>
      <w:pPr>
        <w:pStyle w:val="Normal"/>
        <w:spacing w:before="0" w:after="0"/>
        <w:contextualSpacing/>
        <w:jc w:val="both"/>
        <w:rPr/>
      </w:pPr>
      <w:r>
        <w:rPr/>
        <w:t xml:space="preserve">Сведения об основных дебиторах эмитента, являющихся лицами, не входящими в группу эмитента (далее - внешнегрупповые дебиторы), с отдельным указанием объема и (или) доли дебиторской задолженности, приходящейся на дебиторов, входящих в группу эмитента, и на внешнегрупповых дебиторов. </w:t>
      </w:r>
    </w:p>
    <w:p>
      <w:pPr>
        <w:pStyle w:val="Normal"/>
        <w:spacing w:before="0" w:after="0"/>
        <w:contextualSpacing/>
        <w:jc w:val="both"/>
        <w:rPr/>
      </w:pPr>
      <w:r>
        <w:rPr/>
      </w:r>
    </w:p>
    <w:p>
      <w:pPr>
        <w:pStyle w:val="Normal"/>
        <w:spacing w:before="0" w:after="0"/>
        <w:contextualSpacing/>
        <w:jc w:val="both"/>
        <w:rPr/>
      </w:pPr>
      <w:r>
        <w:rPr/>
        <w:t xml:space="preserve">Доля дебиторской задолженности, приходящейся на дебиторов, входящих в группу эмитента, %: </w:t>
      </w:r>
      <w:r>
        <w:rPr>
          <w:b/>
          <w:bCs/>
        </w:rPr>
        <w:t xml:space="preserve">0 </w:t>
      </w:r>
    </w:p>
    <w:p>
      <w:pPr>
        <w:pStyle w:val="Normal"/>
        <w:spacing w:before="0" w:after="0"/>
        <w:contextualSpacing/>
        <w:jc w:val="both"/>
        <w:rPr/>
      </w:pPr>
      <w:r>
        <w:rPr/>
        <w:t xml:space="preserve">Доля дебиторской задолженности, приходящейся на внешнегрупповых дебиторов, %: </w:t>
      </w:r>
      <w:r>
        <w:rPr>
          <w:b/>
          <w:bCs/>
        </w:rPr>
        <w:t>100</w:t>
      </w:r>
    </w:p>
    <w:p>
      <w:pPr>
        <w:pStyle w:val="Normal"/>
        <w:spacing w:before="20" w:after="40"/>
        <w:contextualSpacing/>
        <w:jc w:val="both"/>
        <w:rPr/>
      </w:pPr>
      <w:r>
        <w:rPr/>
      </w:r>
    </w:p>
    <w:p>
      <w:pPr>
        <w:pStyle w:val="Normal"/>
        <w:spacing w:before="20" w:after="40"/>
        <w:contextualSpacing/>
        <w:jc w:val="both"/>
        <w:rPr/>
      </w:pPr>
      <w:r>
        <w:rPr/>
        <w:t>Определенный эмитентом уровень существенности дебиторской задолженности, приходящейся на долю основного дебитора:</w:t>
      </w:r>
      <w:r>
        <w:rPr>
          <w:b/>
          <w:i/>
        </w:rPr>
        <w:t xml:space="preserve"> 5 процентов от общей суммы дебиторской задолженности, приходящейся на внешнегрупповых дебиторов на дату окончания отчетного периода.</w:t>
      </w:r>
    </w:p>
    <w:p>
      <w:pPr>
        <w:pStyle w:val="Normal"/>
        <w:spacing w:before="20" w:after="40"/>
        <w:contextualSpacing/>
        <w:jc w:val="both"/>
        <w:rPr/>
      </w:pPr>
      <w:r>
        <w:rPr/>
      </w:r>
    </w:p>
    <w:p>
      <w:pPr>
        <w:pStyle w:val="Normal"/>
        <w:jc w:val="both"/>
        <w:rPr/>
      </w:pPr>
      <w:r>
        <w:rPr/>
        <w:t>Основные дебиторы, имеющие для эмитента (группы эмитента) существенное значение, подпадающие под определенный эмитентом уровень существенности:</w:t>
      </w:r>
    </w:p>
    <w:p>
      <w:pPr>
        <w:pStyle w:val="Normal"/>
        <w:spacing w:before="20" w:after="40"/>
        <w:contextualSpacing/>
        <w:jc w:val="both"/>
        <w:rPr/>
      </w:pPr>
      <w:r>
        <w:rPr/>
        <w:t>Полное фирменное наименование:</w:t>
      </w:r>
      <w:r>
        <w:rPr>
          <w:b/>
          <w:i/>
        </w:rPr>
        <w:t xml:space="preserve"> Министерство жилищно-коммунального хозяйства и энергетики Камчатского края</w:t>
      </w:r>
    </w:p>
    <w:p>
      <w:pPr>
        <w:pStyle w:val="Normal"/>
        <w:spacing w:before="20" w:after="40"/>
        <w:contextualSpacing/>
        <w:jc w:val="both"/>
        <w:rPr/>
      </w:pPr>
      <w:r>
        <w:rPr/>
        <w:t>Сокращенное фирменное наименование:</w:t>
      </w:r>
      <w:r>
        <w:rPr>
          <w:b/>
          <w:i/>
        </w:rPr>
        <w:t xml:space="preserve"> Министерство жилищно-коммунального хозяйства и энергетики Камчатского края</w:t>
      </w:r>
    </w:p>
    <w:p>
      <w:pPr>
        <w:pStyle w:val="Normal"/>
        <w:spacing w:before="20" w:after="40"/>
        <w:contextualSpacing/>
        <w:jc w:val="both"/>
        <w:rPr/>
      </w:pPr>
      <w:r>
        <w:rPr/>
        <w:t>Место нахождения:</w:t>
      </w:r>
      <w:r>
        <w:rPr>
          <w:b/>
          <w:i/>
        </w:rPr>
        <w:t xml:space="preserve"> 683031, г. Петропавловск-Камчатский, проспект Карла Маркса, д. 5</w:t>
      </w:r>
    </w:p>
    <w:p>
      <w:pPr>
        <w:pStyle w:val="Normal"/>
        <w:spacing w:before="20" w:after="40"/>
        <w:contextualSpacing/>
        <w:jc w:val="both"/>
        <w:rPr/>
      </w:pPr>
      <w:r>
        <w:rPr/>
        <w:t>ИНН:</w:t>
      </w:r>
      <w:r>
        <w:rPr>
          <w:b/>
          <w:i/>
        </w:rPr>
        <w:t xml:space="preserve"> 4101120936</w:t>
      </w:r>
    </w:p>
    <w:p>
      <w:pPr>
        <w:pStyle w:val="Normal"/>
        <w:spacing w:before="20" w:after="40"/>
        <w:contextualSpacing/>
        <w:jc w:val="both"/>
        <w:rPr/>
      </w:pPr>
      <w:r>
        <w:rPr/>
        <w:t>ОГРН:</w:t>
      </w:r>
      <w:r>
        <w:rPr>
          <w:b/>
          <w:i/>
        </w:rPr>
        <w:t xml:space="preserve"> 107410</w:t>
      </w:r>
      <w:r>
        <w:rPr>
          <w:b/>
          <w:i/>
          <w:szCs w:val="20"/>
        </w:rPr>
        <w:t>1008057</w:t>
      </w:r>
    </w:p>
    <w:p>
      <w:pPr>
        <w:pStyle w:val="Normal"/>
        <w:spacing w:before="20" w:after="40"/>
        <w:contextualSpacing/>
        <w:jc w:val="both"/>
        <w:rPr>
          <w:szCs w:val="20"/>
        </w:rPr>
      </w:pPr>
      <w:r>
        <w:rPr>
          <w:szCs w:val="20"/>
        </w:rPr>
      </w:r>
    </w:p>
    <w:p>
      <w:pPr>
        <w:pStyle w:val="Normal"/>
        <w:spacing w:before="20" w:after="40"/>
        <w:contextualSpacing/>
        <w:jc w:val="both"/>
        <w:rPr/>
      </w:pPr>
      <w:r>
        <w:rPr>
          <w:szCs w:val="20"/>
        </w:rPr>
        <w:t>Сумма дебиторской задолженности:</w:t>
      </w:r>
      <w:r>
        <w:rPr>
          <w:b/>
          <w:i/>
          <w:szCs w:val="20"/>
        </w:rPr>
        <w:t xml:space="preserve"> </w:t>
      </w:r>
      <w:r>
        <w:rPr>
          <w:rStyle w:val="Subst"/>
          <w:sz w:val="20"/>
          <w:szCs w:val="20"/>
          <w:lang w:eastAsia="ru-RU" w:bidi="ar-SA"/>
        </w:rPr>
        <w:t>7 172</w:t>
      </w:r>
    </w:p>
    <w:p>
      <w:pPr>
        <w:pStyle w:val="Normal"/>
        <w:spacing w:before="20" w:after="40"/>
        <w:contextualSpacing/>
        <w:jc w:val="both"/>
        <w:rPr/>
      </w:pPr>
      <w:r>
        <w:rPr>
          <w:szCs w:val="20"/>
        </w:rPr>
        <w:t>Единица измерения:</w:t>
      </w:r>
      <w:r>
        <w:rPr>
          <w:b/>
          <w:i/>
          <w:szCs w:val="20"/>
        </w:rPr>
        <w:t xml:space="preserve"> </w:t>
      </w:r>
      <w:r>
        <w:rPr>
          <w:rStyle w:val="Subst"/>
          <w:rFonts w:eastAsia="0" w:cs="0"/>
          <w:color w:val="000000"/>
          <w:kern w:val="0"/>
          <w:sz w:val="20"/>
          <w:szCs w:val="20"/>
          <w:lang w:val="ru-RU" w:eastAsia="ru-RU" w:bidi="ar-SA"/>
        </w:rPr>
        <w:t>млн. руб</w:t>
      </w:r>
      <w:r>
        <w:rPr>
          <w:b/>
          <w:i/>
          <w:szCs w:val="20"/>
        </w:rPr>
        <w:t>.</w:t>
      </w:r>
    </w:p>
    <w:p>
      <w:pPr>
        <w:pStyle w:val="Normal"/>
        <w:spacing w:before="20" w:after="40"/>
        <w:contextualSpacing/>
        <w:jc w:val="both"/>
        <w:rPr/>
      </w:pPr>
      <w:r>
        <w:rPr/>
        <w:t xml:space="preserve">Доля основного внешнегруппового дебитора в объеме дебиторской задолженности, приходящейся на внешнегрупповых дебиторов, %: </w:t>
      </w:r>
      <w:r>
        <w:rPr>
          <w:rStyle w:val="Subst"/>
          <w:rFonts w:eastAsia="0" w:cs="0"/>
          <w:color w:val="000000"/>
          <w:kern w:val="0"/>
          <w:sz w:val="20"/>
          <w:szCs w:val="20"/>
          <w:lang w:val="ru-RU" w:eastAsia="ru-RU" w:bidi="ar-SA"/>
        </w:rPr>
        <w:t>58.8</w:t>
      </w:r>
      <w:r>
        <w:rPr>
          <w:szCs w:val="20"/>
        </w:rPr>
        <w:t xml:space="preserve"> </w:t>
      </w:r>
    </w:p>
    <w:p>
      <w:pPr>
        <w:pStyle w:val="Normal"/>
        <w:spacing w:before="20" w:after="40"/>
        <w:contextualSpacing/>
        <w:jc w:val="both"/>
        <w:rPr/>
      </w:pPr>
      <w:r>
        <w:rPr/>
        <w:t xml:space="preserve">Размер и условия (процентная ставка, размер неустойки) просроченной дебиторской задолженности: </w:t>
      </w:r>
      <w:r>
        <w:rPr>
          <w:b/>
          <w:i/>
        </w:rPr>
        <w:t>отсутствует.</w:t>
      </w:r>
    </w:p>
    <w:p>
      <w:pPr>
        <w:pStyle w:val="Normal"/>
        <w:spacing w:before="20" w:after="40"/>
        <w:contextualSpacing/>
        <w:jc w:val="both"/>
        <w:rPr/>
      </w:pPr>
      <w:r>
        <w:rPr/>
      </w:r>
    </w:p>
    <w:p>
      <w:pPr>
        <w:pStyle w:val="Normal"/>
        <w:spacing w:before="20" w:after="40"/>
        <w:contextualSpacing/>
        <w:jc w:val="both"/>
        <w:rPr/>
      </w:pPr>
      <w:r>
        <w:rPr>
          <w:szCs w:val="20"/>
        </w:rPr>
        <w:t>Сведения о том, является ли основной дебитор организацией, подконтрольной членам органов управления эмитента и (или) лицу, контролирующему эмитента:</w:t>
      </w:r>
    </w:p>
    <w:p>
      <w:pPr>
        <w:pStyle w:val="Normal"/>
        <w:spacing w:before="20" w:after="40"/>
        <w:contextualSpacing/>
        <w:jc w:val="both"/>
        <w:rPr/>
      </w:pPr>
      <w:r>
        <w:rPr>
          <w:b/>
          <w:i/>
          <w:szCs w:val="20"/>
        </w:rPr>
        <w:t>Основной дебитор не является организацией, подконтрольной членам органов управления эмитента и (или) лицу, контролирующему эмитента.</w:t>
      </w:r>
    </w:p>
    <w:p>
      <w:pPr>
        <w:pStyle w:val="Normal"/>
        <w:spacing w:before="20" w:after="40"/>
        <w:contextualSpacing/>
        <w:jc w:val="both"/>
        <w:rPr>
          <w:szCs w:val="20"/>
        </w:rPr>
      </w:pPr>
      <w:r>
        <w:rPr>
          <w:szCs w:val="20"/>
        </w:rPr>
      </w:r>
    </w:p>
    <w:p>
      <w:pPr>
        <w:pStyle w:val="Normal"/>
        <w:rPr/>
      </w:pPr>
      <w:r>
        <w:rPr>
          <w:rFonts w:eastAsia="0" w:cs="0"/>
          <w:i w:val="false"/>
          <w:iCs w:val="false"/>
          <w:color w:val="000000"/>
          <w:sz w:val="20"/>
        </w:rPr>
        <w:t xml:space="preserve">Иные дебиторы, имеющие для эмитента существенное значение </w:t>
      </w:r>
      <w:r>
        <w:rPr>
          <w:b/>
          <w:i/>
        </w:rPr>
        <w:t>Иных дебиторов, имеющих для эмитента существенное значение, нет</w:t>
      </w:r>
    </w:p>
    <w:p>
      <w:pPr>
        <w:pStyle w:val="2"/>
        <w:spacing w:before="240" w:after="40"/>
        <w:contextualSpacing/>
        <w:jc w:val="both"/>
        <w:rPr/>
      </w:pPr>
      <w:r>
        <w:rPr/>
      </w:r>
    </w:p>
    <w:p>
      <w:pPr>
        <w:pStyle w:val="2"/>
        <w:spacing w:before="240" w:after="40"/>
        <w:contextualSpacing/>
        <w:jc w:val="both"/>
        <w:rPr>
          <w:highlight w:val="none"/>
          <w:shd w:fill="auto" w:val="clear"/>
        </w:rPr>
      </w:pPr>
      <w:r>
        <w:rPr>
          <w:shd w:fill="auto" w:val="clear"/>
        </w:rPr>
        <w:t>1.7. Сведения об обязательствах эмитента</w:t>
      </w:r>
    </w:p>
    <w:p>
      <w:pPr>
        <w:pStyle w:val="2"/>
        <w:spacing w:before="240" w:after="40"/>
        <w:contextualSpacing/>
        <w:jc w:val="both"/>
        <w:rPr>
          <w:highlight w:val="none"/>
          <w:shd w:fill="auto" w:val="clear"/>
        </w:rPr>
      </w:pPr>
      <w:r>
        <w:rPr>
          <w:shd w:fill="auto" w:val="clear"/>
        </w:rPr>
      </w:r>
    </w:p>
    <w:p>
      <w:pPr>
        <w:pStyle w:val="2"/>
        <w:spacing w:before="240" w:after="40"/>
        <w:contextualSpacing/>
        <w:jc w:val="both"/>
        <w:rPr/>
      </w:pPr>
      <w:r>
        <w:rPr/>
        <w:t>1.7.1. Сведения об основных кредиторах эмитента</w:t>
      </w:r>
    </w:p>
    <w:p>
      <w:pPr>
        <w:pStyle w:val="Normal"/>
        <w:spacing w:before="20" w:after="40"/>
        <w:contextualSpacing/>
        <w:jc w:val="both"/>
        <w:rPr>
          <w:i w:val="false"/>
          <w:i w:val="false"/>
          <w:iCs w:val="false"/>
        </w:rPr>
      </w:pPr>
      <w:r>
        <w:rPr>
          <w:i w:val="false"/>
          <w:iCs w:val="false"/>
        </w:rPr>
        <w:t>Информация настоящего пункта раскрывается на основе данных консолидированной финансовой отчётности</w:t>
      </w:r>
    </w:p>
    <w:p>
      <w:pPr>
        <w:pStyle w:val="Normal"/>
        <w:spacing w:before="20" w:after="40"/>
        <w:contextualSpacing/>
        <w:jc w:val="both"/>
        <w:rPr>
          <w:i/>
          <w:i/>
          <w:iCs/>
        </w:rPr>
      </w:pPr>
      <w:r>
        <w:rPr>
          <w:i/>
          <w:iCs/>
        </w:rPr>
      </w:r>
    </w:p>
    <w:p>
      <w:pPr>
        <w:pStyle w:val="Normal"/>
        <w:spacing w:before="0" w:after="0"/>
        <w:contextualSpacing/>
        <w:jc w:val="both"/>
        <w:rPr/>
      </w:pPr>
      <w:r>
        <w:rPr/>
        <w:t xml:space="preserve">Сведения об основных кредиторах эмитента, являющихся лицами, не входящими в группу эмитента (далее - внешнегрупповые кредиторы), с отдельным указанием объема и (или) доли кредиторской задолженности, приходящейся на кредиторов, входящих в группу эмитента, и на внешнегрупповых кредиторов. </w:t>
      </w:r>
    </w:p>
    <w:p>
      <w:pPr>
        <w:pStyle w:val="Normal"/>
        <w:spacing w:before="0" w:after="0"/>
        <w:contextualSpacing/>
        <w:jc w:val="both"/>
        <w:rPr>
          <w:highlight w:val="none"/>
          <w:shd w:fill="auto" w:val="clear"/>
        </w:rPr>
      </w:pPr>
      <w:r>
        <w:rPr>
          <w:shd w:fill="auto" w:val="clear"/>
        </w:rPr>
      </w:r>
    </w:p>
    <w:p>
      <w:pPr>
        <w:pStyle w:val="Normal"/>
        <w:spacing w:before="0" w:after="0"/>
        <w:contextualSpacing/>
        <w:jc w:val="both"/>
        <w:rPr>
          <w:highlight w:val="none"/>
          <w:shd w:fill="FFFF00" w:val="clear"/>
        </w:rPr>
      </w:pPr>
      <w:r>
        <w:rPr>
          <w:shd w:fill="auto" w:val="clear"/>
        </w:rPr>
        <w:t xml:space="preserve">Доля кредиторской задолженности, приходящейся на кредиторов, входящих в группу эмитента, %: </w:t>
      </w:r>
      <w:r>
        <w:rPr>
          <w:b/>
          <w:i/>
          <w:shd w:fill="auto" w:val="clear"/>
        </w:rPr>
        <w:t xml:space="preserve">0 </w:t>
      </w:r>
      <w:r>
        <w:rPr>
          <w:shd w:fill="auto" w:val="clear"/>
        </w:rPr>
        <w:t xml:space="preserve">    </w:t>
      </w:r>
    </w:p>
    <w:p>
      <w:pPr>
        <w:pStyle w:val="Normal"/>
        <w:spacing w:before="0" w:after="0"/>
        <w:contextualSpacing/>
        <w:jc w:val="both"/>
        <w:rPr/>
      </w:pPr>
      <w:r>
        <w:rPr/>
        <w:t xml:space="preserve">Доля кредиторской задолженности, приходящейся на внешнегрупповых кредиторов, %: </w:t>
      </w:r>
      <w:r>
        <w:rPr>
          <w:b/>
          <w:i/>
        </w:rPr>
        <w:t xml:space="preserve">100 </w:t>
      </w:r>
    </w:p>
    <w:p>
      <w:pPr>
        <w:pStyle w:val="Normal"/>
        <w:spacing w:before="20" w:after="40"/>
        <w:contextualSpacing/>
        <w:jc w:val="both"/>
        <w:rPr/>
      </w:pPr>
      <w:r>
        <w:rPr/>
      </w:r>
    </w:p>
    <w:p>
      <w:pPr>
        <w:pStyle w:val="Normal"/>
        <w:spacing w:before="20" w:after="40"/>
        <w:contextualSpacing/>
        <w:jc w:val="both"/>
        <w:rPr/>
      </w:pPr>
      <w:r>
        <w:rPr/>
        <w:t xml:space="preserve">Определенный эмитентом уровень существенности кредиторской задолженности, приходящейся на долю основного кредитора: </w:t>
      </w:r>
      <w:r>
        <w:rPr>
          <w:b/>
          <w:i/>
        </w:rPr>
        <w:t>5 процентов от суммы кредиторской задолженности поставщикам и подрядчикам (краткосрочная и долгосрочная) и прочей кредиторской задолженности (краткосрочная и долгосрочная), приходящейся на внешнегрупповых кредиторов на дату окончания отчетного периода</w:t>
      </w:r>
      <w:r>
        <w:rPr/>
        <w:t>:</w:t>
      </w:r>
    </w:p>
    <w:p>
      <w:pPr>
        <w:pStyle w:val="SubHeading"/>
        <w:spacing w:before="240" w:after="40"/>
        <w:contextualSpacing/>
        <w:jc w:val="both"/>
        <w:rPr/>
      </w:pPr>
      <w:r>
        <w:rPr/>
        <w:t>Основные кредиторы, имеющие для эмитента (группы эмитента) существенное значение</w:t>
      </w:r>
    </w:p>
    <w:p>
      <w:pPr>
        <w:pStyle w:val="Normal"/>
        <w:spacing w:before="20" w:after="40"/>
        <w:contextualSpacing/>
        <w:jc w:val="both"/>
        <w:rPr/>
      </w:pPr>
      <w:r>
        <w:rPr/>
        <w:t>1.</w:t>
      </w:r>
    </w:p>
    <w:p>
      <w:pPr>
        <w:pStyle w:val="Normal"/>
        <w:jc w:val="both"/>
        <w:rPr/>
      </w:pPr>
      <w:r>
        <w:rPr>
          <w:szCs w:val="20"/>
        </w:rPr>
        <w:t>Полное фирменное наименование:</w:t>
      </w:r>
      <w:r>
        <w:rPr>
          <w:rStyle w:val="Subst"/>
          <w:bCs/>
          <w:iCs/>
          <w:sz w:val="20"/>
          <w:szCs w:val="20"/>
          <w:lang w:eastAsia="ru-RU" w:bidi="ar-SA"/>
        </w:rPr>
        <w:t xml:space="preserve"> Публичное акционерное общество «Сбербанк России»</w:t>
      </w:r>
    </w:p>
    <w:p>
      <w:pPr>
        <w:pStyle w:val="Normal"/>
        <w:jc w:val="both"/>
        <w:rPr/>
      </w:pPr>
      <w:r>
        <w:rPr>
          <w:szCs w:val="20"/>
        </w:rPr>
        <w:t>Сокращенное фирменное наименование:</w:t>
      </w:r>
      <w:r>
        <w:rPr>
          <w:rStyle w:val="Subst"/>
          <w:bCs/>
          <w:iCs/>
          <w:sz w:val="20"/>
          <w:szCs w:val="20"/>
          <w:lang w:eastAsia="ru-RU" w:bidi="ar-SA"/>
        </w:rPr>
        <w:t xml:space="preserve"> ПАО Сбербанк</w:t>
      </w:r>
    </w:p>
    <w:p>
      <w:pPr>
        <w:pStyle w:val="Normal"/>
        <w:jc w:val="both"/>
        <w:rPr/>
      </w:pPr>
      <w:r>
        <w:rPr>
          <w:szCs w:val="20"/>
        </w:rPr>
        <w:t>Место нахожден</w:t>
      </w:r>
      <w:r>
        <w:rPr>
          <w:szCs w:val="20"/>
          <w:shd w:fill="auto" w:val="clear"/>
        </w:rPr>
        <w:t>ия:</w:t>
      </w:r>
      <w:r>
        <w:rPr>
          <w:rStyle w:val="Subst"/>
          <w:bCs/>
          <w:iCs/>
          <w:sz w:val="20"/>
          <w:szCs w:val="20"/>
          <w:shd w:fill="auto" w:val="clear"/>
          <w:lang w:eastAsia="ru-RU" w:bidi="ar-SA"/>
        </w:rPr>
        <w:t xml:space="preserve"> г. Москва </w:t>
      </w:r>
    </w:p>
    <w:p>
      <w:pPr>
        <w:pStyle w:val="Normal"/>
        <w:jc w:val="both"/>
        <w:rPr/>
      </w:pPr>
      <w:r>
        <w:rPr>
          <w:szCs w:val="20"/>
        </w:rPr>
        <w:t>ИНН:</w:t>
      </w:r>
      <w:r>
        <w:rPr>
          <w:rStyle w:val="Subst"/>
          <w:bCs/>
          <w:iCs/>
          <w:sz w:val="20"/>
          <w:szCs w:val="20"/>
          <w:lang w:eastAsia="ru-RU" w:bidi="ar-SA"/>
        </w:rPr>
        <w:t xml:space="preserve"> 7707083893</w:t>
      </w:r>
    </w:p>
    <w:p>
      <w:pPr>
        <w:pStyle w:val="Normal"/>
        <w:jc w:val="both"/>
        <w:rPr/>
      </w:pPr>
      <w:r>
        <w:rPr>
          <w:szCs w:val="20"/>
        </w:rPr>
        <w:t>ОГРН:</w:t>
      </w:r>
      <w:r>
        <w:rPr>
          <w:rStyle w:val="Subst"/>
          <w:bCs/>
          <w:iCs/>
          <w:sz w:val="20"/>
          <w:szCs w:val="20"/>
          <w:lang w:eastAsia="ru-RU" w:bidi="ar-SA"/>
        </w:rPr>
        <w:t xml:space="preserve"> 1027700132195</w:t>
      </w:r>
    </w:p>
    <w:p>
      <w:pPr>
        <w:pStyle w:val="Normal"/>
        <w:jc w:val="both"/>
        <w:rPr/>
      </w:pPr>
      <w:r>
        <w:rPr>
          <w:szCs w:val="20"/>
        </w:rPr>
        <w:t>Сумма кредиторской задолженности:</w:t>
      </w:r>
      <w:r>
        <w:rPr>
          <w:rStyle w:val="Subst"/>
          <w:bCs/>
          <w:iCs/>
          <w:sz w:val="20"/>
          <w:szCs w:val="20"/>
          <w:lang w:eastAsia="ru-RU" w:bidi="ar-SA"/>
        </w:rPr>
        <w:t xml:space="preserve"> </w:t>
      </w:r>
      <w:r>
        <w:rPr>
          <w:rStyle w:val="Subst"/>
          <w:sz w:val="20"/>
          <w:szCs w:val="20"/>
          <w:lang w:eastAsia="ru-RU" w:bidi="ar-SA"/>
        </w:rPr>
        <w:t>2 357.9</w:t>
      </w:r>
    </w:p>
    <w:p>
      <w:pPr>
        <w:pStyle w:val="Normal"/>
        <w:jc w:val="both"/>
        <w:rPr/>
      </w:pPr>
      <w:r>
        <w:rPr>
          <w:szCs w:val="20"/>
        </w:rPr>
        <w:t>Единица измерения:</w:t>
      </w:r>
      <w:r>
        <w:rPr>
          <w:rStyle w:val="Subst"/>
          <w:bCs/>
          <w:iCs/>
          <w:sz w:val="20"/>
          <w:szCs w:val="20"/>
          <w:lang w:eastAsia="ru-RU" w:bidi="ar-SA"/>
        </w:rPr>
        <w:t xml:space="preserve"> </w:t>
      </w:r>
      <w:r>
        <w:rPr>
          <w:rStyle w:val="Subst"/>
          <w:rFonts w:eastAsia="0" w:cs="0"/>
          <w:bCs/>
          <w:iCs/>
          <w:color w:val="000000"/>
          <w:kern w:val="0"/>
          <w:sz w:val="20"/>
          <w:szCs w:val="20"/>
          <w:lang w:val="ru-RU" w:eastAsia="ru-RU" w:bidi="ar-SA"/>
        </w:rPr>
        <w:t>млн. руб</w:t>
      </w:r>
      <w:r>
        <w:rPr>
          <w:rStyle w:val="Subst"/>
          <w:b/>
          <w:bCs/>
          <w:i/>
          <w:iCs/>
          <w:sz w:val="20"/>
          <w:szCs w:val="20"/>
          <w:lang w:eastAsia="ru-RU" w:bidi="ar-SA"/>
        </w:rPr>
        <w:t>.</w:t>
      </w:r>
    </w:p>
    <w:p>
      <w:pPr>
        <w:pStyle w:val="Normal"/>
        <w:jc w:val="both"/>
        <w:rPr/>
      </w:pPr>
      <w:r>
        <w:rPr/>
      </w:r>
    </w:p>
    <w:p>
      <w:pPr>
        <w:pStyle w:val="Normal"/>
        <w:jc w:val="both"/>
        <w:rPr/>
      </w:pPr>
      <w:r>
        <w:rPr>
          <w:szCs w:val="20"/>
        </w:rPr>
        <w:t>Доля основного кредитора в объеме кредиторской задолженности, %:</w:t>
      </w:r>
      <w:r>
        <w:rPr>
          <w:rStyle w:val="Subst"/>
          <w:bCs/>
          <w:iCs/>
          <w:sz w:val="20"/>
          <w:szCs w:val="20"/>
          <w:lang w:eastAsia="ru-RU" w:bidi="ar-SA"/>
        </w:rPr>
        <w:t xml:space="preserve"> </w:t>
      </w:r>
      <w:r>
        <w:rPr>
          <w:rStyle w:val="Subst"/>
          <w:sz w:val="20"/>
          <w:szCs w:val="20"/>
          <w:lang w:eastAsia="ru-RU" w:bidi="ar-SA"/>
        </w:rPr>
        <w:t>6.76</w:t>
      </w:r>
    </w:p>
    <w:p>
      <w:pPr>
        <w:pStyle w:val="Normal"/>
        <w:jc w:val="both"/>
        <w:rPr/>
      </w:pPr>
      <w:r>
        <w:rPr>
          <w:szCs w:val="20"/>
        </w:rPr>
        <w:t>Размер и условия (процентная ставка, размер неустойки) просроченной кредиторской задолженности:</w:t>
      </w:r>
      <w:r>
        <w:rPr>
          <w:rStyle w:val="Subst"/>
          <w:bCs/>
          <w:iCs/>
          <w:sz w:val="20"/>
          <w:szCs w:val="20"/>
          <w:lang w:eastAsia="ru-RU" w:bidi="ar-SA"/>
        </w:rPr>
        <w:t>Просроченная задолженность отсутствует</w:t>
      </w:r>
    </w:p>
    <w:p>
      <w:pPr>
        <w:pStyle w:val="Normal"/>
        <w:jc w:val="both"/>
        <w:rPr/>
      </w:pPr>
      <w:r>
        <w:rPr>
          <w:rStyle w:val="Subst"/>
          <w:bCs/>
          <w:iCs/>
          <w:sz w:val="20"/>
          <w:szCs w:val="20"/>
          <w:lang w:eastAsia="ru-RU" w:bidi="ar-SA"/>
        </w:rPr>
        <w:t>Кредиторская задолженность возникла в связи с заключением кредитного договора (договора займа)</w:t>
      </w:r>
    </w:p>
    <w:p>
      <w:pPr>
        <w:pStyle w:val="Normal"/>
        <w:jc w:val="both"/>
        <w:rPr/>
      </w:pPr>
      <w:r>
        <w:rPr>
          <w:szCs w:val="20"/>
        </w:rPr>
        <w:t>Дата заключения кредитного договора (договора займа):</w:t>
      </w:r>
      <w:r>
        <w:rPr>
          <w:rStyle w:val="Subst"/>
          <w:bCs/>
          <w:iCs/>
          <w:sz w:val="20"/>
          <w:szCs w:val="20"/>
          <w:lang w:eastAsia="ru-RU" w:bidi="ar-SA"/>
        </w:rPr>
        <w:t xml:space="preserve"> 21.01.2020; 15.05.2024.</w:t>
      </w:r>
    </w:p>
    <w:p>
      <w:pPr>
        <w:pStyle w:val="Normal"/>
        <w:jc w:val="both"/>
        <w:rPr/>
      </w:pPr>
      <w:r>
        <w:rPr>
          <w:szCs w:val="20"/>
        </w:rPr>
        <w:t>Дата прекращения кредитного договора (договора займа), в том числе в связи с его исполнением:</w:t>
      </w:r>
      <w:r>
        <w:rPr>
          <w:rStyle w:val="Subst"/>
          <w:bCs/>
          <w:iCs/>
          <w:sz w:val="20"/>
          <w:szCs w:val="20"/>
          <w:lang w:eastAsia="ru-RU" w:bidi="ar-SA"/>
        </w:rPr>
        <w:t xml:space="preserve"> 20.01.2027; 15.05.2026.</w:t>
      </w:r>
    </w:p>
    <w:p>
      <w:pPr>
        <w:pStyle w:val="Normal"/>
        <w:ind w:left="400" w:hanging="0"/>
        <w:jc w:val="both"/>
        <w:rPr>
          <w:szCs w:val="20"/>
        </w:rPr>
      </w:pPr>
      <w:r>
        <w:rPr>
          <w:szCs w:val="20"/>
        </w:rPr>
      </w:r>
    </w:p>
    <w:p>
      <w:pPr>
        <w:pStyle w:val="Normal"/>
        <w:spacing w:before="20" w:after="40"/>
        <w:contextualSpacing/>
        <w:jc w:val="both"/>
        <w:rPr/>
      </w:pPr>
      <w:r>
        <w:rPr>
          <w:szCs w:val="20"/>
        </w:rPr>
        <w:t>Сведения о том, является ли основной кредитор организацией, подконтрольной членам органов управления эмитента и (или) лицу, контролирующему эмитента</w:t>
      </w:r>
      <w:r>
        <w:rPr>
          <w:b/>
          <w:i/>
          <w:szCs w:val="20"/>
        </w:rPr>
        <w:t>: кредитор не является организацией, подконтрольной членам органов управления Эмитента и (или) лицу, контролирующему Эмитента.</w:t>
      </w:r>
    </w:p>
    <w:p>
      <w:pPr>
        <w:pStyle w:val="Normal"/>
        <w:spacing w:before="20" w:after="40"/>
        <w:contextualSpacing/>
        <w:jc w:val="both"/>
        <w:rPr/>
      </w:pPr>
      <w:r>
        <w:rPr/>
      </w:r>
    </w:p>
    <w:p>
      <w:pPr>
        <w:pStyle w:val="Normal"/>
        <w:spacing w:before="20" w:after="40"/>
        <w:contextualSpacing/>
        <w:jc w:val="both"/>
        <w:rPr/>
      </w:pPr>
      <w:r>
        <w:rPr/>
        <w:t>2.</w:t>
      </w:r>
    </w:p>
    <w:p>
      <w:pPr>
        <w:pStyle w:val="Normal"/>
        <w:spacing w:before="20" w:after="40"/>
        <w:contextualSpacing/>
        <w:jc w:val="both"/>
        <w:rPr/>
      </w:pPr>
      <w:r>
        <w:rPr/>
        <w:t>Полное фирменное наименование:</w:t>
      </w:r>
      <w:r>
        <w:rPr>
          <w:b/>
          <w:i/>
        </w:rPr>
        <w:t xml:space="preserve"> «Газпромбанк» (Акционерное общество)</w:t>
      </w:r>
    </w:p>
    <w:p>
      <w:pPr>
        <w:pStyle w:val="Normal"/>
        <w:spacing w:before="20" w:after="40"/>
        <w:contextualSpacing/>
        <w:jc w:val="both"/>
        <w:rPr/>
      </w:pPr>
      <w:r>
        <w:rPr/>
        <w:t>Сокращенное фирменное наименование:</w:t>
      </w:r>
      <w:r>
        <w:rPr>
          <w:b/>
          <w:i/>
        </w:rPr>
        <w:t xml:space="preserve"> Банк ГПБ (АО)</w:t>
      </w:r>
    </w:p>
    <w:p>
      <w:pPr>
        <w:pStyle w:val="Normal"/>
        <w:spacing w:before="20" w:after="40"/>
        <w:contextualSpacing/>
        <w:jc w:val="both"/>
        <w:rPr/>
      </w:pPr>
      <w:r>
        <w:rPr/>
        <w:t>Место нахождения:</w:t>
      </w:r>
      <w:r>
        <w:rPr>
          <w:b/>
          <w:i/>
        </w:rPr>
        <w:t xml:space="preserve"> г. Москва </w:t>
      </w:r>
    </w:p>
    <w:p>
      <w:pPr>
        <w:pStyle w:val="Normal"/>
        <w:spacing w:before="20" w:after="40"/>
        <w:contextualSpacing/>
        <w:jc w:val="both"/>
        <w:rPr/>
      </w:pPr>
      <w:r>
        <w:rPr/>
        <w:t>ИНН:</w:t>
      </w:r>
      <w:r>
        <w:rPr>
          <w:b/>
          <w:i/>
        </w:rPr>
        <w:t xml:space="preserve"> 7744001497</w:t>
      </w:r>
    </w:p>
    <w:p>
      <w:pPr>
        <w:pStyle w:val="Normal"/>
        <w:spacing w:before="20" w:after="40"/>
        <w:contextualSpacing/>
        <w:jc w:val="both"/>
        <w:rPr/>
      </w:pPr>
      <w:r>
        <w:rPr/>
        <w:t>ОГРН:</w:t>
      </w:r>
      <w:r>
        <w:rPr>
          <w:b/>
          <w:i/>
        </w:rPr>
        <w:t xml:space="preserve"> 1027700167110</w:t>
      </w:r>
    </w:p>
    <w:p>
      <w:pPr>
        <w:pStyle w:val="Normal"/>
        <w:spacing w:before="20" w:after="40"/>
        <w:contextualSpacing/>
        <w:jc w:val="both"/>
        <w:rPr/>
      </w:pPr>
      <w:r>
        <w:rPr/>
        <w:t>Сумма кредиторской задолженности:</w:t>
      </w:r>
      <w:r>
        <w:rPr>
          <w:b/>
          <w:i/>
        </w:rPr>
        <w:t xml:space="preserve"> 8 640</w:t>
      </w:r>
    </w:p>
    <w:p>
      <w:pPr>
        <w:pStyle w:val="Normal"/>
        <w:spacing w:before="20" w:after="40"/>
        <w:contextualSpacing/>
        <w:jc w:val="both"/>
        <w:rPr/>
      </w:pPr>
      <w:r>
        <w:rPr/>
        <w:t>Единица измерения:</w:t>
      </w:r>
      <w:r>
        <w:rPr>
          <w:b/>
          <w:i/>
        </w:rPr>
        <w:t xml:space="preserve"> </w:t>
      </w:r>
      <w:r>
        <w:rPr>
          <w:rStyle w:val="Subst"/>
          <w:rFonts w:eastAsia="0" w:cs="0"/>
          <w:color w:val="000000"/>
          <w:kern w:val="0"/>
          <w:sz w:val="20"/>
          <w:szCs w:val="20"/>
          <w:lang w:val="ru-RU" w:eastAsia="ru-RU" w:bidi="ar-SA"/>
        </w:rPr>
        <w:t>млн. руб</w:t>
      </w:r>
      <w:r>
        <w:rPr>
          <w:b/>
          <w:i/>
          <w:sz w:val="20"/>
          <w:szCs w:val="20"/>
        </w:rPr>
        <w:t>.</w:t>
      </w:r>
    </w:p>
    <w:p>
      <w:pPr>
        <w:pStyle w:val="Normal"/>
        <w:spacing w:before="20" w:after="40"/>
        <w:contextualSpacing/>
        <w:jc w:val="both"/>
        <w:rPr/>
      </w:pPr>
      <w:r>
        <w:rPr/>
      </w:r>
    </w:p>
    <w:p>
      <w:pPr>
        <w:pStyle w:val="Normal"/>
        <w:spacing w:before="20" w:after="40"/>
        <w:contextualSpacing/>
        <w:jc w:val="both"/>
        <w:rPr/>
      </w:pPr>
      <w:r>
        <w:rPr/>
        <w:t>Доля основного внешнегруппового кредитора в объеме кредиторской задолженности, приходящейся на внешнегрупповых кредиторов %:</w:t>
      </w:r>
      <w:r>
        <w:rPr>
          <w:b/>
          <w:i/>
        </w:rPr>
        <w:t xml:space="preserve"> 24.77</w:t>
      </w:r>
    </w:p>
    <w:p>
      <w:pPr>
        <w:pStyle w:val="Normal"/>
        <w:spacing w:before="20" w:after="40"/>
        <w:contextualSpacing/>
        <w:jc w:val="both"/>
        <w:rPr/>
      </w:pPr>
      <w:r>
        <w:rPr/>
        <w:t xml:space="preserve">Размер и условия (процентная ставка, размер неустойки) просроченной кредиторской задолженности: </w:t>
      </w:r>
      <w:r>
        <w:rPr>
          <w:b/>
          <w:i/>
        </w:rPr>
        <w:t>Просроченная задолженность отсу</w:t>
      </w:r>
      <w:r>
        <w:rPr>
          <w:b/>
          <w:i/>
          <w:szCs w:val="20"/>
        </w:rPr>
        <w:t>тствует</w:t>
      </w:r>
    </w:p>
    <w:p>
      <w:pPr>
        <w:pStyle w:val="Normal"/>
        <w:spacing w:before="20" w:after="40"/>
        <w:contextualSpacing/>
        <w:jc w:val="both"/>
        <w:rPr/>
      </w:pPr>
      <w:r>
        <w:rPr>
          <w:b/>
          <w:i/>
          <w:szCs w:val="20"/>
        </w:rPr>
        <w:t>Кредиторская задолженность возникла в связи с заключением кредитного договора (договора займа)</w:t>
      </w:r>
    </w:p>
    <w:p>
      <w:pPr>
        <w:pStyle w:val="Normal"/>
        <w:spacing w:before="20" w:after="40"/>
        <w:contextualSpacing/>
        <w:jc w:val="both"/>
        <w:rPr/>
      </w:pPr>
      <w:r>
        <w:rPr>
          <w:szCs w:val="20"/>
        </w:rPr>
        <w:t>Дата заключения кредитного договора (договора займа):</w:t>
      </w:r>
      <w:r>
        <w:rPr>
          <w:b/>
          <w:i/>
          <w:szCs w:val="20"/>
        </w:rPr>
        <w:t xml:space="preserve"> </w:t>
      </w:r>
      <w:r>
        <w:rPr>
          <w:rStyle w:val="Subst"/>
          <w:sz w:val="20"/>
          <w:szCs w:val="20"/>
        </w:rPr>
        <w:t>06.05.2025; 20.07.2022; 17.06.2025; 12.11.2025; 10.12.2025</w:t>
      </w:r>
      <w:r>
        <w:rPr>
          <w:rStyle w:val="Subst"/>
          <w:bCs/>
          <w:iCs/>
          <w:sz w:val="20"/>
          <w:szCs w:val="20"/>
          <w:lang w:eastAsia="ru-RU" w:bidi="ar-SA"/>
        </w:rPr>
        <w:t>.</w:t>
      </w:r>
    </w:p>
    <w:p>
      <w:pPr>
        <w:pStyle w:val="Normal"/>
        <w:spacing w:before="20" w:after="40"/>
        <w:contextualSpacing/>
        <w:jc w:val="both"/>
        <w:rPr/>
      </w:pPr>
      <w:r>
        <w:rPr>
          <w:szCs w:val="20"/>
        </w:rPr>
        <w:t>Дата прекращения кредитного договора (договора займа), в том числе в связи с его исполнением:</w:t>
      </w:r>
      <w:r>
        <w:rPr>
          <w:b/>
          <w:i/>
          <w:szCs w:val="20"/>
        </w:rPr>
        <w:t xml:space="preserve"> </w:t>
      </w:r>
      <w:r>
        <w:rPr>
          <w:rStyle w:val="Subst"/>
          <w:sz w:val="20"/>
          <w:szCs w:val="20"/>
          <w:lang w:eastAsia="ru-RU" w:bidi="ar-SA"/>
        </w:rPr>
        <w:t>06.05.2027; 20.07.2028;17.06.2032;12.11.2030; 10.12.2031</w:t>
      </w:r>
    </w:p>
    <w:p>
      <w:pPr>
        <w:pStyle w:val="Normal"/>
        <w:spacing w:before="20" w:after="40"/>
        <w:contextualSpacing/>
        <w:jc w:val="both"/>
        <w:rPr/>
      </w:pPr>
      <w:r>
        <w:rPr/>
      </w:r>
    </w:p>
    <w:p>
      <w:pPr>
        <w:pStyle w:val="Normal"/>
        <w:spacing w:before="20" w:after="40"/>
        <w:contextualSpacing/>
        <w:jc w:val="both"/>
        <w:rPr/>
      </w:pPr>
      <w:r>
        <w:rPr>
          <w:rStyle w:val="Subst"/>
          <w:b w:val="false"/>
          <w:i w:val="false"/>
          <w:sz w:val="20"/>
          <w:szCs w:val="20"/>
          <w:lang w:eastAsia="ru-RU" w:bidi="ar-SA"/>
        </w:rPr>
        <w:t>Сведения о том, является ли основной кредитор организацией, подконтрольной членам органов управления эмитента и (или) лицу, контролирующему эмитента</w:t>
      </w:r>
      <w:r>
        <w:rPr>
          <w:rStyle w:val="Subst"/>
          <w:bCs/>
          <w:iCs/>
          <w:sz w:val="20"/>
          <w:szCs w:val="20"/>
          <w:lang w:eastAsia="ru-RU" w:bidi="ar-SA"/>
        </w:rPr>
        <w:t>: кредитор не является организацией, подконтрольной членам органов управления Эмитента и (или) лицу, контролирующему Эмитента.</w:t>
      </w:r>
    </w:p>
    <w:p>
      <w:pPr>
        <w:pStyle w:val="Normal"/>
        <w:spacing w:before="20" w:after="40"/>
        <w:contextualSpacing/>
        <w:jc w:val="both"/>
        <w:rPr/>
      </w:pPr>
      <w:r>
        <w:rPr/>
      </w:r>
    </w:p>
    <w:p>
      <w:pPr>
        <w:pStyle w:val="Normal"/>
        <w:spacing w:before="20" w:after="40"/>
        <w:contextualSpacing/>
        <w:jc w:val="both"/>
        <w:rPr/>
      </w:pPr>
      <w:r>
        <w:rPr/>
        <w:t>3.</w:t>
      </w:r>
    </w:p>
    <w:p>
      <w:pPr>
        <w:pStyle w:val="Normal"/>
        <w:spacing w:before="20" w:after="40"/>
        <w:contextualSpacing/>
        <w:jc w:val="both"/>
        <w:rPr/>
      </w:pPr>
      <w:r>
        <w:rPr>
          <w:sz w:val="20"/>
          <w:szCs w:val="20"/>
        </w:rPr>
        <w:t>Полное фирменное наименование:</w:t>
      </w:r>
      <w:r>
        <w:rPr>
          <w:b/>
          <w:i/>
          <w:sz w:val="20"/>
          <w:szCs w:val="20"/>
        </w:rPr>
        <w:t xml:space="preserve"> </w:t>
      </w:r>
      <w:r>
        <w:rPr>
          <w:rStyle w:val="Subst"/>
          <w:sz w:val="20"/>
          <w:szCs w:val="20"/>
        </w:rPr>
        <w:t>Публичное акционерное общество «Совкомбанк»</w:t>
      </w:r>
    </w:p>
    <w:p>
      <w:pPr>
        <w:pStyle w:val="Normal"/>
        <w:spacing w:before="20" w:after="40"/>
        <w:contextualSpacing/>
        <w:jc w:val="both"/>
        <w:rPr/>
      </w:pPr>
      <w:r>
        <w:rPr>
          <w:sz w:val="20"/>
          <w:szCs w:val="20"/>
        </w:rPr>
        <w:t xml:space="preserve">Сокращенное фирменное наименование: </w:t>
      </w:r>
      <w:r>
        <w:rPr>
          <w:rStyle w:val="Subst"/>
          <w:sz w:val="20"/>
          <w:szCs w:val="20"/>
        </w:rPr>
        <w:t>ПАО «Совкомбанк»</w:t>
      </w:r>
      <w:r>
        <w:rPr>
          <w:b/>
          <w:i/>
          <w:sz w:val="20"/>
          <w:szCs w:val="20"/>
        </w:rPr>
        <w:t xml:space="preserve">  </w:t>
      </w:r>
    </w:p>
    <w:p>
      <w:pPr>
        <w:pStyle w:val="Normal"/>
        <w:spacing w:before="20" w:after="40"/>
        <w:contextualSpacing/>
        <w:jc w:val="both"/>
        <w:rPr/>
      </w:pPr>
      <w:r>
        <w:rPr>
          <w:sz w:val="20"/>
          <w:szCs w:val="20"/>
        </w:rPr>
        <w:t>Место нахождения:</w:t>
      </w:r>
      <w:r>
        <w:rPr>
          <w:b/>
          <w:i/>
          <w:sz w:val="20"/>
          <w:szCs w:val="20"/>
        </w:rPr>
        <w:t xml:space="preserve"> </w:t>
      </w:r>
      <w:r>
        <w:rPr>
          <w:rStyle w:val="Subst"/>
          <w:sz w:val="20"/>
          <w:szCs w:val="20"/>
        </w:rPr>
        <w:t>Костромская область, г. Кострома</w:t>
      </w:r>
      <w:r>
        <w:rPr>
          <w:rStyle w:val="Subst"/>
          <w:b/>
          <w:i/>
          <w:sz w:val="20"/>
          <w:szCs w:val="20"/>
        </w:rPr>
        <w:t xml:space="preserve"> </w:t>
      </w:r>
    </w:p>
    <w:p>
      <w:pPr>
        <w:pStyle w:val="Normal"/>
        <w:spacing w:before="20" w:after="40"/>
        <w:contextualSpacing/>
        <w:jc w:val="both"/>
        <w:rPr/>
      </w:pPr>
      <w:r>
        <w:rPr>
          <w:sz w:val="20"/>
          <w:szCs w:val="20"/>
        </w:rPr>
        <w:t>ИНН:</w:t>
      </w:r>
      <w:r>
        <w:rPr>
          <w:b/>
          <w:i/>
          <w:sz w:val="20"/>
          <w:szCs w:val="20"/>
        </w:rPr>
        <w:t xml:space="preserve"> </w:t>
      </w:r>
      <w:r>
        <w:rPr>
          <w:rStyle w:val="Subst"/>
          <w:sz w:val="20"/>
          <w:szCs w:val="20"/>
        </w:rPr>
        <w:t>4401116480</w:t>
      </w:r>
      <w:r>
        <w:rPr>
          <w:b/>
          <w:i/>
          <w:sz w:val="20"/>
          <w:szCs w:val="20"/>
        </w:rPr>
        <w:t xml:space="preserve"> </w:t>
      </w:r>
    </w:p>
    <w:p>
      <w:pPr>
        <w:pStyle w:val="Normal"/>
        <w:spacing w:before="20" w:after="40"/>
        <w:contextualSpacing/>
        <w:jc w:val="both"/>
        <w:rPr/>
      </w:pPr>
      <w:r>
        <w:rPr>
          <w:sz w:val="20"/>
          <w:szCs w:val="20"/>
        </w:rPr>
        <w:t>ОГРН:</w:t>
      </w:r>
      <w:r>
        <w:rPr>
          <w:b/>
          <w:i/>
          <w:sz w:val="20"/>
          <w:szCs w:val="20"/>
        </w:rPr>
        <w:t xml:space="preserve"> </w:t>
      </w:r>
      <w:r>
        <w:rPr>
          <w:rStyle w:val="Subst"/>
          <w:sz w:val="20"/>
          <w:szCs w:val="20"/>
        </w:rPr>
        <w:t>1144400000425</w:t>
      </w:r>
    </w:p>
    <w:p>
      <w:pPr>
        <w:pStyle w:val="Normal"/>
        <w:spacing w:before="20" w:after="40"/>
        <w:contextualSpacing/>
        <w:jc w:val="both"/>
        <w:rPr/>
      </w:pPr>
      <w:r>
        <w:rPr>
          <w:sz w:val="20"/>
          <w:szCs w:val="20"/>
        </w:rPr>
        <w:t>Сумма кредиторской задолженности:</w:t>
      </w:r>
      <w:r>
        <w:rPr>
          <w:b/>
          <w:i/>
          <w:sz w:val="20"/>
          <w:szCs w:val="20"/>
        </w:rPr>
        <w:t xml:space="preserve"> </w:t>
      </w:r>
      <w:r>
        <w:rPr>
          <w:rStyle w:val="Subst"/>
          <w:sz w:val="20"/>
          <w:szCs w:val="20"/>
        </w:rPr>
        <w:t>3 699</w:t>
      </w:r>
    </w:p>
    <w:p>
      <w:pPr>
        <w:pStyle w:val="Normal"/>
        <w:spacing w:before="20" w:after="40"/>
        <w:contextualSpacing/>
        <w:jc w:val="both"/>
        <w:rPr/>
      </w:pPr>
      <w:r>
        <w:rPr>
          <w:sz w:val="20"/>
          <w:szCs w:val="20"/>
        </w:rPr>
        <w:t>Единица измерения:</w:t>
      </w:r>
      <w:r>
        <w:rPr>
          <w:b/>
          <w:i/>
          <w:sz w:val="20"/>
          <w:szCs w:val="20"/>
        </w:rPr>
        <w:t xml:space="preserve"> </w:t>
      </w:r>
      <w:r>
        <w:rPr>
          <w:rStyle w:val="Subst"/>
          <w:rFonts w:eastAsia="0" w:cs="0"/>
          <w:color w:val="000000"/>
          <w:kern w:val="0"/>
          <w:sz w:val="20"/>
          <w:szCs w:val="20"/>
          <w:lang w:val="ru-RU" w:eastAsia="ru-RU" w:bidi="ar-SA"/>
        </w:rPr>
        <w:t>млн. руб</w:t>
      </w:r>
      <w:r>
        <w:rPr>
          <w:b/>
          <w:i/>
          <w:sz w:val="20"/>
          <w:szCs w:val="20"/>
        </w:rPr>
        <w:t>.</w:t>
      </w:r>
    </w:p>
    <w:p>
      <w:pPr>
        <w:pStyle w:val="Normal"/>
        <w:spacing w:before="20" w:after="40"/>
        <w:contextualSpacing/>
        <w:jc w:val="both"/>
        <w:rPr>
          <w:sz w:val="20"/>
          <w:szCs w:val="20"/>
        </w:rPr>
      </w:pPr>
      <w:r>
        <w:rPr>
          <w:sz w:val="20"/>
          <w:szCs w:val="20"/>
        </w:rPr>
      </w:r>
    </w:p>
    <w:p>
      <w:pPr>
        <w:pStyle w:val="Normal"/>
        <w:spacing w:before="20" w:after="40"/>
        <w:contextualSpacing/>
        <w:jc w:val="both"/>
        <w:rPr/>
      </w:pPr>
      <w:r>
        <w:rPr>
          <w:sz w:val="20"/>
          <w:szCs w:val="20"/>
        </w:rPr>
        <w:t>Доля основного внешнегруппового кредитора в объеме кредиторской задолженности, приходящейся на внешнегрупповых кредиторов %:</w:t>
      </w:r>
      <w:r>
        <w:rPr>
          <w:b/>
          <w:i/>
          <w:sz w:val="20"/>
          <w:szCs w:val="20"/>
        </w:rPr>
        <w:t xml:space="preserve"> </w:t>
      </w:r>
      <w:r>
        <w:rPr>
          <w:rStyle w:val="Subst"/>
          <w:sz w:val="20"/>
          <w:szCs w:val="20"/>
        </w:rPr>
        <w:t>10.6</w:t>
      </w:r>
      <w:r>
        <w:rPr>
          <w:b/>
          <w:i/>
          <w:sz w:val="20"/>
          <w:szCs w:val="20"/>
        </w:rPr>
        <w:t xml:space="preserve"> </w:t>
      </w:r>
    </w:p>
    <w:p>
      <w:pPr>
        <w:pStyle w:val="Normal"/>
        <w:spacing w:before="20" w:after="40"/>
        <w:contextualSpacing/>
        <w:jc w:val="both"/>
        <w:rPr>
          <w:sz w:val="20"/>
          <w:szCs w:val="20"/>
        </w:rPr>
      </w:pPr>
      <w:r>
        <w:rPr>
          <w:sz w:val="20"/>
          <w:szCs w:val="20"/>
        </w:rPr>
        <w:t xml:space="preserve">Размер и условия (процентная ставка, размер неустойки) просроченной кредиторской задолженности: </w:t>
      </w:r>
      <w:r>
        <w:rPr>
          <w:b/>
          <w:i/>
          <w:sz w:val="20"/>
          <w:szCs w:val="20"/>
        </w:rPr>
        <w:t>Просроченная задолженность отсутствует</w:t>
      </w:r>
    </w:p>
    <w:p>
      <w:pPr>
        <w:pStyle w:val="Normal"/>
        <w:spacing w:before="20" w:after="40"/>
        <w:contextualSpacing/>
        <w:jc w:val="both"/>
        <w:rPr>
          <w:sz w:val="20"/>
          <w:szCs w:val="20"/>
        </w:rPr>
      </w:pPr>
      <w:r>
        <w:rPr>
          <w:b/>
          <w:i/>
          <w:sz w:val="20"/>
          <w:szCs w:val="20"/>
        </w:rPr>
        <w:t>Кредиторская задолженность возникла в связи с заключением кредитного договора (договора займа)</w:t>
      </w:r>
    </w:p>
    <w:p>
      <w:pPr>
        <w:pStyle w:val="Normal"/>
        <w:spacing w:before="20" w:after="40"/>
        <w:contextualSpacing/>
        <w:jc w:val="both"/>
        <w:rPr/>
      </w:pPr>
      <w:r>
        <w:rPr>
          <w:sz w:val="20"/>
          <w:szCs w:val="20"/>
        </w:rPr>
        <w:t>Дата заключения кредитного договора (договора займа):</w:t>
      </w:r>
      <w:r>
        <w:rPr>
          <w:b/>
          <w:i/>
          <w:sz w:val="20"/>
          <w:szCs w:val="20"/>
        </w:rPr>
        <w:t xml:space="preserve"> </w:t>
      </w:r>
      <w:r>
        <w:rPr>
          <w:rStyle w:val="Subst"/>
          <w:sz w:val="20"/>
          <w:szCs w:val="20"/>
        </w:rPr>
        <w:t>24.06.2025; 05.08.2025</w:t>
      </w:r>
      <w:r>
        <w:rPr>
          <w:rStyle w:val="Subst"/>
          <w:bCs/>
          <w:iCs/>
          <w:sz w:val="20"/>
          <w:szCs w:val="20"/>
          <w:lang w:eastAsia="ru-RU" w:bidi="ar-SA"/>
        </w:rPr>
        <w:t xml:space="preserve"> </w:t>
      </w:r>
    </w:p>
    <w:p>
      <w:pPr>
        <w:pStyle w:val="Normal"/>
        <w:spacing w:before="20" w:after="40"/>
        <w:contextualSpacing/>
        <w:jc w:val="both"/>
        <w:rPr/>
      </w:pPr>
      <w:r>
        <w:rPr>
          <w:sz w:val="20"/>
          <w:szCs w:val="20"/>
        </w:rPr>
        <w:t>Дата прекращения кредитного договора (договора займа), в том числе в связи с его исполнением:</w:t>
      </w:r>
      <w:r>
        <w:rPr>
          <w:rStyle w:val="Subst"/>
          <w:sz w:val="20"/>
          <w:szCs w:val="20"/>
          <w:lang w:eastAsia="ru-RU" w:bidi="ar-SA"/>
        </w:rPr>
        <w:t xml:space="preserve"> 23.06.2031; 04.08.2031</w:t>
      </w:r>
    </w:p>
    <w:p>
      <w:pPr>
        <w:pStyle w:val="Normal"/>
        <w:spacing w:before="20" w:after="40"/>
        <w:contextualSpacing/>
        <w:jc w:val="both"/>
        <w:rPr>
          <w:sz w:val="20"/>
          <w:szCs w:val="20"/>
        </w:rPr>
      </w:pPr>
      <w:r>
        <w:rPr>
          <w:sz w:val="20"/>
          <w:szCs w:val="20"/>
        </w:rPr>
      </w:r>
    </w:p>
    <w:p>
      <w:pPr>
        <w:pStyle w:val="Normal"/>
        <w:spacing w:before="20" w:after="40"/>
        <w:contextualSpacing/>
        <w:jc w:val="both"/>
        <w:rPr/>
      </w:pPr>
      <w:r>
        <w:rPr>
          <w:rStyle w:val="Subst"/>
          <w:b w:val="false"/>
          <w:i w:val="false"/>
          <w:sz w:val="20"/>
          <w:szCs w:val="20"/>
          <w:lang w:eastAsia="ru-RU" w:bidi="ar-SA"/>
        </w:rPr>
        <w:t>Сведения о том, является ли основной кредитор организацией, подконтрольной членам органов управления эмитента и (или) лицу, контролирующему эмитента</w:t>
      </w:r>
      <w:r>
        <w:rPr>
          <w:rStyle w:val="Subst"/>
          <w:bCs/>
          <w:iCs/>
          <w:sz w:val="20"/>
          <w:szCs w:val="20"/>
          <w:lang w:eastAsia="ru-RU" w:bidi="ar-SA"/>
        </w:rPr>
        <w:t>: кредитор не является организацией, подконтрольной членам органов управления Эмитента и (или) лицу, контролирующему Эмитента.</w:t>
      </w:r>
    </w:p>
    <w:p>
      <w:pPr>
        <w:pStyle w:val="Normal"/>
        <w:spacing w:before="20" w:after="40"/>
        <w:contextualSpacing/>
        <w:jc w:val="both"/>
        <w:rPr>
          <w:sz w:val="20"/>
          <w:szCs w:val="20"/>
        </w:rPr>
      </w:pPr>
      <w:r>
        <w:rPr>
          <w:sz w:val="20"/>
          <w:szCs w:val="20"/>
        </w:rPr>
      </w:r>
    </w:p>
    <w:p>
      <w:pPr>
        <w:pStyle w:val="Normal"/>
        <w:spacing w:before="20" w:after="40"/>
        <w:contextualSpacing/>
        <w:jc w:val="both"/>
        <w:rPr/>
      </w:pPr>
      <w:r>
        <w:rPr/>
      </w:r>
    </w:p>
    <w:p>
      <w:pPr>
        <w:pStyle w:val="Normal"/>
        <w:spacing w:before="20" w:after="40"/>
        <w:contextualSpacing/>
        <w:jc w:val="both"/>
        <w:rPr/>
      </w:pPr>
      <w:r>
        <w:rPr/>
        <w:t>4.</w:t>
      </w:r>
    </w:p>
    <w:p>
      <w:pPr>
        <w:pStyle w:val="Normal"/>
        <w:spacing w:before="20" w:after="40"/>
        <w:contextualSpacing/>
        <w:jc w:val="both"/>
        <w:rPr/>
      </w:pPr>
      <w:r>
        <w:rPr>
          <w:sz w:val="20"/>
          <w:szCs w:val="20"/>
        </w:rPr>
        <w:t>Полное фирменное наименование:</w:t>
      </w:r>
      <w:r>
        <w:rPr>
          <w:b/>
          <w:i/>
          <w:sz w:val="20"/>
          <w:szCs w:val="20"/>
        </w:rPr>
        <w:t xml:space="preserve"> </w:t>
      </w:r>
      <w:r>
        <w:rPr>
          <w:rStyle w:val="Subst"/>
          <w:sz w:val="20"/>
          <w:szCs w:val="20"/>
        </w:rPr>
        <w:t>Акционерное общество «Альфа-Банк»</w:t>
      </w:r>
      <w:r>
        <w:rPr>
          <w:b/>
          <w:i/>
          <w:sz w:val="20"/>
          <w:szCs w:val="20"/>
        </w:rPr>
        <w:t xml:space="preserve"> </w:t>
      </w:r>
    </w:p>
    <w:p>
      <w:pPr>
        <w:pStyle w:val="Normal"/>
        <w:spacing w:before="20" w:after="40"/>
        <w:contextualSpacing/>
        <w:jc w:val="both"/>
        <w:rPr/>
      </w:pPr>
      <w:r>
        <w:rPr>
          <w:sz w:val="20"/>
          <w:szCs w:val="20"/>
        </w:rPr>
        <w:t>Сокращенное фирменное наименование:</w:t>
      </w:r>
      <w:r>
        <w:rPr>
          <w:b/>
          <w:i/>
          <w:sz w:val="20"/>
          <w:szCs w:val="20"/>
        </w:rPr>
        <w:t xml:space="preserve"> </w:t>
      </w:r>
      <w:r>
        <w:rPr>
          <w:rStyle w:val="Subst"/>
          <w:sz w:val="20"/>
          <w:szCs w:val="20"/>
        </w:rPr>
        <w:t>АО «Альфа-Банк»</w:t>
      </w:r>
      <w:r>
        <w:rPr>
          <w:b/>
          <w:i/>
          <w:sz w:val="20"/>
          <w:szCs w:val="20"/>
        </w:rPr>
        <w:t xml:space="preserve"> </w:t>
      </w:r>
    </w:p>
    <w:p>
      <w:pPr>
        <w:pStyle w:val="Normal"/>
        <w:spacing w:before="20" w:after="40"/>
        <w:contextualSpacing/>
        <w:jc w:val="both"/>
        <w:rPr/>
      </w:pPr>
      <w:r>
        <w:rPr>
          <w:sz w:val="20"/>
          <w:szCs w:val="20"/>
        </w:rPr>
        <w:t>Место нахождения:</w:t>
      </w:r>
      <w:r>
        <w:rPr>
          <w:rStyle w:val="Subst"/>
          <w:sz w:val="20"/>
          <w:szCs w:val="20"/>
        </w:rPr>
        <w:t xml:space="preserve"> г. Москва</w:t>
      </w:r>
      <w:r>
        <w:rPr>
          <w:rStyle w:val="Subst"/>
          <w:b/>
          <w:i/>
          <w:sz w:val="20"/>
          <w:szCs w:val="20"/>
        </w:rPr>
        <w:t xml:space="preserve"> </w:t>
      </w:r>
    </w:p>
    <w:p>
      <w:pPr>
        <w:pStyle w:val="Normal"/>
        <w:spacing w:before="20" w:after="40"/>
        <w:contextualSpacing/>
        <w:jc w:val="both"/>
        <w:rPr/>
      </w:pPr>
      <w:r>
        <w:rPr>
          <w:sz w:val="20"/>
          <w:szCs w:val="20"/>
        </w:rPr>
        <w:t>ИНН:</w:t>
      </w:r>
      <w:r>
        <w:rPr>
          <w:rStyle w:val="Subst"/>
          <w:sz w:val="20"/>
          <w:szCs w:val="20"/>
        </w:rPr>
        <w:t xml:space="preserve"> 7728168971</w:t>
      </w:r>
      <w:r>
        <w:rPr>
          <w:b/>
          <w:i/>
          <w:sz w:val="20"/>
          <w:szCs w:val="20"/>
        </w:rPr>
        <w:t xml:space="preserve"> </w:t>
      </w:r>
    </w:p>
    <w:p>
      <w:pPr>
        <w:pStyle w:val="Normal"/>
        <w:spacing w:before="20" w:after="40"/>
        <w:contextualSpacing/>
        <w:jc w:val="both"/>
        <w:rPr/>
      </w:pPr>
      <w:r>
        <w:rPr>
          <w:sz w:val="20"/>
          <w:szCs w:val="20"/>
        </w:rPr>
        <w:t>ОГРН:</w:t>
      </w:r>
      <w:r>
        <w:rPr>
          <w:b/>
          <w:i/>
          <w:sz w:val="20"/>
          <w:szCs w:val="20"/>
        </w:rPr>
        <w:t xml:space="preserve"> </w:t>
      </w:r>
      <w:r>
        <w:rPr>
          <w:rStyle w:val="Subst"/>
          <w:sz w:val="20"/>
          <w:szCs w:val="20"/>
        </w:rPr>
        <w:t>1027700067328</w:t>
      </w:r>
      <w:r>
        <w:rPr>
          <w:b/>
          <w:i/>
          <w:sz w:val="20"/>
          <w:szCs w:val="20"/>
        </w:rPr>
        <w:t xml:space="preserve"> </w:t>
      </w:r>
    </w:p>
    <w:p>
      <w:pPr>
        <w:pStyle w:val="Normal"/>
        <w:spacing w:before="20" w:after="40"/>
        <w:contextualSpacing/>
        <w:jc w:val="both"/>
        <w:rPr/>
      </w:pPr>
      <w:r>
        <w:rPr>
          <w:sz w:val="20"/>
          <w:szCs w:val="20"/>
        </w:rPr>
        <w:t>Сумма кредиторской задолженности:</w:t>
      </w:r>
      <w:r>
        <w:rPr>
          <w:b/>
          <w:i/>
          <w:sz w:val="20"/>
          <w:szCs w:val="20"/>
        </w:rPr>
        <w:t xml:space="preserve"> </w:t>
      </w:r>
      <w:r>
        <w:rPr>
          <w:rStyle w:val="Subst"/>
          <w:sz w:val="20"/>
          <w:szCs w:val="20"/>
        </w:rPr>
        <w:t>3 270.5</w:t>
      </w:r>
      <w:r>
        <w:rPr>
          <w:b/>
          <w:i/>
          <w:sz w:val="20"/>
          <w:szCs w:val="20"/>
        </w:rPr>
        <w:t xml:space="preserve"> </w:t>
      </w:r>
    </w:p>
    <w:p>
      <w:pPr>
        <w:pStyle w:val="Normal"/>
        <w:spacing w:before="20" w:after="40"/>
        <w:contextualSpacing/>
        <w:jc w:val="both"/>
        <w:rPr/>
      </w:pPr>
      <w:r>
        <w:rPr>
          <w:sz w:val="20"/>
          <w:szCs w:val="20"/>
        </w:rPr>
        <w:t>Единица измерения:</w:t>
      </w:r>
      <w:r>
        <w:rPr>
          <w:b/>
          <w:i/>
          <w:sz w:val="20"/>
          <w:szCs w:val="20"/>
        </w:rPr>
        <w:t xml:space="preserve"> </w:t>
      </w:r>
      <w:r>
        <w:rPr>
          <w:rStyle w:val="Subst"/>
          <w:rFonts w:eastAsia="0" w:cs="0"/>
          <w:color w:val="000000"/>
          <w:kern w:val="0"/>
          <w:sz w:val="20"/>
          <w:szCs w:val="20"/>
          <w:lang w:val="ru-RU" w:eastAsia="ru-RU" w:bidi="ar-SA"/>
        </w:rPr>
        <w:t>млн. руб</w:t>
      </w:r>
      <w:r>
        <w:rPr>
          <w:b/>
          <w:i/>
          <w:sz w:val="20"/>
          <w:szCs w:val="20"/>
        </w:rPr>
        <w:t>.</w:t>
      </w:r>
    </w:p>
    <w:p>
      <w:pPr>
        <w:pStyle w:val="Normal"/>
        <w:spacing w:before="20" w:after="40"/>
        <w:contextualSpacing/>
        <w:jc w:val="both"/>
        <w:rPr>
          <w:sz w:val="20"/>
          <w:szCs w:val="20"/>
        </w:rPr>
      </w:pPr>
      <w:r>
        <w:rPr>
          <w:sz w:val="20"/>
          <w:szCs w:val="20"/>
        </w:rPr>
      </w:r>
    </w:p>
    <w:p>
      <w:pPr>
        <w:pStyle w:val="Normal"/>
        <w:spacing w:before="20" w:after="40"/>
        <w:contextualSpacing/>
        <w:jc w:val="both"/>
        <w:rPr>
          <w:sz w:val="20"/>
          <w:szCs w:val="20"/>
        </w:rPr>
      </w:pPr>
      <w:r>
        <w:rPr>
          <w:sz w:val="20"/>
          <w:szCs w:val="20"/>
        </w:rPr>
        <w:t>Доля основного внешнегруппового кредитора в объеме кредиторской задолженности, приходящейся на внешнегрупповых кредиторов %:</w:t>
      </w:r>
      <w:r>
        <w:rPr>
          <w:b/>
          <w:i/>
          <w:sz w:val="20"/>
          <w:szCs w:val="20"/>
        </w:rPr>
        <w:t xml:space="preserve"> 9,38 </w:t>
      </w:r>
    </w:p>
    <w:p>
      <w:pPr>
        <w:pStyle w:val="Normal"/>
        <w:spacing w:before="20" w:after="40"/>
        <w:contextualSpacing/>
        <w:jc w:val="both"/>
        <w:rPr>
          <w:sz w:val="20"/>
          <w:szCs w:val="20"/>
        </w:rPr>
      </w:pPr>
      <w:r>
        <w:rPr>
          <w:sz w:val="20"/>
          <w:szCs w:val="20"/>
        </w:rPr>
        <w:t xml:space="preserve">Размер и условия (процентная ставка, размер неустойки) просроченной кредиторской задолженности: </w:t>
      </w:r>
      <w:r>
        <w:rPr>
          <w:b/>
          <w:i/>
          <w:sz w:val="20"/>
          <w:szCs w:val="20"/>
        </w:rPr>
        <w:t>Просроченная задолженность отсутствует</w:t>
      </w:r>
    </w:p>
    <w:p>
      <w:pPr>
        <w:pStyle w:val="Normal"/>
        <w:spacing w:before="20" w:after="40"/>
        <w:contextualSpacing/>
        <w:jc w:val="both"/>
        <w:rPr>
          <w:sz w:val="20"/>
          <w:szCs w:val="20"/>
        </w:rPr>
      </w:pPr>
      <w:r>
        <w:rPr>
          <w:b/>
          <w:i/>
          <w:sz w:val="20"/>
          <w:szCs w:val="20"/>
        </w:rPr>
        <w:t>Кредиторская задолженность возникла в связи с заключением кредитного договора (договора займа)</w:t>
      </w:r>
    </w:p>
    <w:p>
      <w:pPr>
        <w:pStyle w:val="Normal"/>
        <w:spacing w:before="20" w:after="40"/>
        <w:contextualSpacing/>
        <w:jc w:val="both"/>
        <w:rPr/>
      </w:pPr>
      <w:r>
        <w:rPr>
          <w:sz w:val="20"/>
          <w:szCs w:val="20"/>
        </w:rPr>
        <w:t>Дата заключения кредитного договора (договора займа):</w:t>
      </w:r>
      <w:r>
        <w:rPr>
          <w:b/>
          <w:i/>
          <w:sz w:val="20"/>
          <w:szCs w:val="20"/>
        </w:rPr>
        <w:t xml:space="preserve"> </w:t>
      </w:r>
      <w:r>
        <w:rPr>
          <w:rStyle w:val="Subst"/>
          <w:sz w:val="20"/>
          <w:szCs w:val="20"/>
          <w:lang w:eastAsia="ru-RU" w:bidi="ar-SA"/>
        </w:rPr>
        <w:t>03.10.2025; 10.12.2025</w:t>
      </w:r>
    </w:p>
    <w:p>
      <w:pPr>
        <w:pStyle w:val="Normal"/>
        <w:spacing w:before="20" w:after="40"/>
        <w:contextualSpacing/>
        <w:jc w:val="both"/>
        <w:rPr/>
      </w:pPr>
      <w:r>
        <w:rPr>
          <w:sz w:val="20"/>
          <w:szCs w:val="20"/>
        </w:rPr>
        <w:t>Дата прекращения кредитного договора (договора займа), в том числе в связи с его исполнением:</w:t>
      </w:r>
      <w:r>
        <w:rPr>
          <w:b/>
          <w:i/>
          <w:sz w:val="20"/>
          <w:szCs w:val="20"/>
        </w:rPr>
        <w:t xml:space="preserve"> </w:t>
      </w:r>
      <w:r>
        <w:rPr>
          <w:rStyle w:val="Subst"/>
          <w:sz w:val="20"/>
          <w:szCs w:val="20"/>
        </w:rPr>
        <w:t>02.10.2031; 09.12.2031</w:t>
      </w:r>
      <w:r>
        <w:rPr>
          <w:rStyle w:val="Subst"/>
          <w:sz w:val="20"/>
          <w:szCs w:val="20"/>
          <w:lang w:eastAsia="ru-RU" w:bidi="ar-SA"/>
        </w:rPr>
        <w:t xml:space="preserve"> </w:t>
      </w:r>
    </w:p>
    <w:p>
      <w:pPr>
        <w:pStyle w:val="Normal"/>
        <w:spacing w:before="20" w:after="40"/>
        <w:contextualSpacing/>
        <w:jc w:val="both"/>
        <w:rPr>
          <w:sz w:val="20"/>
          <w:szCs w:val="20"/>
        </w:rPr>
      </w:pPr>
      <w:r>
        <w:rPr>
          <w:sz w:val="20"/>
          <w:szCs w:val="20"/>
        </w:rPr>
      </w:r>
    </w:p>
    <w:p>
      <w:pPr>
        <w:pStyle w:val="Normal"/>
        <w:spacing w:before="20" w:after="40"/>
        <w:contextualSpacing/>
        <w:jc w:val="both"/>
        <w:rPr/>
      </w:pPr>
      <w:r>
        <w:rPr>
          <w:rStyle w:val="Subst"/>
          <w:b w:val="false"/>
          <w:i w:val="false"/>
          <w:sz w:val="20"/>
          <w:szCs w:val="20"/>
          <w:lang w:eastAsia="ru-RU" w:bidi="ar-SA"/>
        </w:rPr>
        <w:t>Сведения о том, является ли основной кредитор организацией, подконтрольной членам органов управления эмитента и (или) лицу, контролирующему эмитента</w:t>
      </w:r>
      <w:r>
        <w:rPr>
          <w:rStyle w:val="Subst"/>
          <w:bCs/>
          <w:iCs/>
          <w:sz w:val="20"/>
          <w:szCs w:val="20"/>
          <w:lang w:eastAsia="ru-RU" w:bidi="ar-SA"/>
        </w:rPr>
        <w:t>: кредитор не является организацией, подконтрольной членам органов управления Эмитента и (или) лицу, контролирующему Эмитента.</w:t>
      </w:r>
    </w:p>
    <w:p>
      <w:pPr>
        <w:pStyle w:val="Normal"/>
        <w:spacing w:before="20" w:after="40"/>
        <w:contextualSpacing/>
        <w:jc w:val="both"/>
        <w:rPr/>
      </w:pPr>
      <w:r>
        <w:rPr/>
      </w:r>
    </w:p>
    <w:p>
      <w:pPr>
        <w:pStyle w:val="Normal"/>
        <w:spacing w:before="20" w:after="40"/>
        <w:contextualSpacing/>
        <w:jc w:val="both"/>
        <w:rPr/>
      </w:pPr>
      <w:r>
        <w:rPr/>
      </w:r>
    </w:p>
    <w:p>
      <w:pPr>
        <w:pStyle w:val="Normal"/>
        <w:rPr/>
      </w:pPr>
      <w:r>
        <w:rPr/>
        <w:t>Иные кредиторы, имеющие для эмитента существенное значение</w:t>
      </w:r>
    </w:p>
    <w:p>
      <w:pPr>
        <w:pStyle w:val="Normal"/>
        <w:spacing w:before="20" w:after="40"/>
        <w:contextualSpacing/>
        <w:jc w:val="both"/>
        <w:rPr/>
      </w:pPr>
      <w:r>
        <w:rPr>
          <w:b/>
          <w:i/>
        </w:rPr>
        <w:t>Иных кредиторов, имеющих для эмитента существенное значение, нет.</w:t>
      </w:r>
    </w:p>
    <w:p>
      <w:pPr>
        <w:pStyle w:val="2"/>
        <w:spacing w:before="240" w:after="40"/>
        <w:contextualSpacing/>
        <w:jc w:val="both"/>
        <w:rPr/>
      </w:pPr>
      <w:r>
        <w:rPr/>
      </w:r>
    </w:p>
    <w:p>
      <w:pPr>
        <w:pStyle w:val="2"/>
        <w:spacing w:before="240" w:after="40"/>
        <w:contextualSpacing/>
        <w:jc w:val="both"/>
        <w:rPr/>
      </w:pPr>
      <w:r>
        <w:rPr/>
        <w:t>1.7.2. Сведения об обязательствах эмитента из предоставленного обеспечения</w:t>
      </w:r>
    </w:p>
    <w:p>
      <w:pPr>
        <w:pStyle w:val="Normal"/>
        <w:spacing w:before="20" w:after="40"/>
        <w:contextualSpacing/>
        <w:jc w:val="both"/>
        <w:rPr/>
      </w:pPr>
      <w:r>
        <w:rPr>
          <w:b/>
        </w:rPr>
        <w:t>О</w:t>
      </w:r>
      <w:r>
        <w:rPr>
          <w:b/>
          <w:i/>
        </w:rPr>
        <w:t>бязательств эмитента из предоставленного обеспечения, которые, по мнению эмитента, могут существенным образом воздействовать на финансовое положение эмитента (группы эмитента), в том числе на ликвидность, источники финансирования и условия их использования, результаты деятельности и расходы, не имеется.</w:t>
      </w:r>
    </w:p>
    <w:p>
      <w:pPr>
        <w:pStyle w:val="2"/>
        <w:spacing w:before="240" w:after="40"/>
        <w:contextualSpacing/>
        <w:jc w:val="both"/>
        <w:rPr>
          <w:i/>
          <w:i/>
          <w:sz w:val="20"/>
        </w:rPr>
      </w:pPr>
      <w:r>
        <w:rPr>
          <w:i/>
          <w:sz w:val="20"/>
        </w:rPr>
      </w:r>
    </w:p>
    <w:p>
      <w:pPr>
        <w:pStyle w:val="2"/>
        <w:spacing w:before="240" w:after="40"/>
        <w:contextualSpacing/>
        <w:jc w:val="both"/>
        <w:rPr/>
      </w:pPr>
      <w:r>
        <w:rPr/>
        <w:t>1.7.3. Сведения о прочих существенных обязательствах эмитента</w:t>
      </w:r>
    </w:p>
    <w:p>
      <w:pPr>
        <w:pStyle w:val="Normal"/>
        <w:spacing w:before="20" w:after="40"/>
        <w:contextualSpacing/>
        <w:jc w:val="both"/>
        <w:rPr>
          <w:highlight w:val="none"/>
          <w:shd w:fill="auto" w:val="clear"/>
        </w:rPr>
      </w:pPr>
      <w:r>
        <w:rPr>
          <w:b/>
          <w:i/>
        </w:rPr>
        <w:t>Прочих обязательств, которые, по мнению эмитента, могут существенным образом воздействовать на финансовое положение эмитента (группы эмитента), в том числе на ликвидность, источники финансирования и условия их использования, результаты деятельности и расходы, не имеется.</w:t>
      </w:r>
    </w:p>
    <w:p>
      <w:pPr>
        <w:pStyle w:val="2"/>
        <w:spacing w:before="240" w:after="40"/>
        <w:contextualSpacing/>
        <w:jc w:val="both"/>
        <w:rPr>
          <w:highlight w:val="none"/>
          <w:shd w:fill="auto" w:val="clear"/>
        </w:rPr>
      </w:pPr>
      <w:r>
        <w:rPr>
          <w:shd w:fill="auto" w:val="clear"/>
        </w:rPr>
        <w:t>1.8. Сведения о перспективах развития эмитента</w:t>
      </w:r>
    </w:p>
    <w:p>
      <w:pPr>
        <w:pStyle w:val="Normal"/>
        <w:spacing w:before="20" w:after="40"/>
        <w:contextualSpacing/>
        <w:jc w:val="both"/>
        <w:rPr/>
      </w:pPr>
      <w:r>
        <w:rPr/>
        <w:t>Описание стратегии дальнейшего развития группы эмитента не менее чем на год в отношении организации нового производства, расширения или сокращения производства, разработки новых видов продукции, модернизации и реконструкции основных средств, возможного изменения основной деятельности.</w:t>
      </w:r>
    </w:p>
    <w:p>
      <w:pPr>
        <w:pStyle w:val="Normal"/>
        <w:spacing w:before="20" w:after="40"/>
        <w:contextualSpacing/>
        <w:jc w:val="both"/>
        <w:rPr/>
      </w:pPr>
      <w:r>
        <w:rPr/>
      </w:r>
    </w:p>
    <w:p>
      <w:pPr>
        <w:pStyle w:val="Standard"/>
        <w:spacing w:lineRule="auto" w:line="240"/>
        <w:ind w:left="57" w:firstLine="567"/>
        <w:jc w:val="both"/>
        <w:rPr>
          <w:rFonts w:ascii="0" w:hAnsi="0" w:eastAsia="0" w:cs="0"/>
          <w:b/>
          <w:bCs/>
          <w:i/>
          <w:i/>
          <w:iCs/>
          <w:color w:val="000000"/>
          <w:kern w:val="0"/>
          <w:sz w:val="20"/>
          <w:szCs w:val="24"/>
          <w:lang w:val="ru-RU" w:eastAsia="zh-CN" w:bidi="hi-IN"/>
        </w:rPr>
      </w:pPr>
      <w:r>
        <w:rPr>
          <w:rFonts w:eastAsia="0" w:cs="0" w:ascii="0" w:hAnsi="0"/>
          <w:b/>
          <w:bCs/>
          <w:i/>
          <w:iCs/>
          <w:color w:val="000000"/>
          <w:kern w:val="0"/>
          <w:sz w:val="20"/>
          <w:szCs w:val="24"/>
          <w:lang w:val="ru-RU" w:eastAsia="zh-CN" w:bidi="hi-IN"/>
        </w:rPr>
        <w:t>Стратегические цели Общества определяются в соответствии со Стратегией развития Группы РусГидро на период до 2025 года с перспективой до 2035 года (далее – Стратегия развития Группы РусГидро), утвержденной Советом директоров ПАО «РусГидро» 27.05.2021 (протокол от 27.05.2021 № 328).</w:t>
      </w:r>
    </w:p>
    <w:p>
      <w:pPr>
        <w:pStyle w:val="Standard"/>
        <w:spacing w:lineRule="auto" w:line="240"/>
        <w:ind w:left="57" w:firstLine="567"/>
        <w:jc w:val="both"/>
        <w:rPr>
          <w:rFonts w:ascii="0" w:hAnsi="0" w:eastAsia="0" w:cs="0"/>
          <w:b/>
          <w:bCs/>
          <w:i/>
          <w:i/>
          <w:iCs/>
          <w:color w:val="000000"/>
          <w:kern w:val="0"/>
          <w:sz w:val="20"/>
          <w:szCs w:val="24"/>
          <w:lang w:val="ru-RU" w:eastAsia="zh-CN" w:bidi="hi-IN"/>
        </w:rPr>
      </w:pPr>
      <w:r>
        <w:rPr>
          <w:rFonts w:eastAsia="0" w:cs="0" w:ascii="0" w:hAnsi="0"/>
          <w:b/>
          <w:bCs/>
          <w:i/>
          <w:iCs/>
          <w:color w:val="000000"/>
          <w:kern w:val="0"/>
          <w:sz w:val="20"/>
          <w:szCs w:val="24"/>
          <w:lang w:val="ru-RU" w:eastAsia="zh-CN" w:bidi="hi-IN"/>
        </w:rPr>
        <w:t>Общество присоединилось к Стратегии развития Группы РусГидро в соответствии с решением Совета директоров ПАО «Камчатскэнерго» 10.12.2021 (протокол от 10.12.2021 № 10), в связи с чем Стратегия развития Группы РусГидро является внутренним документом Общества, а её требования – обязательными для Общества.</w:t>
      </w:r>
    </w:p>
    <w:p>
      <w:pPr>
        <w:pStyle w:val="Normal"/>
        <w:jc w:val="both"/>
        <w:rPr>
          <w:i/>
          <w:i/>
          <w:iCs/>
        </w:rPr>
      </w:pPr>
      <w:r>
        <w:rPr>
          <w:i/>
          <w:iCs/>
        </w:rPr>
      </w:r>
    </w:p>
    <w:p>
      <w:pPr>
        <w:pStyle w:val="Normal"/>
        <w:jc w:val="both"/>
        <w:rPr>
          <w:i/>
          <w:i/>
          <w:iCs/>
        </w:rPr>
      </w:pPr>
      <w:r>
        <w:rPr>
          <w:b/>
          <w:bCs/>
          <w:i/>
          <w:iCs/>
        </w:rPr>
        <w:t xml:space="preserve">На заседании Совета Директоров ПАО «РусГидро» в 2022 году утверждена Концепция использования ВИЭ и сетевой инфраструктуры для модернизации системы тепло- и электроснабжения Камчатского края (далее – Концепция). </w:t>
      </w:r>
    </w:p>
    <w:p>
      <w:pPr>
        <w:pStyle w:val="Normal"/>
        <w:jc w:val="both"/>
        <w:rPr>
          <w:i/>
          <w:i/>
          <w:iCs/>
        </w:rPr>
      </w:pPr>
      <w:r>
        <w:rPr>
          <w:i/>
          <w:iCs/>
        </w:rPr>
      </w:r>
    </w:p>
    <w:p>
      <w:pPr>
        <w:pStyle w:val="Normal"/>
        <w:jc w:val="both"/>
        <w:rPr>
          <w:i/>
          <w:i/>
          <w:iCs/>
        </w:rPr>
      </w:pPr>
      <w:r>
        <w:rPr>
          <w:b/>
          <w:bCs/>
          <w:i/>
          <w:iCs/>
        </w:rPr>
        <w:t>В рамках исполнения поручения Совета директоров ПАО «РусГидро» ведется проработка технико-экономических параметров проектов по модернизации систем электроснабжения с использованием возобновляемые источники энергии (далее - ВИЭ) для Камчатского края, а также детальная проработка технических и стоимостных параметров, вариантов реализации проектов, предложенных в рамках Концепции использования ВИЭ, предполагающих строительство бестопливных объектов генерации (ГеоЭС, ВЭС, ГЭС).</w:t>
      </w:r>
    </w:p>
    <w:p>
      <w:pPr>
        <w:pStyle w:val="Normal"/>
        <w:jc w:val="both"/>
        <w:rPr>
          <w:i/>
          <w:i/>
          <w:iCs/>
        </w:rPr>
      </w:pPr>
      <w:r>
        <w:rPr>
          <w:i/>
          <w:iCs/>
        </w:rPr>
      </w:r>
    </w:p>
    <w:p>
      <w:pPr>
        <w:pStyle w:val="Normal"/>
        <w:jc w:val="both"/>
        <w:rPr>
          <w:i/>
          <w:i/>
          <w:iCs/>
        </w:rPr>
      </w:pPr>
      <w:r>
        <w:rPr>
          <w:b/>
          <w:bCs/>
          <w:i/>
          <w:iCs/>
        </w:rPr>
        <w:t>С целью возможности увеличения доли использования ВИЭ ПАО «Камчатскэнерго» продолжает реализацию договоров с АО «Ленгидропроект» на разработк</w:t>
      </w:r>
      <w:r>
        <w:rPr>
          <w:rFonts w:eastAsia="0" w:cs="0"/>
          <w:b/>
          <w:bCs/>
          <w:i/>
          <w:iCs/>
          <w:color w:val="000000"/>
          <w:kern w:val="0"/>
          <w:sz w:val="20"/>
          <w:szCs w:val="24"/>
          <w:lang w:val="ru-RU" w:eastAsia="zh-CN" w:bidi="hi-IN"/>
        </w:rPr>
        <w:t>у проектно-сметной документации «Комплекс электроснабжения. Строительство Скалистой ГеоЭС» и на разработку проектно-сметной документации по проекту «Стро</w:t>
      </w:r>
      <w:r>
        <w:rPr>
          <w:b/>
          <w:bCs/>
          <w:i/>
          <w:iCs/>
        </w:rPr>
        <w:t>ительство ГЭС-4 каскада Толмачевских ГЭС».</w:t>
      </w:r>
    </w:p>
    <w:p>
      <w:pPr>
        <w:pStyle w:val="Normal"/>
        <w:jc w:val="both"/>
        <w:rPr>
          <w:i/>
          <w:i/>
          <w:iCs/>
        </w:rPr>
      </w:pPr>
      <w:r>
        <w:rPr>
          <w:i/>
          <w:iCs/>
        </w:rPr>
      </w:r>
    </w:p>
    <w:p>
      <w:pPr>
        <w:pStyle w:val="Normal"/>
        <w:jc w:val="both"/>
        <w:rPr>
          <w:i/>
          <w:i/>
          <w:iCs/>
        </w:rPr>
      </w:pPr>
      <w:r>
        <w:rPr>
          <w:b/>
          <w:bCs/>
          <w:i/>
          <w:iCs/>
        </w:rPr>
        <w:t>Для увели</w:t>
      </w:r>
      <w:r>
        <w:rPr>
          <w:b/>
          <w:bCs/>
          <w:i/>
          <w:iCs/>
          <w:shd w:fill="auto" w:val="clear"/>
        </w:rPr>
        <w:t xml:space="preserve">чения доли использования Мутновского геотермального месторождения в 2024 году заключен меморандум между ПАО «РусГидро» и АО «Зарубежнефть» для совместной реализации проекта по строительству геотермальной электростанции Мутновской ГеоЭС-2 с бинарным энергоблоком. </w:t>
      </w:r>
      <w:r>
        <w:rPr>
          <w:rFonts w:eastAsia="0" w:cs="0"/>
          <w:b/>
          <w:bCs/>
          <w:i/>
          <w:iCs/>
          <w:color w:val="000000"/>
          <w:kern w:val="0"/>
          <w:sz w:val="20"/>
          <w:szCs w:val="24"/>
          <w:shd w:fill="auto" w:val="clear"/>
          <w:lang w:val="ru-RU" w:eastAsia="zh-CN" w:bidi="hi-IN"/>
        </w:rPr>
        <w:t>Для достижения вышеназванных целей в октябре 2025 года были заключены договоры с АО «Ленгидропроект» по разработке проектно-сметной документации «Строительство МГеоЭС-2» и ООО «ЗН Геотерм» на проведение геологоразведочных работ на южном блоке участка Дачный Мутновского месторождения. По итогу на конец 2025 года был осуществлен сбор информации для проектирования и начат этап инженерных изысканий для принятия основных технических решений.</w:t>
      </w:r>
    </w:p>
    <w:p>
      <w:pPr>
        <w:pStyle w:val="Normal"/>
        <w:jc w:val="both"/>
        <w:rPr>
          <w:i/>
          <w:i/>
          <w:iCs/>
        </w:rPr>
      </w:pPr>
      <w:r>
        <w:rPr>
          <w:i/>
          <w:iCs/>
        </w:rPr>
      </w:r>
    </w:p>
    <w:p>
      <w:pPr>
        <w:pStyle w:val="Normal"/>
        <w:jc w:val="both"/>
        <w:rPr>
          <w:rFonts w:ascii="0" w:hAnsi="0" w:eastAsia="0" w:cs="0"/>
          <w:b/>
          <w:bCs/>
          <w:i/>
          <w:i/>
          <w:iCs/>
          <w:color w:val="000000"/>
          <w:kern w:val="0"/>
          <w:sz w:val="20"/>
          <w:szCs w:val="24"/>
          <w:shd w:fill="auto" w:val="clear"/>
          <w:lang w:val="ru-RU" w:eastAsia="zh-CN" w:bidi="hi-IN"/>
        </w:rPr>
      </w:pPr>
      <w:r>
        <w:rPr>
          <w:rFonts w:eastAsia="0" w:cs="0"/>
          <w:b/>
          <w:bCs/>
          <w:i/>
          <w:iCs/>
          <w:color w:val="000000"/>
          <w:kern w:val="0"/>
          <w:sz w:val="20"/>
          <w:szCs w:val="24"/>
          <w:shd w:fill="auto" w:val="clear"/>
          <w:lang w:val="ru-RU" w:eastAsia="zh-CN" w:bidi="hi-IN"/>
        </w:rPr>
        <w:t>В результате реализации мероприятий по строительству бинарной электростанции (Скалистая ГеоЭС) на территории МГеоЭС-1, строительство 4-ой ступени каскада  ГЭС на р. Толмачева, строительству Мутновской ГеоЭС-2 с бинарным блоком, а также проектов Концепции сократится расход топлива на Камчатских ТЭЦ за счет его замещения возобновляемыми источниками энергии. </w:t>
      </w:r>
    </w:p>
    <w:p>
      <w:pPr>
        <w:pStyle w:val="Normal"/>
        <w:jc w:val="both"/>
        <w:rPr>
          <w:rFonts w:ascii="0" w:hAnsi="0" w:eastAsia="0" w:cs="0"/>
          <w:b/>
          <w:bCs/>
          <w:i/>
          <w:i/>
          <w:iCs/>
          <w:color w:val="000000"/>
          <w:kern w:val="0"/>
          <w:sz w:val="20"/>
          <w:szCs w:val="24"/>
          <w:shd w:fill="auto" w:val="clear"/>
          <w:lang w:val="ru-RU" w:eastAsia="zh-CN" w:bidi="hi-IN"/>
        </w:rPr>
      </w:pPr>
      <w:r>
        <w:rPr>
          <w:rFonts w:eastAsia="0" w:cs="0"/>
          <w:b/>
          <w:bCs/>
          <w:i/>
          <w:iCs/>
          <w:color w:val="000000"/>
          <w:kern w:val="0"/>
          <w:sz w:val="20"/>
          <w:szCs w:val="24"/>
          <w:shd w:fill="auto" w:val="clear"/>
          <w:lang w:val="ru-RU" w:eastAsia="zh-CN" w:bidi="hi-IN"/>
        </w:rPr>
      </w:r>
    </w:p>
    <w:p>
      <w:pPr>
        <w:pStyle w:val="Normal"/>
        <w:jc w:val="both"/>
        <w:rPr/>
      </w:pPr>
      <w:r>
        <w:rPr>
          <w:rFonts w:cs="Tahoma"/>
          <w:bCs/>
          <w:szCs w:val="20"/>
        </w:rPr>
        <w:t xml:space="preserve">Планы, касающиеся организации нового производства - </w:t>
      </w:r>
      <w:r>
        <w:rPr>
          <w:rFonts w:cs="Tahoma"/>
          <w:b/>
          <w:szCs w:val="20"/>
        </w:rPr>
        <w:t>отсутствуют</w:t>
      </w:r>
    </w:p>
    <w:p>
      <w:pPr>
        <w:pStyle w:val="Normal"/>
        <w:jc w:val="both"/>
        <w:rPr/>
      </w:pPr>
      <w:r>
        <w:rPr>
          <w:rFonts w:cs="Tahoma"/>
          <w:bCs/>
          <w:szCs w:val="20"/>
        </w:rPr>
        <w:t xml:space="preserve">Планы, касающиеся расширения производства – </w:t>
      </w:r>
      <w:r>
        <w:rPr>
          <w:rFonts w:cs="Tahoma"/>
          <w:b/>
          <w:i/>
          <w:iCs/>
          <w:szCs w:val="20"/>
        </w:rPr>
        <w:t>Модернизация теплогенерирующих и теплосетевых объектов в рамках заключенных концессионных соглашений,</w:t>
      </w:r>
      <w:r>
        <w:rPr>
          <w:rFonts w:cs="Tahoma"/>
          <w:bCs/>
          <w:i/>
          <w:iCs/>
          <w:szCs w:val="20"/>
        </w:rPr>
        <w:t xml:space="preserve"> </w:t>
      </w:r>
      <w:r>
        <w:rPr>
          <w:rFonts w:cs="Tahoma"/>
          <w:b/>
          <w:i/>
          <w:iCs/>
          <w:szCs w:val="20"/>
        </w:rPr>
        <w:t>Развитие электросетевой инфраструктуры, использование ВИЭ</w:t>
      </w:r>
      <w:r>
        <w:rPr>
          <w:rFonts w:cs="Tahoma"/>
          <w:b/>
          <w:szCs w:val="20"/>
        </w:rPr>
        <w:t>.</w:t>
      </w:r>
    </w:p>
    <w:p>
      <w:pPr>
        <w:pStyle w:val="Normal"/>
        <w:jc w:val="both"/>
        <w:rPr/>
      </w:pPr>
      <w:r>
        <w:rPr>
          <w:rFonts w:cs="Tahoma"/>
          <w:bCs/>
          <w:szCs w:val="20"/>
        </w:rPr>
        <w:t xml:space="preserve">Планы, касающиеся сокращения производства - </w:t>
      </w:r>
      <w:r>
        <w:rPr>
          <w:rFonts w:cs="Tahoma"/>
          <w:b/>
          <w:i/>
          <w:iCs/>
          <w:szCs w:val="20"/>
        </w:rPr>
        <w:t>отсутствуют</w:t>
      </w:r>
    </w:p>
    <w:p>
      <w:pPr>
        <w:pStyle w:val="Normal"/>
        <w:jc w:val="both"/>
        <w:rPr/>
      </w:pPr>
      <w:r>
        <w:rPr>
          <w:rFonts w:cs="Tahoma"/>
          <w:bCs/>
          <w:szCs w:val="20"/>
        </w:rPr>
        <w:t>Планы, касающиеся</w:t>
      </w:r>
      <w:r>
        <w:rPr>
          <w:rFonts w:cs="Tahoma"/>
          <w:szCs w:val="20"/>
        </w:rPr>
        <w:t xml:space="preserve"> </w:t>
      </w:r>
      <w:r>
        <w:rPr>
          <w:rFonts w:cs="Tahoma"/>
          <w:bCs/>
          <w:szCs w:val="20"/>
        </w:rPr>
        <w:t xml:space="preserve">разработки новых видов продукции - </w:t>
      </w:r>
      <w:r>
        <w:rPr>
          <w:rFonts w:cs="Tahoma"/>
          <w:b/>
          <w:i/>
          <w:iCs/>
          <w:szCs w:val="20"/>
        </w:rPr>
        <w:t>отсутствуют</w:t>
      </w:r>
    </w:p>
    <w:p>
      <w:pPr>
        <w:pStyle w:val="Normal"/>
        <w:jc w:val="both"/>
        <w:rPr/>
      </w:pPr>
      <w:r>
        <w:rPr>
          <w:rFonts w:cs="Tahoma"/>
          <w:bCs/>
          <w:szCs w:val="20"/>
        </w:rPr>
        <w:t>Планы, касающиеся</w:t>
      </w:r>
      <w:r>
        <w:rPr>
          <w:rFonts w:cs="Tahoma"/>
          <w:szCs w:val="20"/>
        </w:rPr>
        <w:t xml:space="preserve"> </w:t>
      </w:r>
      <w:r>
        <w:rPr>
          <w:rFonts w:cs="Tahoma"/>
          <w:bCs/>
          <w:szCs w:val="20"/>
        </w:rPr>
        <w:t xml:space="preserve">модернизации основных средств – </w:t>
      </w:r>
      <w:r>
        <w:rPr>
          <w:rFonts w:cs="Tahoma"/>
          <w:b/>
          <w:i/>
          <w:iCs/>
          <w:szCs w:val="20"/>
        </w:rPr>
        <w:t>отражены в составе перспективных инвестиционных программ ПАО «Камчатскэнерго» и АО «ЮЭСК» (модернизация генерирующего оборудования, электро- и теплосетевого комплекса Обществ)</w:t>
      </w:r>
    </w:p>
    <w:p>
      <w:pPr>
        <w:pStyle w:val="Normal"/>
        <w:jc w:val="both"/>
        <w:rPr/>
      </w:pPr>
      <w:r>
        <w:rPr>
          <w:rFonts w:cs="Tahoma"/>
          <w:bCs/>
          <w:szCs w:val="20"/>
        </w:rPr>
        <w:t>Планы, касающиеся</w:t>
      </w:r>
      <w:r>
        <w:rPr>
          <w:rFonts w:cs="Tahoma"/>
          <w:szCs w:val="20"/>
        </w:rPr>
        <w:t xml:space="preserve"> </w:t>
      </w:r>
      <w:r>
        <w:rPr>
          <w:rFonts w:cs="Tahoma"/>
          <w:bCs/>
          <w:szCs w:val="20"/>
        </w:rPr>
        <w:t xml:space="preserve">реконструкции основных средств - </w:t>
      </w:r>
      <w:r>
        <w:rPr>
          <w:rFonts w:cs="Tahoma"/>
          <w:b/>
          <w:i/>
          <w:iCs/>
          <w:szCs w:val="20"/>
        </w:rPr>
        <w:t>отражены в составе перспективных инвестиционных программ ПАО «Камчатскэнерго» и АО «ЮЭСК» (модернизация генерирующего оборудования, электро- и теплосетевого комплекса Обществ)</w:t>
      </w:r>
    </w:p>
    <w:p>
      <w:pPr>
        <w:pStyle w:val="Normal"/>
        <w:jc w:val="both"/>
        <w:rPr/>
      </w:pPr>
      <w:r>
        <w:rPr>
          <w:rFonts w:cs="Tahoma"/>
          <w:bCs/>
          <w:szCs w:val="20"/>
        </w:rPr>
        <w:t>Планы, касающиеся возможного изменения основной деятельности –</w:t>
      </w:r>
      <w:r>
        <w:rPr>
          <w:rFonts w:cs="Tahoma"/>
          <w:szCs w:val="20"/>
        </w:rPr>
        <w:t xml:space="preserve"> </w:t>
      </w:r>
      <w:r>
        <w:rPr>
          <w:rFonts w:eastAsia="0" w:cs="Tahoma"/>
          <w:b/>
          <w:i/>
          <w:iCs/>
          <w:color w:val="000000"/>
          <w:kern w:val="0"/>
          <w:sz w:val="20"/>
          <w:szCs w:val="20"/>
          <w:lang w:val="ru-RU" w:eastAsia="zh-CN" w:bidi="hi-IN"/>
        </w:rPr>
        <w:t>отсутствуют.</w:t>
      </w:r>
    </w:p>
    <w:p>
      <w:pPr>
        <w:pStyle w:val="Normal"/>
        <w:jc w:val="both"/>
        <w:rPr>
          <w:rFonts w:ascii="0" w:hAnsi="0" w:eastAsia="0" w:cs="Tahoma"/>
          <w:b/>
          <w:i/>
          <w:i/>
          <w:iCs/>
          <w:color w:val="000000"/>
          <w:kern w:val="0"/>
          <w:sz w:val="20"/>
          <w:szCs w:val="20"/>
          <w:highlight w:val="none"/>
          <w:shd w:fill="auto" w:val="clear"/>
          <w:lang w:val="ru-RU" w:eastAsia="zh-CN" w:bidi="hi-IN"/>
        </w:rPr>
      </w:pPr>
      <w:r>
        <w:rPr>
          <w:rFonts w:eastAsia="0" w:cs="Tahoma"/>
          <w:b/>
          <w:i/>
          <w:iCs/>
          <w:color w:val="000000"/>
          <w:kern w:val="0"/>
          <w:sz w:val="20"/>
          <w:szCs w:val="20"/>
          <w:shd w:fill="auto" w:val="clear"/>
          <w:lang w:val="ru-RU" w:eastAsia="zh-CN" w:bidi="hi-IN"/>
        </w:rPr>
      </w:r>
    </w:p>
    <w:p>
      <w:pPr>
        <w:pStyle w:val="2"/>
        <w:spacing w:before="240" w:after="40"/>
        <w:contextualSpacing/>
        <w:jc w:val="both"/>
        <w:rPr>
          <w:highlight w:val="none"/>
          <w:shd w:fill="auto" w:val="clear"/>
        </w:rPr>
      </w:pPr>
      <w:r>
        <w:rPr>
          <w:shd w:fill="auto" w:val="clear"/>
        </w:rPr>
        <w:t>1.9. Сведения о рисках, связанных с деятельностью эмитента</w:t>
      </w:r>
    </w:p>
    <w:p>
      <w:pPr>
        <w:pStyle w:val="Normal"/>
        <w:spacing w:before="20" w:after="40"/>
        <w:contextualSpacing/>
        <w:jc w:val="both"/>
        <w:rPr/>
      </w:pPr>
      <w:r>
        <w:rPr>
          <w:shd w:fill="auto" w:val="clear"/>
        </w:rPr>
        <w:t>Риски, реали</w:t>
      </w:r>
      <w:r>
        <w:rPr/>
        <w:t>зация которых может оказать существенное влияние на финансово-хозяйственную деятельность и финансовое положение    группы эмитента.</w:t>
      </w:r>
    </w:p>
    <w:p>
      <w:pPr>
        <w:pStyle w:val="Normal"/>
        <w:spacing w:before="20" w:after="40"/>
        <w:contextualSpacing/>
        <w:jc w:val="both"/>
        <w:rPr/>
      </w:pPr>
      <w:r>
        <w:rPr/>
      </w:r>
    </w:p>
    <w:p>
      <w:pPr>
        <w:pStyle w:val="Normal"/>
        <w:spacing w:before="20" w:after="40"/>
        <w:contextualSpacing/>
        <w:jc w:val="both"/>
        <w:rPr/>
      </w:pPr>
      <w:r>
        <w:rPr/>
        <w:t>Для детализированного представления информации эмитент может приводить сведения о рисках в отношении выделяемых сегментов операционной деятельности, видов товаров (работ, услуг), географии ведения бизнеса, иных аспектов, характеризующих специфику деятельности эмитента (группы эмитента).</w:t>
      </w:r>
    </w:p>
    <w:p>
      <w:pPr>
        <w:pStyle w:val="Normal"/>
        <w:spacing w:before="20" w:after="40"/>
        <w:contextualSpacing/>
        <w:jc w:val="both"/>
        <w:rPr/>
      </w:pPr>
      <w:r>
        <w:rPr/>
      </w:r>
    </w:p>
    <w:p>
      <w:pPr>
        <w:pStyle w:val="Normal"/>
        <w:spacing w:before="20" w:after="40"/>
        <w:contextualSpacing/>
        <w:jc w:val="both"/>
        <w:rPr>
          <w:i/>
          <w:i/>
          <w:iCs/>
        </w:rPr>
      </w:pPr>
      <w:r>
        <w:rPr>
          <w:b/>
          <w:bCs/>
          <w:i/>
          <w:iCs/>
        </w:rPr>
        <w:t>Эмитент самостоятельно с учетом существенности для деятельности группы эмитента определил следующие риски, информация о которых раскрывается в п. 1.9.1-1.9.11 отчета эмитента:</w:t>
      </w:r>
    </w:p>
    <w:p>
      <w:pPr>
        <w:pStyle w:val="Normal"/>
        <w:keepLines/>
        <w:tabs>
          <w:tab w:val="clear" w:pos="720"/>
          <w:tab w:val="left" w:pos="1134" w:leader="none"/>
        </w:tabs>
        <w:ind w:left="709" w:hanging="0"/>
        <w:jc w:val="both"/>
        <w:rPr>
          <w:i/>
          <w:i/>
          <w:iCs/>
        </w:rPr>
      </w:pPr>
      <w:r>
        <w:rPr>
          <w:b/>
          <w:bCs/>
          <w:i/>
          <w:iCs/>
        </w:rPr>
        <w:t>На деятельность Обществ влияют следующие виды рисков:</w:t>
      </w:r>
    </w:p>
    <w:p>
      <w:pPr>
        <w:pStyle w:val="Default"/>
        <w:keepLines/>
        <w:numPr>
          <w:ilvl w:val="0"/>
          <w:numId w:val="2"/>
        </w:numPr>
        <w:tabs>
          <w:tab w:val="clear" w:pos="720"/>
          <w:tab w:val="left" w:pos="1134" w:leader="none"/>
        </w:tabs>
        <w:ind w:left="720" w:hanging="360"/>
        <w:jc w:val="both"/>
        <w:rPr>
          <w:i/>
          <w:i/>
          <w:iCs/>
        </w:rPr>
      </w:pPr>
      <w:r>
        <w:rPr>
          <w:b/>
          <w:bCs/>
          <w:i/>
          <w:iCs/>
          <w:sz w:val="20"/>
        </w:rPr>
        <w:t>отраслевые (рыночные) риски;</w:t>
      </w:r>
    </w:p>
    <w:p>
      <w:pPr>
        <w:pStyle w:val="Default"/>
        <w:keepLines/>
        <w:numPr>
          <w:ilvl w:val="0"/>
          <w:numId w:val="2"/>
        </w:numPr>
        <w:tabs>
          <w:tab w:val="clear" w:pos="720"/>
          <w:tab w:val="left" w:pos="1134" w:leader="none"/>
        </w:tabs>
        <w:ind w:left="720" w:hanging="360"/>
        <w:jc w:val="both"/>
        <w:rPr>
          <w:i/>
          <w:i/>
          <w:iCs/>
        </w:rPr>
      </w:pPr>
      <w:r>
        <w:rPr>
          <w:b/>
          <w:bCs/>
          <w:i/>
          <w:iCs/>
          <w:sz w:val="20"/>
        </w:rPr>
        <w:t>страновые и региональные риски;</w:t>
      </w:r>
    </w:p>
    <w:p>
      <w:pPr>
        <w:pStyle w:val="Default"/>
        <w:keepLines/>
        <w:numPr>
          <w:ilvl w:val="0"/>
          <w:numId w:val="2"/>
        </w:numPr>
        <w:tabs>
          <w:tab w:val="clear" w:pos="720"/>
          <w:tab w:val="left" w:pos="1134" w:leader="none"/>
        </w:tabs>
        <w:ind w:left="720" w:hanging="360"/>
        <w:jc w:val="both"/>
        <w:rPr>
          <w:i/>
          <w:i/>
          <w:iCs/>
        </w:rPr>
      </w:pPr>
      <w:r>
        <w:rPr>
          <w:b/>
          <w:bCs/>
          <w:i/>
          <w:iCs/>
          <w:sz w:val="20"/>
        </w:rPr>
        <w:t>финансовые риски;</w:t>
      </w:r>
    </w:p>
    <w:p>
      <w:pPr>
        <w:pStyle w:val="Default"/>
        <w:keepLines/>
        <w:numPr>
          <w:ilvl w:val="0"/>
          <w:numId w:val="2"/>
        </w:numPr>
        <w:tabs>
          <w:tab w:val="clear" w:pos="720"/>
          <w:tab w:val="left" w:pos="1134" w:leader="none"/>
        </w:tabs>
        <w:ind w:left="720" w:hanging="360"/>
        <w:jc w:val="both"/>
        <w:rPr>
          <w:i/>
          <w:i/>
          <w:iCs/>
        </w:rPr>
      </w:pPr>
      <w:r>
        <w:rPr>
          <w:b/>
          <w:bCs/>
          <w:i/>
          <w:iCs/>
          <w:sz w:val="20"/>
        </w:rPr>
        <w:t>правовые риски;</w:t>
      </w:r>
    </w:p>
    <w:p>
      <w:pPr>
        <w:pStyle w:val="Default"/>
        <w:keepLines/>
        <w:numPr>
          <w:ilvl w:val="0"/>
          <w:numId w:val="2"/>
        </w:numPr>
        <w:tabs>
          <w:tab w:val="clear" w:pos="720"/>
          <w:tab w:val="left" w:pos="1134" w:leader="none"/>
        </w:tabs>
        <w:ind w:left="720" w:hanging="360"/>
        <w:jc w:val="both"/>
        <w:rPr>
          <w:i/>
          <w:i/>
          <w:iCs/>
        </w:rPr>
      </w:pPr>
      <w:r>
        <w:rPr>
          <w:b/>
          <w:bCs/>
          <w:i/>
          <w:iCs/>
          <w:sz w:val="20"/>
        </w:rPr>
        <w:t>риск потери деловой репутации (репутационный);</w:t>
      </w:r>
    </w:p>
    <w:p>
      <w:pPr>
        <w:pStyle w:val="Default"/>
        <w:keepLines/>
        <w:numPr>
          <w:ilvl w:val="0"/>
          <w:numId w:val="2"/>
        </w:numPr>
        <w:tabs>
          <w:tab w:val="clear" w:pos="720"/>
          <w:tab w:val="left" w:pos="1134" w:leader="none"/>
        </w:tabs>
        <w:ind w:left="720" w:hanging="360"/>
        <w:jc w:val="both"/>
        <w:rPr>
          <w:i/>
          <w:i/>
          <w:iCs/>
        </w:rPr>
      </w:pPr>
      <w:r>
        <w:rPr>
          <w:b/>
          <w:bCs/>
          <w:i/>
          <w:iCs/>
          <w:sz w:val="20"/>
        </w:rPr>
        <w:t>стратегический риск;</w:t>
      </w:r>
    </w:p>
    <w:p>
      <w:pPr>
        <w:pStyle w:val="Default"/>
        <w:keepLines/>
        <w:numPr>
          <w:ilvl w:val="0"/>
          <w:numId w:val="2"/>
        </w:numPr>
        <w:tabs>
          <w:tab w:val="clear" w:pos="720"/>
          <w:tab w:val="left" w:pos="1134" w:leader="none"/>
        </w:tabs>
        <w:ind w:left="720" w:hanging="360"/>
        <w:jc w:val="both"/>
        <w:rPr>
          <w:i/>
          <w:i/>
          <w:iCs/>
        </w:rPr>
      </w:pPr>
      <w:r>
        <w:rPr>
          <w:b/>
          <w:bCs/>
          <w:i/>
          <w:iCs/>
          <w:sz w:val="20"/>
        </w:rPr>
        <w:t>Риск связанные с деятельностью эмитента;</w:t>
      </w:r>
    </w:p>
    <w:p>
      <w:pPr>
        <w:pStyle w:val="Default"/>
        <w:numPr>
          <w:ilvl w:val="0"/>
          <w:numId w:val="2"/>
        </w:numPr>
        <w:tabs>
          <w:tab w:val="clear" w:pos="720"/>
          <w:tab w:val="left" w:pos="1134" w:leader="none"/>
        </w:tabs>
        <w:ind w:left="720" w:hanging="360"/>
        <w:jc w:val="both"/>
        <w:rPr>
          <w:i/>
          <w:i/>
          <w:iCs/>
        </w:rPr>
      </w:pPr>
      <w:r>
        <w:rPr>
          <w:b/>
          <w:bCs/>
          <w:i/>
          <w:iCs/>
          <w:sz w:val="20"/>
        </w:rPr>
        <w:t>Риск информационной безопасности;</w:t>
      </w:r>
    </w:p>
    <w:p>
      <w:pPr>
        <w:pStyle w:val="Default"/>
        <w:numPr>
          <w:ilvl w:val="0"/>
          <w:numId w:val="2"/>
        </w:numPr>
        <w:tabs>
          <w:tab w:val="clear" w:pos="720"/>
          <w:tab w:val="left" w:pos="1134" w:leader="none"/>
        </w:tabs>
        <w:ind w:left="720" w:hanging="360"/>
        <w:jc w:val="both"/>
        <w:rPr>
          <w:i/>
          <w:i/>
          <w:iCs/>
        </w:rPr>
      </w:pPr>
      <w:r>
        <w:rPr>
          <w:b/>
          <w:bCs/>
          <w:i/>
          <w:iCs/>
          <w:sz w:val="20"/>
        </w:rPr>
        <w:t>экологический риск;</w:t>
      </w:r>
    </w:p>
    <w:p>
      <w:pPr>
        <w:pStyle w:val="Default"/>
        <w:numPr>
          <w:ilvl w:val="0"/>
          <w:numId w:val="2"/>
        </w:numPr>
        <w:tabs>
          <w:tab w:val="clear" w:pos="720"/>
          <w:tab w:val="left" w:pos="1134" w:leader="none"/>
        </w:tabs>
        <w:ind w:left="720" w:hanging="360"/>
        <w:jc w:val="both"/>
        <w:rPr>
          <w:i/>
          <w:i/>
          <w:iCs/>
        </w:rPr>
      </w:pPr>
      <w:r>
        <w:rPr>
          <w:b/>
          <w:bCs/>
          <w:i/>
          <w:iCs/>
          <w:sz w:val="20"/>
        </w:rPr>
        <w:t>природно-климатический риск;</w:t>
      </w:r>
    </w:p>
    <w:p>
      <w:pPr>
        <w:pStyle w:val="Default"/>
        <w:numPr>
          <w:ilvl w:val="0"/>
          <w:numId w:val="2"/>
        </w:numPr>
        <w:tabs>
          <w:tab w:val="clear" w:pos="720"/>
          <w:tab w:val="left" w:pos="1134" w:leader="none"/>
        </w:tabs>
        <w:ind w:left="720" w:hanging="360"/>
        <w:jc w:val="both"/>
        <w:rPr>
          <w:i/>
          <w:i/>
          <w:iCs/>
        </w:rPr>
      </w:pPr>
      <w:r>
        <w:rPr>
          <w:b/>
          <w:bCs/>
          <w:i/>
          <w:iCs/>
          <w:sz w:val="20"/>
        </w:rPr>
        <w:t>иные риски, которые являются существенными для эмитента (группы эмитента).</w:t>
      </w:r>
    </w:p>
    <w:p>
      <w:pPr>
        <w:pStyle w:val="Normal"/>
        <w:spacing w:before="20" w:after="40"/>
        <w:contextualSpacing/>
        <w:jc w:val="both"/>
        <w:rPr>
          <w:i/>
          <w:i/>
          <w:iCs/>
        </w:rPr>
      </w:pPr>
      <w:r>
        <w:rPr>
          <w:b/>
          <w:bCs/>
          <w:i/>
          <w:iCs/>
        </w:rPr>
        <w:t>Возможных последствий реализации каждого из описанных рисков применительно к группе эмитента с учетом специфики деятельности группы эмитента.</w:t>
      </w:r>
    </w:p>
    <w:p>
      <w:pPr>
        <w:pStyle w:val="Normal"/>
        <w:tabs>
          <w:tab w:val="clear" w:pos="720"/>
          <w:tab w:val="left" w:pos="709" w:leader="none"/>
        </w:tabs>
        <w:ind w:firstLine="567"/>
        <w:jc w:val="both"/>
        <w:rPr>
          <w:i/>
          <w:i/>
          <w:iCs/>
        </w:rPr>
      </w:pPr>
      <w:r>
        <w:rPr>
          <w:b/>
          <w:bCs/>
          <w:i/>
          <w:iCs/>
        </w:rPr>
        <w:t>Реализация описанных в   1.9.1-1.9.11 отчета эмитента рисков может оказать негативное влияние на финансово-хозяйственную деятельность и финансовое положение Группы, может привести к снижению надежности и безопасности функционирования объектов Группы, операционной эффективности, а также снижению выручки и прибыли Группы.</w:t>
      </w:r>
    </w:p>
    <w:p>
      <w:pPr>
        <w:pStyle w:val="Normal"/>
        <w:tabs>
          <w:tab w:val="clear" w:pos="720"/>
          <w:tab w:val="left" w:pos="709" w:leader="none"/>
        </w:tabs>
        <w:ind w:firstLine="567"/>
        <w:jc w:val="both"/>
        <w:rPr>
          <w:i/>
          <w:i/>
          <w:iCs/>
        </w:rPr>
      </w:pPr>
      <w:r>
        <w:rPr>
          <w:b/>
          <w:bCs/>
          <w:i/>
          <w:iCs/>
        </w:rPr>
        <w:t>Для обеспечения обеспечение разумной гарантии достижения стратегических целей, целей операционной деятельности, соблюдения законодательных требований и представления достоверной отчетности группа эмитента (ПАО «Камчатскэнерго» и АО «ЮЭСК», далее - Общества) осуществляет деятельность по управлению    рисками. Общества осуществляют управление рисками в рамках системы внутреннего контроля и управления рисками (далее - СВКиУР). Функционирование СВКиУР группы эмитента осуществляется в рамках СВКиУР Группы РусГидро.</w:t>
      </w:r>
    </w:p>
    <w:p>
      <w:pPr>
        <w:pStyle w:val="Normal"/>
        <w:tabs>
          <w:tab w:val="clear" w:pos="720"/>
          <w:tab w:val="left" w:pos="709" w:leader="none"/>
        </w:tabs>
        <w:ind w:firstLine="567"/>
        <w:jc w:val="both"/>
        <w:rPr>
          <w:shd w:fill="FFFF00" w:val="clear"/>
        </w:rPr>
      </w:pPr>
      <w:r>
        <w:rPr>
          <w:shd w:fill="FFFF00" w:val="clear"/>
        </w:rPr>
      </w:r>
    </w:p>
    <w:p>
      <w:pPr>
        <w:pStyle w:val="2"/>
        <w:spacing w:before="0" w:after="0"/>
        <w:contextualSpacing/>
        <w:jc w:val="both"/>
        <w:rPr>
          <w:highlight w:val="none"/>
          <w:shd w:fill="auto" w:val="clear"/>
        </w:rPr>
      </w:pPr>
      <w:r>
        <w:rPr>
          <w:shd w:fill="auto" w:val="clear"/>
        </w:rPr>
        <w:t>1.9.1. Отраслевые риски</w:t>
      </w:r>
    </w:p>
    <w:p>
      <w:pPr>
        <w:pStyle w:val="Normal"/>
        <w:jc w:val="both"/>
        <w:rPr/>
      </w:pPr>
      <w:r>
        <w:rPr/>
        <w:t>Риски, характерные для отрасли, в которой эмитент (группа эмитента) осуществляет основную финансово-хозяйственную деятельность. При этом описывается влияние возможного ухудшения ситуации в отрасли на деятельность эмитента (группы эмитента) и исполнение обязательств по ценным бумагам. Приводятся наиболее значимые, по мнению эмитента, возможные изменения в отрасли (отдельно на рынке Российской Федерации и рынках за пределами Российской Федерации).</w:t>
      </w:r>
    </w:p>
    <w:p>
      <w:pPr>
        <w:pStyle w:val="Normal"/>
        <w:ind w:firstLine="567"/>
        <w:jc w:val="both"/>
        <w:rPr>
          <w:i/>
          <w:i/>
          <w:iCs/>
        </w:rPr>
      </w:pPr>
      <w:r>
        <w:rPr>
          <w:rFonts w:cs="Tahoma"/>
          <w:b/>
          <w:i/>
          <w:iCs/>
          <w:szCs w:val="20"/>
        </w:rPr>
        <w:t xml:space="preserve">Энергетика является базовой отраслью экономики, обеспечивающей электрической и тепловой энергией внутренние потребности бизнеса и населения. Отрасль характеризуется высокой сложностью, социальной ответственностью и рискованностью.  В процессе управления рисками необходимо учитывать требования к отрасли: покрытие темпов роста спроса на энергию с учетом трансформации экономики и промышленности, необходимость соблюдения параметров инвестиционных программ и реализации инициатив, предусмотренных стратегией (иными документами перспективного развития), модернизация и внедрение современных технологий, обеспечение надежности энергоснабжения потребителей (в т.ч.  соблюдение требований антитеррористической защищенности производственных объектов). </w:t>
      </w:r>
    </w:p>
    <w:p>
      <w:pPr>
        <w:pStyle w:val="Normal"/>
        <w:ind w:firstLine="567"/>
        <w:jc w:val="both"/>
        <w:rPr/>
      </w:pPr>
      <w:r>
        <w:rPr>
          <w:rFonts w:cs="Tahoma"/>
          <w:b/>
          <w:i/>
          <w:iCs/>
          <w:szCs w:val="20"/>
        </w:rPr>
        <w:t xml:space="preserve">Для управления рисками невыполнения параметров инвестиционных программ и технологического присоединения перспективных потребителей Группа эмитента проводит постоянный мониторинг выполнения </w:t>
      </w:r>
      <w:r>
        <w:rPr>
          <w:rFonts w:cs="Tahoma"/>
          <w:b/>
          <w:i/>
          <w:iCs/>
          <w:sz w:val="20"/>
          <w:szCs w:val="20"/>
        </w:rPr>
        <w:t xml:space="preserve">обязательств подрядными организациями, контроль подготовки технических требований и документов на закупку, а также взаимодействие со специализированными организациями Группы (АО УК «ГидроОГК»).  </w:t>
      </w:r>
    </w:p>
    <w:p>
      <w:pPr>
        <w:pStyle w:val="Normal"/>
        <w:ind w:firstLine="567"/>
        <w:jc w:val="both"/>
        <w:rPr>
          <w:i/>
          <w:i/>
          <w:iCs/>
          <w:sz w:val="20"/>
          <w:szCs w:val="20"/>
        </w:rPr>
      </w:pPr>
      <w:r>
        <w:rPr>
          <w:rFonts w:cs="Tahoma"/>
          <w:b/>
          <w:i/>
          <w:iCs/>
          <w:sz w:val="20"/>
          <w:szCs w:val="20"/>
        </w:rPr>
        <w:t>Принимая во внимание расширение видов и способов совершения преступлений и правонарушений в сфере энергетики (в том числе с использованием информационных технологий), направленных на причинение экономического ущерба интересам государства, населения и организаций, а также на дестабилизацию энергетической отрасли,</w:t>
        <w:br/>
        <w:t>ПАО «Камчатскэнерго» осуществляет мероприятия по выполнению требований федерального закона № ФЗ-256 от 21.07.2011 «О безопасности объектов топливно-энергетического комплекса»</w:t>
      </w:r>
      <w:r>
        <w:rPr>
          <w:rFonts w:cs="Times New Roman" w:ascii="Times New Roman" w:hAnsi="Times New Roman"/>
          <w:i/>
          <w:iCs/>
          <w:sz w:val="20"/>
          <w:szCs w:val="20"/>
        </w:rPr>
        <w:t>.</w:t>
      </w:r>
    </w:p>
    <w:p>
      <w:pPr>
        <w:pStyle w:val="Normal"/>
        <w:spacing w:before="0" w:after="0"/>
        <w:ind w:firstLine="567"/>
        <w:contextualSpacing w:val="false"/>
        <w:jc w:val="both"/>
        <w:rPr>
          <w:i/>
          <w:i/>
          <w:iCs/>
          <w:sz w:val="20"/>
          <w:szCs w:val="20"/>
        </w:rPr>
      </w:pPr>
      <w:r>
        <w:rPr>
          <w:rFonts w:cs="Tahoma"/>
          <w:b/>
          <w:i/>
          <w:iCs/>
          <w:sz w:val="20"/>
          <w:szCs w:val="20"/>
        </w:rPr>
        <w:t>К рыночным рискам Группа эмитента относит инфляционный риск, связанный с более быстрым темпом роста текущих расходов относительно утвержденных для группы тарифов. Для снижения влияния данного риска Общества пр</w:t>
      </w:r>
      <w:r>
        <w:rPr>
          <w:rFonts w:cs="Tahoma"/>
          <w:b/>
          <w:i/>
          <w:iCs/>
          <w:sz w:val="20"/>
          <w:szCs w:val="20"/>
          <w:shd w:fill="auto" w:val="clear"/>
        </w:rPr>
        <w:t xml:space="preserve">оводят регулярный мониторинг и анализ рынка, разрабатывают мероприятия по снижению издержек операционной деятельности </w:t>
      </w:r>
    </w:p>
    <w:p>
      <w:pPr>
        <w:pStyle w:val="2"/>
        <w:spacing w:before="0" w:after="0"/>
        <w:contextualSpacing/>
        <w:jc w:val="both"/>
        <w:rPr>
          <w:sz w:val="20"/>
          <w:highlight w:val="none"/>
          <w:shd w:fill="auto" w:val="clear"/>
        </w:rPr>
      </w:pPr>
      <w:r>
        <w:rPr>
          <w:sz w:val="20"/>
          <w:shd w:fill="auto" w:val="clear"/>
        </w:rPr>
      </w:r>
    </w:p>
    <w:p>
      <w:pPr>
        <w:pStyle w:val="2"/>
        <w:spacing w:before="0" w:after="0"/>
        <w:contextualSpacing/>
        <w:jc w:val="both"/>
        <w:rPr>
          <w:highlight w:val="none"/>
          <w:shd w:fill="auto" w:val="clear"/>
        </w:rPr>
      </w:pPr>
      <w:r>
        <w:rPr>
          <w:shd w:fill="auto" w:val="clear"/>
        </w:rPr>
        <w:t>1.9.2. Страновые и региональные риски</w:t>
      </w:r>
    </w:p>
    <w:p>
      <w:pPr>
        <w:pStyle w:val="Normal"/>
        <w:jc w:val="both"/>
        <w:rPr/>
      </w:pPr>
      <w:r>
        <w:rPr>
          <w:shd w:fill="auto" w:val="clear"/>
        </w:rPr>
        <w:t>Описываются риски, связанные с политической и экономической ситуацией, военными конфликтами, введением чрезвычайного положения и забастовками, а также географическими особенностями в государстве (государствах) и административно-территориальных единицах государства, в которых зарегистрирован (зарегистрированы) в качестве налогоплательщика и (или) осуществляет (осуществляют) финансово-хозяйственну</w:t>
      </w:r>
      <w:r>
        <w:rPr/>
        <w:t>ю деятельность эмитент (подконтрольные эмитенту организации, имеющие для него существенное значение).</w:t>
      </w:r>
    </w:p>
    <w:p>
      <w:pPr>
        <w:pStyle w:val="Normal"/>
        <w:spacing w:before="0" w:after="0"/>
        <w:contextualSpacing w:val="false"/>
        <w:jc w:val="both"/>
        <w:rPr/>
      </w:pPr>
      <w:r>
        <w:rPr>
          <w:rFonts w:cs="Times New Roman"/>
          <w:b/>
          <w:bCs/>
          <w:i/>
          <w:iCs/>
          <w:szCs w:val="20"/>
        </w:rPr>
        <w:t>Территория функционирования Группы эмитента характеризуется неразвитой транспортно-логистической инфраструктурой, обуславливающей риски несвоевременного завоза топливно-энергетических ресурсов, нарушений сроков поставки оборудования и материалов. Учитывая данные обстоятельства, Группа эмитента осуществляет мероприятия по созданию и поддержанию запаса топлива, гарантирующего работу электростанций и котельных в случае сбоя в поставках по причине внешних факторов (погодных условий, отсутствия либо ограничения инфраструктуры), а также стремится обеспечить своевременный и качественный документооборот при проведении закупочных процедур.</w:t>
      </w:r>
    </w:p>
    <w:p>
      <w:pPr>
        <w:pStyle w:val="Normal"/>
        <w:spacing w:before="0" w:after="0"/>
        <w:contextualSpacing w:val="false"/>
        <w:jc w:val="both"/>
        <w:rPr>
          <w:rFonts w:cs="Times New Roman"/>
          <w:b/>
          <w:bCs/>
          <w:i/>
          <w:i/>
          <w:iCs/>
          <w:szCs w:val="20"/>
        </w:rPr>
      </w:pPr>
      <w:r>
        <w:rPr>
          <w:rFonts w:cs="Times New Roman"/>
          <w:b/>
          <w:bCs/>
          <w:i/>
          <w:iCs/>
          <w:szCs w:val="20"/>
        </w:rPr>
      </w:r>
    </w:p>
    <w:p>
      <w:pPr>
        <w:pStyle w:val="Normal"/>
        <w:spacing w:before="0" w:after="0"/>
        <w:contextualSpacing w:val="false"/>
        <w:jc w:val="both"/>
        <w:rPr/>
      </w:pPr>
      <w:r>
        <w:rPr>
          <w:rFonts w:cs="Times New Roman"/>
          <w:b/>
          <w:bCs/>
          <w:i/>
          <w:iCs/>
          <w:szCs w:val="20"/>
        </w:rPr>
        <w:t xml:space="preserve">Реализуя энергию на территории Камчатского края по регулируемым тарифам, Группа эмитента несет риски, связанные с формированием тарифно-балансовых решений (отклонение заявленных тарифов от утвержденных, влекущее несбалансированность  операционных доходов  и расходов, а также недополучение субсидии из региональных бюджетов на компенсацию разницы в тарифах). С целью управления данным риском, Общества осуществляют работу с регулятором (с целью исключения нарушений действующего законодательства и учета всех факторов деятельности) и осуществляют контроль своевременного и качественного формирования документов на получение субсидий. </w:t>
      </w:r>
      <w:r>
        <w:rPr>
          <w:rFonts w:eastAsia="0" w:cs="Times New Roman"/>
          <w:b/>
          <w:bCs/>
          <w:i/>
          <w:iCs/>
          <w:color w:val="000000"/>
          <w:kern w:val="0"/>
          <w:sz w:val="20"/>
          <w:szCs w:val="20"/>
          <w:lang w:val="ru-RU" w:eastAsia="zh-CN" w:bidi="hi-IN"/>
        </w:rPr>
        <w:t>Однако в динамике риски, связанные с формированием тарифно-балансовых решений приобретают для Группы эмитента неуправляемый характер (несмотря на проводимые мероприятия, в отчетном периоде риски, связанные с формированием тари</w:t>
      </w:r>
      <w:r>
        <w:rPr>
          <w:rFonts w:eastAsia="0" w:cs="Times New Roman"/>
          <w:b/>
          <w:bCs/>
          <w:i/>
          <w:iCs/>
          <w:color w:val="000000"/>
          <w:kern w:val="0"/>
          <w:sz w:val="20"/>
          <w:szCs w:val="20"/>
          <w:shd w:fill="auto" w:val="clear"/>
          <w:lang w:val="ru-RU" w:eastAsia="zh-CN" w:bidi="hi-IN"/>
        </w:rPr>
        <w:t xml:space="preserve">фно-балансовых решений реализовались). </w:t>
      </w:r>
    </w:p>
    <w:p>
      <w:pPr>
        <w:pStyle w:val="NormalWeb"/>
        <w:spacing w:beforeAutospacing="0" w:before="0" w:afterAutospacing="0" w:after="0"/>
        <w:jc w:val="both"/>
        <w:rPr>
          <w:rFonts w:eastAsia="Calibri"/>
          <w:b/>
          <w:bCs/>
          <w:i/>
          <w:i/>
          <w:iCs/>
          <w:sz w:val="20"/>
          <w:szCs w:val="20"/>
          <w:highlight w:val="none"/>
          <w:shd w:fill="auto" w:val="clear"/>
          <w:lang w:eastAsia="en-US"/>
        </w:rPr>
      </w:pPr>
      <w:r>
        <w:rPr>
          <w:rFonts w:eastAsia="Calibri"/>
          <w:b/>
          <w:bCs/>
          <w:i/>
          <w:iCs/>
          <w:sz w:val="20"/>
          <w:szCs w:val="20"/>
          <w:shd w:fill="auto" w:val="clear"/>
          <w:lang w:eastAsia="en-US"/>
        </w:rPr>
      </w:r>
    </w:p>
    <w:p>
      <w:pPr>
        <w:pStyle w:val="NormalWeb"/>
        <w:spacing w:beforeAutospacing="0" w:before="0" w:afterAutospacing="0" w:after="0"/>
        <w:jc w:val="both"/>
        <w:rPr/>
      </w:pPr>
      <w:r>
        <w:rPr>
          <w:rFonts w:eastAsia="Calibri"/>
          <w:b/>
          <w:bCs/>
          <w:i/>
          <w:iCs/>
          <w:sz w:val="20"/>
          <w:szCs w:val="20"/>
          <w:lang w:eastAsia="en-US"/>
        </w:rPr>
        <w:t>ПАО «Камчатскэнерго» дополнительно выделяет риски управления персоналом (нехватки квалифицированного персонала). Данный риск характерен для всех территорий Дальнего Востока, сталкивающегося с оттоком специалистов (миграция в иные регионы, уход на СВО). Для управления рисками персонала осуществляется участие в государственных программах,</w:t>
      </w:r>
      <w:r>
        <w:rPr>
          <w:b/>
          <w:bCs/>
          <w:i/>
          <w:iCs/>
          <w:sz w:val="20"/>
          <w:szCs w:val="20"/>
        </w:rPr>
        <w:t xml:space="preserve"> </w:t>
      </w:r>
      <w:r>
        <w:rPr>
          <w:rFonts w:eastAsia="Calibri"/>
          <w:b/>
          <w:bCs/>
          <w:i/>
          <w:iCs/>
          <w:sz w:val="20"/>
          <w:szCs w:val="20"/>
          <w:lang w:eastAsia="en-US"/>
        </w:rPr>
        <w:t>взаимодействие с органами исполнительной власти, образовательными организациями по вопросам подбора и подготовки кандидатов на замещение вакантных должностей, бронирование персонала.</w:t>
      </w:r>
    </w:p>
    <w:p>
      <w:pPr>
        <w:pStyle w:val="2"/>
        <w:spacing w:before="0" w:after="0"/>
        <w:contextualSpacing/>
        <w:jc w:val="both"/>
        <w:rPr>
          <w:sz w:val="20"/>
          <w:shd w:fill="FFFF00" w:val="clear"/>
        </w:rPr>
      </w:pPr>
      <w:r>
        <w:rPr>
          <w:sz w:val="20"/>
          <w:shd w:fill="FFFF00" w:val="clear"/>
        </w:rPr>
      </w:r>
    </w:p>
    <w:p>
      <w:pPr>
        <w:pStyle w:val="2"/>
        <w:spacing w:before="0" w:after="0"/>
        <w:contextualSpacing/>
        <w:jc w:val="both"/>
        <w:rPr/>
      </w:pPr>
      <w:r>
        <w:rPr/>
        <w:t>1.9.3. Финансовые риски.</w:t>
      </w:r>
    </w:p>
    <w:p>
      <w:pPr>
        <w:pStyle w:val="Normal"/>
        <w:jc w:val="both"/>
        <w:rPr/>
      </w:pPr>
      <w:r>
        <w:rPr/>
        <w:t>Риски, связанные с влиянием изменения процентных ставок, валютного курса, инфляции на финансовое состояние эмитента (группы эмитента), в том числе на ликвидность, источники финансирования, ключевые финансовые показатели.</w:t>
      </w:r>
    </w:p>
    <w:p>
      <w:pPr>
        <w:pStyle w:val="Normal"/>
        <w:jc w:val="both"/>
        <w:rPr/>
      </w:pPr>
      <w:r>
        <w:rPr/>
      </w:r>
    </w:p>
    <w:p>
      <w:pPr>
        <w:pStyle w:val="Normal"/>
        <w:widowControl w:val="false"/>
        <w:suppressAutoHyphens w:val="true"/>
        <w:bidi w:val="0"/>
        <w:spacing w:before="23" w:after="40"/>
        <w:ind w:left="0" w:right="0" w:hanging="0"/>
        <w:contextualSpacing/>
        <w:jc w:val="both"/>
        <w:rPr/>
      </w:pPr>
      <w:r>
        <w:rPr>
          <w:rStyle w:val="Subst"/>
          <w:sz w:val="20"/>
          <w:szCs w:val="20"/>
          <w:lang w:eastAsia="ru-RU" w:bidi="ar-SA"/>
        </w:rPr>
        <w:t>ПАО «Камчатскэнерго» использует практику привлечения краткосрочных и долгосрочных заимствований с российского финансового рынка. В случае роста ключевой ставки существует риск увеличения кредитными организациями процентной ставки по действующим договорам в одностороннем порядке.</w:t>
      </w:r>
    </w:p>
    <w:p>
      <w:pPr>
        <w:pStyle w:val="Normal"/>
        <w:widowControl w:val="false"/>
        <w:suppressAutoHyphens w:val="true"/>
        <w:bidi w:val="0"/>
        <w:spacing w:before="23" w:after="40"/>
        <w:ind w:left="0" w:right="0" w:hanging="0"/>
        <w:contextualSpacing/>
        <w:jc w:val="both"/>
        <w:rPr/>
      </w:pPr>
      <w:r>
        <w:rPr>
          <w:rStyle w:val="Subst"/>
          <w:sz w:val="20"/>
          <w:szCs w:val="20"/>
          <w:lang w:eastAsia="ru-RU" w:bidi="ar-SA"/>
        </w:rPr>
        <w:t xml:space="preserve">При неблагоприятном развитии ситуации на российском рынке банковских услуг, вследствие которой произойдет рост банковского процента по привлекаемым кредитным ресурсам, увеличение процентных ставок отразится на финансовом результате, и, как следствие, снизит собственный капитал Общества. </w:t>
      </w:r>
    </w:p>
    <w:p>
      <w:pPr>
        <w:pStyle w:val="Normal"/>
        <w:widowControl w:val="false"/>
        <w:suppressAutoHyphens w:val="true"/>
        <w:bidi w:val="0"/>
        <w:spacing w:before="23" w:after="40"/>
        <w:ind w:left="0" w:right="0" w:hanging="0"/>
        <w:contextualSpacing/>
        <w:jc w:val="both"/>
        <w:rPr/>
      </w:pPr>
      <w:r>
        <w:rPr>
          <w:rStyle w:val="Subst"/>
          <w:sz w:val="20"/>
          <w:szCs w:val="20"/>
          <w:lang w:eastAsia="ru-RU" w:bidi="ar-SA"/>
        </w:rPr>
        <w:t>Учитывая, что ПАО «Камчатскэнерго» осуществляет свою основную хозяйственную деятельность на территории Камчатского края, не имеет вложений в иностранные компании (стоимость чистых активов которых подвержена риску изменения курсов валют), не имеет поступлений и расходов, выраженных в иностранной валюте, риски, связанные с колебаниями валютных курсов не являются факторами прямого влияния на результаты финансово-хозяйственной деятельности Общества и оцениваются Обществом, как незначительные.</w:t>
      </w:r>
    </w:p>
    <w:p>
      <w:pPr>
        <w:pStyle w:val="Normal"/>
        <w:ind w:left="57" w:hanging="0"/>
        <w:jc w:val="both"/>
        <w:rPr>
          <w:rStyle w:val="Subst"/>
          <w:bCs/>
          <w:iCs/>
          <w:sz w:val="20"/>
          <w:szCs w:val="20"/>
          <w:lang w:eastAsia="ru-RU" w:bidi="ar-SA"/>
        </w:rPr>
      </w:pPr>
      <w:r>
        <w:rPr>
          <w:bCs/>
          <w:iCs/>
          <w:sz w:val="20"/>
          <w:szCs w:val="20"/>
          <w:lang w:eastAsia="ru-RU" w:bidi="ar-SA"/>
        </w:rPr>
      </w:r>
    </w:p>
    <w:p>
      <w:pPr>
        <w:pStyle w:val="Normal"/>
        <w:ind w:left="57" w:hanging="0"/>
        <w:jc w:val="both"/>
        <w:rPr/>
      </w:pPr>
      <w:r>
        <w:rPr>
          <w:rStyle w:val="Subst"/>
          <w:sz w:val="20"/>
          <w:szCs w:val="20"/>
          <w:lang w:eastAsia="ru-RU" w:bidi="ar-SA"/>
        </w:rPr>
        <w:t>Изменение индекса потребительских цен оказывает определенное влияние на уровень рентабельности ПАО «Камчатскэнерго», результаты финансово-хозяйственной деятельности и возможность выплаты дивидендов по акциям Общества, однако это влияние не является фактором прямой зависимости.</w:t>
        <w:br/>
        <w:t xml:space="preserve">Опосредованная зависимость рентабельности Общества от изменения индекса потребительских цен обусловлена, в основном, тем, что тарифы на электрическую и тепловую энергию устанавливаются государственными тарифными органами исходя из обоснованности затрат на их выработку, и полностью либо частично компенсируют рост расходов Общества, связанных с инфляцией. Однако, в периоды высокой инфляции увеличиваются риски снижения платежеспособности основных потребителей Общества. Временной разрыв при тарифном регулировании составляет 2 года, т.е. выпадающие доходы 2025 года фактически будут покрываться за счет тарифа 2027 года. Рентабельность, которая могла бы служить источником возврата ранее привлеченных топливных кредитов, в тариф не включается. </w:t>
      </w:r>
    </w:p>
    <w:p>
      <w:pPr>
        <w:pStyle w:val="Normal"/>
        <w:ind w:left="57" w:hanging="0"/>
        <w:jc w:val="both"/>
        <w:rPr>
          <w:rStyle w:val="Subst"/>
          <w:bCs/>
          <w:iCs/>
          <w:sz w:val="20"/>
          <w:szCs w:val="20"/>
          <w:lang w:eastAsia="ru-RU" w:bidi="ar-SA"/>
        </w:rPr>
      </w:pPr>
      <w:r>
        <w:rPr>
          <w:bCs/>
          <w:iCs/>
          <w:sz w:val="20"/>
          <w:szCs w:val="20"/>
          <w:lang w:eastAsia="ru-RU" w:bidi="ar-SA"/>
        </w:rPr>
      </w:r>
    </w:p>
    <w:p>
      <w:pPr>
        <w:pStyle w:val="Normal"/>
        <w:widowControl w:val="false"/>
        <w:suppressAutoHyphens w:val="true"/>
        <w:bidi w:val="0"/>
        <w:spacing w:before="23" w:after="40"/>
        <w:ind w:left="0" w:right="0" w:hanging="0"/>
        <w:contextualSpacing/>
        <w:jc w:val="both"/>
        <w:rPr/>
      </w:pPr>
      <w:r>
        <w:rPr>
          <w:rStyle w:val="Subst"/>
          <w:sz w:val="20"/>
          <w:szCs w:val="20"/>
          <w:lang w:eastAsia="ru-RU" w:bidi="ar-SA"/>
        </w:rPr>
        <w:t>Инфляционные процессы, в результате которых происходит удорожание используемых в производстве топлива, материалов и сырья, могут оказать негативное влияние на валюту баланса и на чистую прибыль Общества. Также инфляционные процессы в экономике РФ могут оказать опосредованное влияние на изменение величины дебиторской и кредиторской задолженности, связанное с изменением платежеспособности основных потребителей Общества.</w:t>
      </w:r>
      <w:r>
        <w:rPr>
          <w:rStyle w:val="Subst"/>
          <w:bCs/>
          <w:iCs/>
          <w:sz w:val="20"/>
          <w:szCs w:val="20"/>
          <w:lang w:eastAsia="ru-RU" w:bidi="ar-SA"/>
        </w:rPr>
        <w:t xml:space="preserve"> </w:t>
      </w:r>
    </w:p>
    <w:p>
      <w:pPr>
        <w:pStyle w:val="Normal"/>
        <w:widowControl w:val="false"/>
        <w:suppressAutoHyphens w:val="true"/>
        <w:bidi w:val="0"/>
        <w:spacing w:before="23" w:after="40"/>
        <w:ind w:left="0" w:right="0" w:hanging="57"/>
        <w:contextualSpacing/>
        <w:jc w:val="both"/>
        <w:rPr>
          <w:bCs/>
          <w:iCs/>
          <w:sz w:val="20"/>
          <w:szCs w:val="20"/>
          <w:lang w:eastAsia="ru-RU" w:bidi="ar-SA"/>
        </w:rPr>
      </w:pPr>
      <w:r>
        <w:rPr>
          <w:bCs/>
          <w:iCs/>
          <w:sz w:val="20"/>
          <w:szCs w:val="20"/>
          <w:lang w:eastAsia="ru-RU" w:bidi="ar-SA"/>
        </w:rPr>
      </w:r>
    </w:p>
    <w:p>
      <w:pPr>
        <w:pStyle w:val="Normal"/>
        <w:widowControl w:val="false"/>
        <w:suppressAutoHyphens w:val="true"/>
        <w:bidi w:val="0"/>
        <w:spacing w:before="23" w:after="40"/>
        <w:ind w:left="0" w:right="0" w:hanging="0"/>
        <w:contextualSpacing/>
        <w:jc w:val="both"/>
        <w:rPr/>
      </w:pPr>
      <w:r>
        <w:rPr>
          <w:rStyle w:val="Subst"/>
          <w:sz w:val="20"/>
          <w:szCs w:val="20"/>
          <w:lang w:eastAsia="ru-RU" w:bidi="ar-SA"/>
        </w:rPr>
        <w:t>Предполагаемые действия ПАО «Камчатскэнерго» на случай отрицательного влияния финансовых рисков на деятельность Общества:</w:t>
      </w:r>
    </w:p>
    <w:p>
      <w:pPr>
        <w:pStyle w:val="Normal"/>
        <w:widowControl w:val="false"/>
        <w:suppressAutoHyphens w:val="true"/>
        <w:bidi w:val="0"/>
        <w:spacing w:before="23" w:after="40"/>
        <w:ind w:left="0" w:right="0" w:hanging="0"/>
        <w:contextualSpacing/>
        <w:jc w:val="both"/>
        <w:rPr/>
      </w:pPr>
      <w:r>
        <w:rPr>
          <w:rStyle w:val="Subst"/>
          <w:sz w:val="20"/>
          <w:szCs w:val="20"/>
          <w:lang w:eastAsia="ru-RU" w:bidi="ar-SA"/>
        </w:rPr>
        <w:t xml:space="preserve">В случае возникновения одного или нескольких из перечисленных выше рисков, ПАО «Камчатскэнерго» предпримет меры по минимизации негативных последствий: </w:t>
      </w:r>
    </w:p>
    <w:p>
      <w:pPr>
        <w:pStyle w:val="Normal"/>
        <w:widowControl w:val="false"/>
        <w:suppressAutoHyphens w:val="true"/>
        <w:bidi w:val="0"/>
        <w:spacing w:before="23" w:after="40"/>
        <w:ind w:left="0" w:right="0" w:hanging="0"/>
        <w:contextualSpacing/>
        <w:jc w:val="both"/>
        <w:rPr/>
      </w:pPr>
      <w:r>
        <w:rPr>
          <w:rStyle w:val="Subst"/>
          <w:sz w:val="20"/>
          <w:szCs w:val="20"/>
          <w:lang w:eastAsia="ru-RU" w:bidi="ar-SA"/>
        </w:rPr>
        <w:t>- оптимизация затрат на обслуживание кредитов (оптимизация привлечения и погашения кредитных ресурсов, экономия по итогам торгов);</w:t>
      </w:r>
    </w:p>
    <w:p>
      <w:pPr>
        <w:pStyle w:val="Normal"/>
        <w:widowControl w:val="false"/>
        <w:suppressAutoHyphens w:val="true"/>
        <w:bidi w:val="0"/>
        <w:spacing w:before="23" w:after="40"/>
        <w:ind w:left="0" w:right="0" w:hanging="0"/>
        <w:contextualSpacing/>
        <w:jc w:val="both"/>
        <w:rPr/>
      </w:pPr>
      <w:r>
        <w:rPr>
          <w:rStyle w:val="Subst"/>
          <w:sz w:val="20"/>
          <w:szCs w:val="20"/>
          <w:lang w:eastAsia="ru-RU" w:bidi="ar-SA"/>
        </w:rPr>
        <w:t>- проведение работы с кредитными учреждениями по установлению, актуализации лимитов кредитования;</w:t>
      </w:r>
    </w:p>
    <w:p>
      <w:pPr>
        <w:pStyle w:val="Normal"/>
        <w:widowControl w:val="false"/>
        <w:suppressAutoHyphens w:val="true"/>
        <w:bidi w:val="0"/>
        <w:spacing w:before="23" w:after="40"/>
        <w:ind w:left="0" w:right="0" w:hanging="0"/>
        <w:contextualSpacing/>
        <w:jc w:val="both"/>
        <w:rPr/>
      </w:pPr>
      <w:r>
        <w:rPr>
          <w:rStyle w:val="Subst"/>
          <w:sz w:val="20"/>
          <w:szCs w:val="20"/>
          <w:lang w:eastAsia="ru-RU" w:bidi="ar-SA"/>
        </w:rPr>
        <w:t>- снижение объема привлекаемых кредитных ресурсов;</w:t>
      </w:r>
    </w:p>
    <w:p>
      <w:pPr>
        <w:pStyle w:val="Normal"/>
        <w:widowControl w:val="false"/>
        <w:suppressAutoHyphens w:val="true"/>
        <w:bidi w:val="0"/>
        <w:spacing w:before="23" w:after="40"/>
        <w:ind w:left="0" w:right="0" w:hanging="0"/>
        <w:contextualSpacing/>
        <w:jc w:val="both"/>
        <w:rPr/>
      </w:pPr>
      <w:r>
        <w:rPr>
          <w:rStyle w:val="Subst"/>
          <w:sz w:val="20"/>
          <w:szCs w:val="20"/>
          <w:lang w:eastAsia="ru-RU" w:bidi="ar-SA"/>
        </w:rPr>
        <w:t>- предложение на закупочных процедурах ликвидного обеспечения;</w:t>
      </w:r>
    </w:p>
    <w:p>
      <w:pPr>
        <w:pStyle w:val="Normal"/>
        <w:widowControl w:val="false"/>
        <w:suppressAutoHyphens w:val="true"/>
        <w:bidi w:val="0"/>
        <w:spacing w:before="23" w:after="40"/>
        <w:ind w:left="0" w:right="0" w:hanging="0"/>
        <w:contextualSpacing/>
        <w:jc w:val="both"/>
        <w:rPr/>
      </w:pPr>
      <w:r>
        <w:rPr>
          <w:rStyle w:val="Subst"/>
          <w:sz w:val="20"/>
          <w:szCs w:val="20"/>
          <w:lang w:eastAsia="ru-RU" w:bidi="ar-SA"/>
        </w:rPr>
        <w:t xml:space="preserve">– </w:t>
      </w:r>
      <w:r>
        <w:rPr>
          <w:rStyle w:val="Subst"/>
          <w:sz w:val="20"/>
          <w:szCs w:val="20"/>
          <w:lang w:eastAsia="ru-RU" w:bidi="ar-SA"/>
        </w:rPr>
        <w:t>поручительство ПАО «РусГидро»;</w:t>
      </w:r>
    </w:p>
    <w:p>
      <w:pPr>
        <w:pStyle w:val="Normal"/>
        <w:widowControl w:val="false"/>
        <w:suppressAutoHyphens w:val="true"/>
        <w:bidi w:val="0"/>
        <w:spacing w:before="23" w:after="40"/>
        <w:ind w:left="0" w:right="0" w:hanging="0"/>
        <w:contextualSpacing/>
        <w:jc w:val="both"/>
        <w:rPr/>
      </w:pPr>
      <w:r>
        <w:rPr>
          <w:rStyle w:val="Subst"/>
          <w:sz w:val="20"/>
          <w:szCs w:val="20"/>
          <w:lang w:eastAsia="ru-RU" w:bidi="ar-SA"/>
        </w:rPr>
        <w:t>- работа с кредиторами по подписанию соглашений о реструктуризации задолженности, подписания графиков погашения задолженности, направление гарантийных писем по оплате обязательств;</w:t>
      </w:r>
    </w:p>
    <w:p>
      <w:pPr>
        <w:pStyle w:val="Normal"/>
        <w:widowControl w:val="false"/>
        <w:suppressAutoHyphens w:val="true"/>
        <w:bidi w:val="0"/>
        <w:spacing w:before="23" w:after="40"/>
        <w:ind w:left="0" w:right="0" w:hanging="0"/>
        <w:contextualSpacing/>
        <w:jc w:val="both"/>
        <w:rPr/>
      </w:pPr>
      <w:r>
        <w:rPr>
          <w:rStyle w:val="Subst"/>
          <w:sz w:val="20"/>
          <w:szCs w:val="20"/>
          <w:lang w:eastAsia="ru-RU" w:bidi="ar-SA"/>
        </w:rPr>
        <w:t>- работа с Правительством Камчатского края по возмещению из бюджета субъекта РФ выпадающих доходов текущего года;</w:t>
      </w:r>
    </w:p>
    <w:p>
      <w:pPr>
        <w:pStyle w:val="Normal"/>
        <w:widowControl w:val="false"/>
        <w:suppressAutoHyphens w:val="true"/>
        <w:bidi w:val="0"/>
        <w:spacing w:before="23" w:after="40"/>
        <w:ind w:left="0" w:right="0" w:hanging="0"/>
        <w:contextualSpacing/>
        <w:jc w:val="both"/>
        <w:rPr/>
      </w:pPr>
      <w:r>
        <w:rPr>
          <w:rStyle w:val="Subst"/>
          <w:sz w:val="20"/>
          <w:szCs w:val="20"/>
          <w:lang w:eastAsia="ru-RU" w:bidi="ar-SA"/>
        </w:rPr>
        <w:t>- максимальный охват судебными и исполнительными производствами дебиторской задолженности.</w:t>
      </w:r>
    </w:p>
    <w:p>
      <w:pPr>
        <w:pStyle w:val="2"/>
        <w:spacing w:before="0" w:after="0"/>
        <w:contextualSpacing/>
        <w:jc w:val="both"/>
        <w:rPr>
          <w:sz w:val="20"/>
          <w:shd w:fill="FFFF00" w:val="clear"/>
        </w:rPr>
      </w:pPr>
      <w:r>
        <w:rPr>
          <w:sz w:val="20"/>
          <w:shd w:fill="FFFF00" w:val="clear"/>
        </w:rPr>
      </w:r>
    </w:p>
    <w:p>
      <w:pPr>
        <w:pStyle w:val="2"/>
        <w:spacing w:before="0" w:after="0"/>
        <w:contextualSpacing/>
        <w:jc w:val="both"/>
        <w:rPr/>
      </w:pPr>
      <w:r>
        <w:rPr/>
        <w:t>1.9.4. Правовые риски.</w:t>
      </w:r>
    </w:p>
    <w:p>
      <w:pPr>
        <w:pStyle w:val="Normal"/>
        <w:jc w:val="both"/>
        <w:rPr/>
      </w:pPr>
      <w:r>
        <w:rPr/>
        <w:t xml:space="preserve">Правовые риски, связанные с деятельностью группы эмитента, в том числе    связанные с текущими судебными процессами, в которых участвует эмитент (подконтрольные эмитенту организации, имеющие для него существенное значение), с изменением валютного законодательства; законодательства о налогах и сборах; правил таможенного контроля и таможенных пошлин. </w:t>
      </w:r>
    </w:p>
    <w:p>
      <w:pPr>
        <w:pStyle w:val="Normal"/>
        <w:numPr>
          <w:ilvl w:val="0"/>
          <w:numId w:val="0"/>
        </w:numPr>
        <w:spacing w:lineRule="auto" w:line="240" w:before="0" w:after="0"/>
        <w:ind w:left="0" w:firstLine="426"/>
        <w:contextualSpacing/>
        <w:jc w:val="both"/>
        <w:outlineLvl w:val="5"/>
        <w:rPr/>
      </w:pPr>
      <w:r>
        <w:rPr>
          <w:rFonts w:eastAsia="0" w:cs="0"/>
          <w:b/>
          <w:i/>
          <w:color w:val="000000"/>
          <w:kern w:val="0"/>
          <w:sz w:val="20"/>
          <w:szCs w:val="24"/>
          <w:lang w:val="ru-RU" w:eastAsia="zh-CN" w:bidi="hi-IN"/>
        </w:rPr>
        <w:t>Правовые риски для ПАО «Камчатскэнерго» в настоящее время, прежде всего, связаны с неблагоприятными изменениями/нарушениями законодательства Российской Федерации. В качестве мероприятий по управлению риском осуществляется постоянный мониторинг изменений законодательства, своевременное приведение внутренних документов Общества в соответствие действующему законодательству.</w:t>
      </w:r>
    </w:p>
    <w:p>
      <w:pPr>
        <w:pStyle w:val="Normal"/>
        <w:numPr>
          <w:ilvl w:val="0"/>
          <w:numId w:val="0"/>
        </w:numPr>
        <w:spacing w:lineRule="auto" w:line="240" w:before="0" w:after="0"/>
        <w:ind w:left="0" w:firstLine="426"/>
        <w:contextualSpacing/>
        <w:jc w:val="both"/>
        <w:outlineLvl w:val="5"/>
        <w:rPr/>
      </w:pPr>
      <w:r>
        <w:rPr>
          <w:rFonts w:eastAsia="0" w:cs="0"/>
          <w:b/>
          <w:i/>
          <w:color w:val="000000"/>
          <w:kern w:val="0"/>
          <w:sz w:val="20"/>
          <w:szCs w:val="24"/>
          <w:lang w:val="ru-RU" w:eastAsia="zh-CN" w:bidi="hi-IN"/>
        </w:rPr>
        <w:t>Правовые риски, связанные с изменением валютного регулирования, применительно к экономической деятельности эмитента подробно не анализируются, поскольку, для финансовой и экономической деятельности эмитента валютная составляющая признана не значительной. Также как несущественные оцениваются риски, связанные с изменениями налогового законодательства (применительно к экономической деятельности Общества).</w:t>
      </w:r>
    </w:p>
    <w:p>
      <w:pPr>
        <w:pStyle w:val="Normal"/>
        <w:numPr>
          <w:ilvl w:val="0"/>
          <w:numId w:val="0"/>
        </w:numPr>
        <w:spacing w:lineRule="auto" w:line="240" w:before="0" w:after="0"/>
        <w:ind w:left="0" w:firstLine="426"/>
        <w:contextualSpacing/>
        <w:jc w:val="both"/>
        <w:outlineLvl w:val="5"/>
        <w:rPr/>
      </w:pPr>
      <w:r>
        <w:rPr>
          <w:rFonts w:eastAsia="0" w:cs="0"/>
          <w:b/>
          <w:i/>
          <w:color w:val="000000"/>
          <w:kern w:val="0"/>
          <w:sz w:val="20"/>
          <w:szCs w:val="24"/>
          <w:lang w:val="ru-RU" w:eastAsia="zh-CN" w:bidi="hi-IN"/>
        </w:rPr>
        <w:t>Риски, связанные с изменениями основной деятельности Общества либо прав пользования объектами, нахождение которых в обороте ограничено (включая природные ресурсы), а также риски, связанные с изменений правил таможенного контроля и таможенных пошлин, отсутствуют.</w:t>
      </w:r>
    </w:p>
    <w:p>
      <w:pPr>
        <w:pStyle w:val="Normal"/>
        <w:numPr>
          <w:ilvl w:val="0"/>
          <w:numId w:val="0"/>
        </w:numPr>
        <w:spacing w:lineRule="auto" w:line="240" w:before="0" w:after="0"/>
        <w:ind w:left="0" w:firstLine="426"/>
        <w:contextualSpacing/>
        <w:jc w:val="both"/>
        <w:outlineLvl w:val="5"/>
        <w:rPr/>
      </w:pPr>
      <w:r>
        <w:rPr>
          <w:rFonts w:eastAsia="0" w:cs="0"/>
          <w:b/>
          <w:i/>
          <w:color w:val="000000"/>
          <w:kern w:val="0"/>
          <w:sz w:val="20"/>
          <w:szCs w:val="24"/>
          <w:lang w:val="ru-RU" w:eastAsia="zh-CN" w:bidi="hi-IN"/>
        </w:rPr>
        <w:t xml:space="preserve">Ведение эмитентом финансово - хозяйственной деятельности на рынках за пределами Российской Федерации не осуществляется. </w:t>
      </w:r>
    </w:p>
    <w:p>
      <w:pPr>
        <w:pStyle w:val="Normal"/>
        <w:numPr>
          <w:ilvl w:val="0"/>
          <w:numId w:val="0"/>
        </w:numPr>
        <w:spacing w:lineRule="auto" w:line="240" w:before="0" w:after="0"/>
        <w:ind w:left="0" w:firstLine="426"/>
        <w:contextualSpacing/>
        <w:jc w:val="both"/>
        <w:outlineLvl w:val="5"/>
        <w:rPr>
          <w:rFonts w:ascii="0" w:hAnsi="0" w:eastAsia="0" w:cs="0"/>
          <w:b/>
          <w:i/>
          <w:i/>
          <w:color w:val="000000"/>
          <w:kern w:val="0"/>
          <w:sz w:val="20"/>
          <w:szCs w:val="24"/>
          <w:lang w:val="ru-RU" w:eastAsia="zh-CN" w:bidi="hi-IN"/>
        </w:rPr>
      </w:pPr>
      <w:r>
        <w:rPr>
          <w:rFonts w:eastAsia="0" w:cs="0"/>
          <w:b/>
          <w:i/>
          <w:color w:val="000000"/>
          <w:kern w:val="0"/>
          <w:sz w:val="20"/>
          <w:szCs w:val="24"/>
          <w:lang w:val="ru-RU" w:eastAsia="zh-CN" w:bidi="hi-IN"/>
        </w:rPr>
        <w:t xml:space="preserve">Сведения об участии эмитента в судебных процессах в случае, если такое участие может существенно отразиться на финансово - хозяйственной деятельности эмитента:  </w:t>
      </w:r>
    </w:p>
    <w:p>
      <w:pPr>
        <w:pStyle w:val="Normal"/>
        <w:numPr>
          <w:ilvl w:val="0"/>
          <w:numId w:val="0"/>
        </w:numPr>
        <w:spacing w:lineRule="auto" w:line="240" w:before="0" w:after="0"/>
        <w:ind w:left="0" w:firstLine="426"/>
        <w:contextualSpacing/>
        <w:jc w:val="both"/>
        <w:outlineLvl w:val="5"/>
        <w:rPr/>
      </w:pPr>
      <w:r>
        <w:rPr>
          <w:rFonts w:eastAsia="0" w:cs="0"/>
          <w:b/>
          <w:i/>
          <w:color w:val="000000"/>
          <w:kern w:val="0"/>
          <w:sz w:val="20"/>
          <w:szCs w:val="24"/>
          <w:lang w:val="ru-RU" w:eastAsia="zh-CN" w:bidi="hi-IN"/>
        </w:rPr>
        <w:t xml:space="preserve">- 2025 году Эмитентом подано 16  исков к Камчатскому краю в лице Министерства жилищно-коммунального хозяйства и энергетики Камчатского края о взыскании недополученных доходов, возникших в связи с оказанием услуг по отпуску электрической  и тепловой энергии населению и приравненных к нему категориям потребителей по льготным тарифам на общую сумму 8 млрд. 870 млн руб. Поданные исковые заявления удовлетворяются Арбитражным судом. Дела №: </w:t>
      </w:r>
      <w:r>
        <w:rPr>
          <w:rStyle w:val="FontStyle15"/>
          <w:rFonts w:eastAsia="0" w:cs="0"/>
          <w:b/>
          <w:i/>
          <w:color w:val="000000"/>
          <w:kern w:val="0"/>
          <w:sz w:val="20"/>
          <w:szCs w:val="24"/>
          <w:lang w:val="ru-RU" w:eastAsia="zh-CN" w:bidi="hi-IN"/>
        </w:rPr>
        <w:t>А</w:t>
      </w:r>
      <w:r>
        <w:rPr>
          <w:rFonts w:eastAsia="0" w:cs="0"/>
          <w:b/>
          <w:i/>
          <w:color w:val="000000"/>
          <w:kern w:val="0"/>
          <w:sz w:val="20"/>
          <w:szCs w:val="24"/>
          <w:lang w:val="ru-RU" w:eastAsia="zh-CN" w:bidi="hi-IN"/>
        </w:rPr>
        <w:t xml:space="preserve">24-2375/2025,  </w:t>
      </w:r>
      <w:r>
        <w:rPr>
          <w:rStyle w:val="FontStyle15"/>
          <w:rFonts w:eastAsia="0" w:cs="0"/>
          <w:b/>
          <w:i/>
          <w:color w:val="000000"/>
          <w:kern w:val="0"/>
          <w:sz w:val="20"/>
          <w:szCs w:val="24"/>
          <w:lang w:val="ru-RU" w:eastAsia="zh-CN" w:bidi="hi-IN"/>
        </w:rPr>
        <w:t>А</w:t>
      </w:r>
      <w:r>
        <w:rPr>
          <w:rFonts w:eastAsia="0" w:cs="0"/>
          <w:b/>
          <w:i/>
          <w:color w:val="000000"/>
          <w:kern w:val="0"/>
          <w:sz w:val="20"/>
          <w:szCs w:val="24"/>
          <w:lang w:val="ru-RU" w:eastAsia="zh-CN" w:bidi="hi-IN"/>
        </w:rPr>
        <w:t xml:space="preserve">24-2823/2025,  </w:t>
      </w:r>
      <w:r>
        <w:rPr>
          <w:rStyle w:val="FontStyle15"/>
          <w:rFonts w:eastAsia="0" w:cs="0"/>
          <w:b/>
          <w:i/>
          <w:color w:val="000000"/>
          <w:kern w:val="0"/>
          <w:sz w:val="20"/>
          <w:szCs w:val="24"/>
          <w:lang w:val="ru-RU" w:eastAsia="zh-CN" w:bidi="hi-IN"/>
        </w:rPr>
        <w:t>А24-2809/2025,  А24-3377/2025, А24-6169/2024, А24-5933/2025, А24-5860/2025, А24-5431/2025, А24-5429/2025, А24-4851/2025, А24-4850/2025, А24-4303/2025, А24-4302/2025, А24-3820/2025, А24-3809/2025, А24-3413/2025.</w:t>
      </w:r>
    </w:p>
    <w:p>
      <w:pPr>
        <w:pStyle w:val="Normal"/>
        <w:spacing w:lineRule="auto" w:line="240" w:before="0" w:after="0"/>
        <w:ind w:firstLine="426"/>
        <w:contextualSpacing/>
        <w:jc w:val="both"/>
        <w:rPr/>
      </w:pPr>
      <w:r>
        <w:rPr>
          <w:rStyle w:val="FontStyle15"/>
          <w:b/>
          <w:i/>
          <w:sz w:val="20"/>
          <w:szCs w:val="20"/>
        </w:rPr>
        <w:t>- в 2025 году к Эмитенту предъявлены требования АО «Тепло Земли» о взыскании 110 132 741,88 руб., из которых: 105 506 288,42 руб. долга по оплате тепловой энергии, поставленной в период с 01.04.2025 по 31.07.2025 по договору от 09.02.2022 № 178/22 и 4 626 453,46 руб. пеней, начисленных за период с 19.05.2025 по 10.10.2025, со взысканием пеней по день фактической уплаты долга. Дело № А24-4756/2025.  Решением суда от 24.11.2025 требования удовлетворены. Принять признание иска ответчиком в части взыскания 101 253 374,14 руб. долга. Исковые требования удовлетворить. Взыскать с публичного акционерного общества энергетики и электрификации «Камчатскэнерго» в пользу акционерного общества «Тепло земли» 101 253 374,14 руб. долга, 4 303 414,79 руб. пеней и 329 453,00 руб. судебных расходов по уплате государственной пошлины, всего 105 886 241,93 руб.</w:t>
      </w:r>
    </w:p>
    <w:p>
      <w:pPr>
        <w:pStyle w:val="2"/>
        <w:spacing w:before="0" w:after="0"/>
        <w:contextualSpacing/>
        <w:jc w:val="both"/>
        <w:rPr>
          <w:sz w:val="20"/>
          <w:highlight w:val="none"/>
          <w:shd w:fill="auto" w:val="clear"/>
        </w:rPr>
      </w:pPr>
      <w:r>
        <w:rPr>
          <w:sz w:val="20"/>
          <w:shd w:fill="auto" w:val="clear"/>
        </w:rPr>
      </w:r>
    </w:p>
    <w:p>
      <w:pPr>
        <w:pStyle w:val="2"/>
        <w:spacing w:before="0" w:after="0"/>
        <w:contextualSpacing/>
        <w:jc w:val="both"/>
        <w:rPr>
          <w:highlight w:val="none"/>
          <w:shd w:fill="auto" w:val="clear"/>
        </w:rPr>
      </w:pPr>
      <w:r>
        <w:rPr>
          <w:shd w:fill="auto" w:val="clear"/>
        </w:rPr>
        <w:t>1.9.5. Риск потери деловой репутации (репутационный риск)</w:t>
      </w:r>
    </w:p>
    <w:p>
      <w:pPr>
        <w:pStyle w:val="Normal"/>
        <w:jc w:val="both"/>
        <w:rPr>
          <w:highlight w:val="none"/>
          <w:shd w:fill="auto" w:val="clear"/>
        </w:rPr>
      </w:pPr>
      <w:r>
        <w:rPr>
          <w:shd w:fill="auto" w:val="clear"/>
        </w:rPr>
        <w:t>Риски, связанные с формированием негативного представления о финансовой устойчивости, финансовом положении эмитента (группы эмитента), качестве ее (его) товаров (работ, услуг) или характере деятельности в целом.</w:t>
      </w:r>
    </w:p>
    <w:p>
      <w:pPr>
        <w:pStyle w:val="Normal"/>
        <w:spacing w:before="0" w:after="0"/>
        <w:ind w:firstLine="567"/>
        <w:contextualSpacing w:val="false"/>
        <w:jc w:val="both"/>
        <w:rPr>
          <w:highlight w:val="none"/>
          <w:shd w:fill="auto" w:val="clear"/>
        </w:rPr>
      </w:pPr>
      <w:r>
        <w:rPr>
          <w:b/>
          <w:i/>
          <w:shd w:fill="auto" w:val="clear"/>
        </w:rPr>
        <w:t>Группа эмитента осуществляет основные виды деятельности в условиях ограниченной конкуренции, вследствие чего риск возникновения убытков из-за уменьшения числа клиентов (потребителей) в результате формирования негативного представления об их деятельности    оценивается как несущественный. Однако, являясь публичной компанией, ПАО «Камчатскэнерго» учитывает репутационную составляющую деятельности    и принимает меры по нивелированию негативного влияния таких рисков на бренд Группы. Как ПАО «Камчатскэнерго», так и АО «ЮЭСК» придерживаются принципов достоверности, прозрачности и своевременности раскрытия информации в открытых источниках, контролирует риски распространения инсайдерской информации.</w:t>
      </w:r>
    </w:p>
    <w:p>
      <w:pPr>
        <w:pStyle w:val="Normal"/>
        <w:spacing w:before="0" w:after="0"/>
        <w:ind w:firstLine="567"/>
        <w:contextualSpacing w:val="false"/>
        <w:jc w:val="both"/>
        <w:rPr>
          <w:highlight w:val="none"/>
          <w:shd w:fill="auto" w:val="clear"/>
        </w:rPr>
      </w:pPr>
      <w:r>
        <w:rPr>
          <w:shd w:fill="auto" w:val="clear"/>
        </w:rPr>
      </w:r>
    </w:p>
    <w:p>
      <w:pPr>
        <w:pStyle w:val="2"/>
        <w:spacing w:before="0" w:after="0"/>
        <w:contextualSpacing/>
        <w:jc w:val="both"/>
        <w:rPr>
          <w:highlight w:val="none"/>
          <w:shd w:fill="auto" w:val="clear"/>
        </w:rPr>
      </w:pPr>
      <w:r>
        <w:rPr>
          <w:shd w:fill="auto" w:val="clear"/>
        </w:rPr>
        <w:t>1.9.6. Стратегический риск</w:t>
      </w:r>
    </w:p>
    <w:p>
      <w:pPr>
        <w:pStyle w:val="Normal"/>
        <w:jc w:val="both"/>
        <w:rPr/>
      </w:pPr>
      <w:r>
        <w:rPr/>
        <w:t>Риски, связанные с принятием ошибочных решений, определяющих стратегию деятельности и развития эмитента (группы эмитента) (стратегическое управление), в том числе риски, возникающие вследствие неучета или недостаточного учета возможных опасностей, которые могут угрожать деятельности эмитента (группы эмитента), неправильного или недостаточно обоснованного определения перспективных направлений деятельности, в которых эмитент (группа эмитента) может достичь преимущества перед конкурентами, отсутствия или обеспечения в неполном объеме необходимых ресурсов (финансовых, материально-технических, трудовых) и организационных мер (управленческих решений), которые должны обеспечить достижение стратегических целей деятельности эмитента .</w:t>
      </w:r>
    </w:p>
    <w:p>
      <w:pPr>
        <w:pStyle w:val="Normal"/>
        <w:spacing w:before="0" w:after="0"/>
        <w:contextualSpacing w:val="false"/>
        <w:jc w:val="both"/>
        <w:rPr/>
      </w:pPr>
      <w:r>
        <w:rPr>
          <w:b/>
          <w:i/>
        </w:rPr>
        <w:t>Стратегические риски определяются на верхнем уровне Группы РусГидро с учетом их влияния на достижение стратегических целей, которые заявлены в Стратегии развития Группы РусГидро.</w:t>
      </w:r>
    </w:p>
    <w:p>
      <w:pPr>
        <w:pStyle w:val="Normal"/>
        <w:spacing w:before="0" w:after="0"/>
        <w:contextualSpacing w:val="false"/>
        <w:jc w:val="both"/>
        <w:rPr/>
      </w:pPr>
      <w:r>
        <w:rPr>
          <w:b/>
          <w:i/>
        </w:rPr>
        <w:t>Стратегические риски группы эмитента (риски, влияющие на вероятность достижения группой поставленных стратегических целей) связаны с разработкой и воплощением бизнес-решений.</w:t>
      </w:r>
    </w:p>
    <w:p>
      <w:pPr>
        <w:pStyle w:val="Normal"/>
        <w:spacing w:before="0" w:after="0"/>
        <w:contextualSpacing w:val="false"/>
        <w:jc w:val="both"/>
        <w:rPr/>
      </w:pPr>
      <w:r>
        <w:rPr>
          <w:b/>
          <w:i/>
        </w:rPr>
        <w:t>Для минимизации стратегических рисков менеджмент группы на регулярной основе осуществляет мониторинг макроэкономической ситуации, тенденций развития отрасли, анализирует информацию о деятельности собственных подразделений и иных структур Холдинга ПАО «РусГидро».</w:t>
      </w:r>
    </w:p>
    <w:p>
      <w:pPr>
        <w:pStyle w:val="Normal"/>
        <w:spacing w:before="0" w:after="0"/>
        <w:contextualSpacing w:val="false"/>
        <w:jc w:val="both"/>
        <w:rPr/>
      </w:pPr>
      <w:r>
        <w:rPr>
          <w:b/>
          <w:i/>
        </w:rPr>
        <w:t xml:space="preserve">Все долгосрочные планы рассматриваются и утверждаются на заседаниях Совета директоров Обществ. Функционирует система постановки и контроля исполнения приоритетных задач. </w:t>
      </w:r>
    </w:p>
    <w:p>
      <w:pPr>
        <w:pStyle w:val="2"/>
        <w:spacing w:before="0" w:after="0"/>
        <w:contextualSpacing/>
        <w:jc w:val="both"/>
        <w:rPr/>
      </w:pPr>
      <w:r>
        <w:rPr/>
      </w:r>
    </w:p>
    <w:p>
      <w:pPr>
        <w:pStyle w:val="2"/>
        <w:spacing w:before="0" w:after="0"/>
        <w:contextualSpacing/>
        <w:jc w:val="both"/>
        <w:rPr>
          <w:highlight w:val="none"/>
          <w:shd w:fill="auto" w:val="clear"/>
        </w:rPr>
      </w:pPr>
      <w:r>
        <w:rPr>
          <w:shd w:fill="auto" w:val="clear"/>
        </w:rPr>
        <w:t>1.9.7. Риски, связанные с деятельностью эмитента</w:t>
      </w:r>
    </w:p>
    <w:p>
      <w:pPr>
        <w:pStyle w:val="Normal"/>
        <w:jc w:val="both"/>
        <w:rPr/>
      </w:pPr>
      <w:r>
        <w:rPr/>
        <w:t>Риски, свойственные исключительно эмитенту (группе эмитента) или связанные с осуществляемой эмитентом (группой эмитента) основной финансово-хозяйственной деятельностью.</w:t>
      </w:r>
    </w:p>
    <w:p>
      <w:pPr>
        <w:pStyle w:val="Normal"/>
        <w:spacing w:before="0" w:after="0"/>
        <w:contextualSpacing/>
        <w:jc w:val="both"/>
        <w:rPr/>
      </w:pPr>
      <w:r>
        <w:rPr>
          <w:b/>
          <w:i/>
        </w:rPr>
        <w:t xml:space="preserve">Группой эмитента выделяет в качестве стратегических производственные риски: </w:t>
      </w:r>
    </w:p>
    <w:p>
      <w:pPr>
        <w:pStyle w:val="Normal"/>
        <w:spacing w:before="0" w:after="0"/>
        <w:ind w:firstLine="567"/>
        <w:contextualSpacing/>
        <w:jc w:val="both"/>
        <w:rPr/>
      </w:pPr>
      <w:r>
        <w:rPr>
          <w:b/>
          <w:i/>
        </w:rPr>
        <w:t xml:space="preserve">- риски аварий/инцидентов на объектах электро и теплоснабжения (отказы оборудования, перерывы в подаче энергии потребителям, снижение технической надежности электро- и теплоснабжения, снижение промышленной безопасности). </w:t>
      </w:r>
    </w:p>
    <w:p>
      <w:pPr>
        <w:pStyle w:val="Normal"/>
        <w:spacing w:before="0" w:after="0"/>
        <w:ind w:firstLine="567"/>
        <w:contextualSpacing/>
        <w:jc w:val="both"/>
        <w:rPr/>
      </w:pPr>
      <w:r>
        <w:rPr>
          <w:b/>
          <w:i/>
        </w:rPr>
        <w:t>Для управления риском    выполняются программы капитальных ремонтов и технического освидетельствования оборудования (с целью оценки состояния    и определения мер, необходимых для обеспечения установленного ресурса).</w:t>
      </w:r>
    </w:p>
    <w:p>
      <w:pPr>
        <w:pStyle w:val="Normal"/>
        <w:spacing w:before="0" w:after="0"/>
        <w:ind w:firstLine="567"/>
        <w:contextualSpacing/>
        <w:jc w:val="both"/>
        <w:rPr/>
      </w:pPr>
      <w:r>
        <w:rPr>
          <w:b/>
          <w:i/>
        </w:rPr>
        <w:t>- риски несчастных случаев на производстве по причине несоблюдения сотрудниками требований нормативных правовых актов, локальных нормативных актов, инструкций по охране труда и технике безопасности.</w:t>
      </w:r>
    </w:p>
    <w:p>
      <w:pPr>
        <w:pStyle w:val="Normal"/>
        <w:spacing w:before="0" w:after="0"/>
        <w:ind w:firstLine="567"/>
        <w:contextualSpacing/>
        <w:jc w:val="both"/>
        <w:rPr/>
      </w:pPr>
      <w:r>
        <w:rPr>
          <w:b/>
          <w:i/>
        </w:rPr>
        <w:t xml:space="preserve">С целью предотвращения риска проводятся инструктажи персонала, обучение работников технике безопасности, своевременная аттестация и проверка знаний, противоаварийные и противопожарные тренировки. </w:t>
      </w:r>
    </w:p>
    <w:p>
      <w:pPr>
        <w:pStyle w:val="2"/>
        <w:spacing w:before="0" w:after="0"/>
        <w:contextualSpacing/>
        <w:jc w:val="both"/>
        <w:rPr>
          <w:sz w:val="20"/>
        </w:rPr>
      </w:pPr>
      <w:r>
        <w:rPr>
          <w:sz w:val="20"/>
        </w:rPr>
      </w:r>
    </w:p>
    <w:p>
      <w:pPr>
        <w:pStyle w:val="2"/>
        <w:spacing w:before="0" w:after="0"/>
        <w:contextualSpacing/>
        <w:jc w:val="both"/>
        <w:rPr>
          <w:highlight w:val="none"/>
          <w:shd w:fill="auto" w:val="clear"/>
        </w:rPr>
      </w:pPr>
      <w:r>
        <w:rPr>
          <w:shd w:fill="auto" w:val="clear"/>
        </w:rPr>
        <w:t>1.9.8. Риск информационной безопасности</w:t>
      </w:r>
    </w:p>
    <w:p>
      <w:pPr>
        <w:pStyle w:val="Normal"/>
        <w:jc w:val="both"/>
        <w:rPr/>
      </w:pPr>
      <w:r>
        <w:rPr/>
        <w:t>Риск, связанный с реализацией информационных угроз, в том числе обусловленных недостатком (уязвимостью) применяемых информационных технологий.</w:t>
      </w:r>
    </w:p>
    <w:p>
      <w:pPr>
        <w:pStyle w:val="Normal"/>
        <w:jc w:val="both"/>
        <w:rPr>
          <w:b/>
          <w:bCs/>
          <w:i/>
          <w:i/>
          <w:iCs/>
        </w:rPr>
      </w:pPr>
      <w:r>
        <w:rPr>
          <w:b/>
          <w:bCs/>
          <w:i/>
          <w:iCs/>
        </w:rPr>
        <w:t>В связи с особой ролью киберрисков в ПАО «Камчатскэнерго»   повышен до высокого риск безопасности критической информационной инфраструктуры.    С целью управления риском Обществом принят ряд организационных и технических мер по обеспечению безопасности АСУ ТП и объектов критической информационной инфраструктуры, а именно: на постоянной основе обеспечены: защита комплексов АСУ ТП посредством контроля доступа в помещения; разграничения полномочий; использование антивирусных программ для защиты информации; шифрование каналов связи.</w:t>
      </w:r>
    </w:p>
    <w:p>
      <w:pPr>
        <w:pStyle w:val="2"/>
        <w:spacing w:before="0" w:after="0"/>
        <w:contextualSpacing/>
        <w:jc w:val="both"/>
        <w:rPr/>
      </w:pPr>
      <w:r>
        <w:rPr/>
      </w:r>
    </w:p>
    <w:p>
      <w:pPr>
        <w:pStyle w:val="2"/>
        <w:spacing w:before="0" w:after="0"/>
        <w:contextualSpacing/>
        <w:jc w:val="both"/>
        <w:rPr>
          <w:highlight w:val="none"/>
          <w:shd w:fill="auto" w:val="clear"/>
        </w:rPr>
      </w:pPr>
      <w:r>
        <w:rPr>
          <w:shd w:fill="auto" w:val="clear"/>
        </w:rPr>
        <w:t>1.9.9. Экологический риск</w:t>
      </w:r>
    </w:p>
    <w:p>
      <w:pPr>
        <w:pStyle w:val="Normal"/>
        <w:jc w:val="both"/>
        <w:rPr/>
      </w:pPr>
      <w:r>
        <w:rPr/>
        <w:t>Вероятность возникновения ущерба, связанного с негативным воздействием производственно-хозяйственной деятельности эмитента (подконтрольных эмитенту организаций, имеющих для него существенное значение) на окружающую среду.</w:t>
      </w:r>
    </w:p>
    <w:p>
      <w:pPr>
        <w:pStyle w:val="Normal"/>
        <w:spacing w:before="20" w:after="40"/>
        <w:contextualSpacing/>
        <w:jc w:val="both"/>
        <w:rPr/>
      </w:pPr>
      <w:r>
        <w:rPr>
          <w:b/>
          <w:i/>
        </w:rPr>
        <w:t>Осуществляя деятельности по производству электрической и тепловой энергии, группа эмитента осознает наличие воздействия на окружающую среду и связанных с этим рисков. Для их снижения выполняется ряд природоохранных мероприятий; ежеквартально производится расчет платы за негативное воздействие на окружающую среду, организует обучение работников по соответствующим программам подготовки.</w:t>
      </w:r>
    </w:p>
    <w:p>
      <w:pPr>
        <w:pStyle w:val="Normal"/>
        <w:spacing w:before="20" w:after="40"/>
        <w:contextualSpacing/>
        <w:jc w:val="both"/>
        <w:rPr/>
      </w:pPr>
      <w:r>
        <w:rPr>
          <w:b/>
          <w:i/>
        </w:rPr>
        <w:t>Для снижения экологических рисков разрабатываются планы мероприятий по охране окружающей среды и ведется контроль по их выполнению. В области природоохранной деятельности разработан и реализован комплекс технических и организационных мероприятий по снижению воздействия на окружающую среду и управлению экологическими рисками.</w:t>
      </w:r>
    </w:p>
    <w:p>
      <w:pPr>
        <w:pStyle w:val="Normal"/>
        <w:spacing w:before="20" w:after="40"/>
        <w:contextualSpacing/>
        <w:jc w:val="both"/>
        <w:rPr/>
      </w:pPr>
      <w:r>
        <w:rPr>
          <w:b/>
          <w:i/>
        </w:rPr>
        <w:t>Выполнение указанных мероприятий позволяет снизить уровень экологических рисков до приемлемого уровня.</w:t>
      </w:r>
    </w:p>
    <w:p>
      <w:pPr>
        <w:pStyle w:val="2"/>
        <w:spacing w:before="0" w:after="0"/>
        <w:contextualSpacing/>
        <w:jc w:val="both"/>
        <w:rPr>
          <w:sz w:val="20"/>
          <w:shd w:fill="FFFF00" w:val="clear"/>
        </w:rPr>
      </w:pPr>
      <w:r>
        <w:rPr>
          <w:sz w:val="20"/>
          <w:shd w:fill="FFFF00" w:val="clear"/>
        </w:rPr>
      </w:r>
    </w:p>
    <w:p>
      <w:pPr>
        <w:pStyle w:val="2"/>
        <w:spacing w:before="0" w:after="0"/>
        <w:contextualSpacing/>
        <w:jc w:val="both"/>
        <w:rPr>
          <w:highlight w:val="none"/>
          <w:shd w:fill="auto" w:val="clear"/>
        </w:rPr>
      </w:pPr>
      <w:r>
        <w:rPr>
          <w:shd w:fill="auto" w:val="clear"/>
        </w:rPr>
        <w:t>1.9.10. Природно-климатический риск</w:t>
      </w:r>
    </w:p>
    <w:p>
      <w:pPr>
        <w:pStyle w:val="Normal"/>
        <w:rPr/>
      </w:pPr>
      <w:r>
        <w:rPr/>
        <w:t>Риски, связанные с воздействием на производственно-хозяйственную деятельность эмитента (подконтрольных эмитенту организаций, имеющих для него существенное значение) стихийных сил природы, в том числе землетрясений, наводнений, бурь, эпидемий.</w:t>
      </w:r>
    </w:p>
    <w:p>
      <w:pPr>
        <w:pStyle w:val="Normal"/>
        <w:spacing w:lineRule="auto" w:line="240" w:before="0" w:after="0"/>
        <w:ind w:firstLine="708"/>
        <w:contextualSpacing w:val="false"/>
        <w:jc w:val="both"/>
        <w:rPr>
          <w:rFonts w:ascii="Times New Roman" w:hAnsi="Times New Roman" w:cs="Times New Roman"/>
          <w:sz w:val="28"/>
          <w:szCs w:val="28"/>
        </w:rPr>
      </w:pPr>
      <w:r>
        <w:rPr>
          <w:rFonts w:eastAsia="0" w:cs="0"/>
          <w:b/>
          <w:i/>
          <w:color w:val="000000"/>
          <w:kern w:val="0"/>
          <w:sz w:val="20"/>
          <w:szCs w:val="24"/>
          <w:lang w:val="ru-RU" w:eastAsia="zh-CN" w:bidi="hi-IN"/>
        </w:rPr>
        <w:t>Природно-климатические риски оцениваются группой эмитента как существенные. В связи с ухудшением прогнозных ожиданий по сейсмособытиям данные риски включены в реестр стратегических рисков ПАО «Камчатскэнерго» на 2026 год.  Для управления данной группой рисков осуществляется планирование и выполнение комплекса мероприятий по повышению устойчивости функционирования структурных подразделений на случай возникновения чрезвычайных ситуаций природного характера: мониторинг природных условий и состояния оборудования, участие в деятельности оперативных штабов, выполнение противопаводковых и противопожарных мероприятий; в целях передачи риска Группой эмитен</w:t>
      </w:r>
      <w:r>
        <w:rPr>
          <w:rFonts w:cs="Times New Roman" w:ascii="Times New Roman" w:hAnsi="Times New Roman"/>
          <w:b/>
          <w:i/>
          <w:sz w:val="28"/>
          <w:szCs w:val="28"/>
        </w:rPr>
        <w:t xml:space="preserve">та </w:t>
      </w:r>
      <w:r>
        <w:rPr>
          <w:rFonts w:eastAsia="0" w:cs="0"/>
          <w:b/>
          <w:i/>
          <w:color w:val="000000"/>
          <w:kern w:val="0"/>
          <w:sz w:val="20"/>
          <w:szCs w:val="24"/>
          <w:lang w:val="ru-RU" w:eastAsia="zh-CN" w:bidi="hi-IN"/>
        </w:rPr>
        <w:t>заключены договоры страхования имущества</w:t>
      </w:r>
      <w:r>
        <w:rPr>
          <w:rFonts w:cs="Times New Roman" w:ascii="Times New Roman" w:hAnsi="Times New Roman"/>
          <w:b/>
          <w:i/>
          <w:sz w:val="28"/>
          <w:szCs w:val="28"/>
        </w:rPr>
        <w:t>.</w:t>
      </w:r>
    </w:p>
    <w:p>
      <w:pPr>
        <w:pStyle w:val="2"/>
        <w:spacing w:before="240" w:after="40"/>
        <w:contextualSpacing/>
        <w:jc w:val="both"/>
        <w:rPr/>
      </w:pPr>
      <w:r>
        <w:rPr/>
        <w:t>1.9.11. Риски кредитных организаций</w:t>
      </w:r>
    </w:p>
    <w:p>
      <w:pPr>
        <w:pStyle w:val="Normal"/>
        <w:spacing w:before="20" w:after="40"/>
        <w:contextualSpacing/>
        <w:jc w:val="both"/>
        <w:rPr>
          <w:rFonts w:ascii="0" w:hAnsi="0" w:eastAsia="0" w:cs="0"/>
          <w:b/>
          <w:i/>
          <w:i/>
          <w:color w:val="000000"/>
          <w:kern w:val="0"/>
          <w:sz w:val="20"/>
          <w:szCs w:val="24"/>
          <w:lang w:val="ru-RU" w:eastAsia="zh-CN" w:bidi="hi-IN"/>
        </w:rPr>
      </w:pPr>
      <w:r>
        <w:rPr>
          <w:rFonts w:eastAsia="0" w:cs="0"/>
          <w:b/>
          <w:i/>
          <w:color w:val="000000"/>
          <w:kern w:val="0"/>
          <w:sz w:val="20"/>
          <w:szCs w:val="24"/>
          <w:lang w:val="ru-RU" w:eastAsia="zh-CN" w:bidi="hi-IN"/>
        </w:rPr>
        <w:t>Эмитент не является кредитной организацией</w:t>
      </w:r>
    </w:p>
    <w:p>
      <w:pPr>
        <w:pStyle w:val="2"/>
        <w:spacing w:before="240" w:after="40"/>
        <w:contextualSpacing/>
        <w:jc w:val="both"/>
        <w:rPr/>
      </w:pPr>
      <w:r>
        <w:rPr/>
        <w:t>1.9.12. Иные риски, которые являются существенными для эмитента (группы эмитента)</w:t>
      </w:r>
    </w:p>
    <w:p>
      <w:pPr>
        <w:pStyle w:val="Normal"/>
        <w:spacing w:before="20" w:after="40"/>
        <w:contextualSpacing/>
        <w:jc w:val="both"/>
        <w:rPr>
          <w:rFonts w:ascii="0" w:hAnsi="0" w:eastAsia="0" w:cs="0"/>
          <w:b/>
          <w:i/>
          <w:i/>
          <w:color w:val="000000"/>
          <w:kern w:val="0"/>
          <w:sz w:val="20"/>
          <w:szCs w:val="24"/>
          <w:lang w:val="ru-RU" w:eastAsia="zh-CN" w:bidi="hi-IN"/>
        </w:rPr>
      </w:pPr>
      <w:r>
        <w:rPr>
          <w:rFonts w:eastAsia="0" w:cs="0"/>
          <w:b/>
          <w:i/>
          <w:color w:val="000000"/>
          <w:kern w:val="0"/>
          <w:sz w:val="20"/>
          <w:szCs w:val="24"/>
          <w:lang w:val="ru-RU" w:eastAsia="zh-CN" w:bidi="hi-IN"/>
        </w:rPr>
        <w:t>Иные риски, которые являются существенными для эмитента (группы эмитента) отсутствуют.</w:t>
      </w:r>
    </w:p>
    <w:p>
      <w:pPr>
        <w:pStyle w:val="1"/>
        <w:spacing w:before="360" w:after="120"/>
        <w:contextualSpacing/>
        <w:jc w:val="both"/>
        <w:rPr/>
      </w:pPr>
      <w:r>
        <w:rPr/>
        <w:t>Раздел 2. Сведения о лицах, входящих в состав органов управления эмитента, сведения об организации в эмитенте управления рисками, контроля за финансово-хозяйственной деятельностью и внутреннего контроля, внутреннего аудита, а также сведения о работниках эмитента</w:t>
      </w:r>
    </w:p>
    <w:p>
      <w:pPr>
        <w:pStyle w:val="2"/>
        <w:spacing w:before="240" w:after="40"/>
        <w:contextualSpacing/>
        <w:jc w:val="both"/>
        <w:rPr>
          <w:rFonts w:ascii="Times New Roman" w:hAnsi="Times New Roman" w:eastAsia="Times New Roman" w:cs="Times New Roman"/>
          <w:b/>
          <w:bCs/>
          <w:color w:val="auto"/>
          <w:kern w:val="0"/>
          <w:sz w:val="24"/>
          <w:szCs w:val="24"/>
          <w:lang w:val="ru-RU" w:eastAsia="zh-CN" w:bidi="ar-SA"/>
        </w:rPr>
      </w:pPr>
      <w:r>
        <w:rPr>
          <w:rFonts w:eastAsia="Times New Roman" w:cs="Times New Roman"/>
          <w:b/>
          <w:bCs/>
          <w:color w:val="auto"/>
          <w:kern w:val="0"/>
          <w:sz w:val="24"/>
          <w:szCs w:val="24"/>
          <w:lang w:val="ru-RU" w:eastAsia="zh-CN" w:bidi="ar-SA"/>
        </w:rPr>
        <w:t>2.1. Информация о лицах, входящих в состав органов управления эмитента</w:t>
      </w:r>
    </w:p>
    <w:p>
      <w:pPr>
        <w:pStyle w:val="2"/>
        <w:spacing w:before="240" w:after="40"/>
        <w:contextualSpacing/>
        <w:jc w:val="both"/>
        <w:rPr/>
      </w:pPr>
      <w:r>
        <w:rPr/>
      </w:r>
    </w:p>
    <w:p>
      <w:pPr>
        <w:pStyle w:val="2"/>
        <w:spacing w:before="240" w:after="40"/>
        <w:contextualSpacing/>
        <w:jc w:val="both"/>
        <w:rPr/>
      </w:pPr>
      <w:r>
        <w:rPr/>
        <w:t>2.1.1. Состав совета директоров (наблюдательного совета) эмитента:</w:t>
      </w:r>
    </w:p>
    <w:p>
      <w:pPr>
        <w:pStyle w:val="Normal"/>
        <w:spacing w:before="20" w:after="40"/>
        <w:contextualSpacing/>
        <w:jc w:val="both"/>
        <w:rPr/>
      </w:pPr>
      <w:r>
        <w:rPr/>
      </w:r>
    </w:p>
    <w:p>
      <w:pPr>
        <w:pStyle w:val="Normal"/>
        <w:spacing w:before="20" w:after="40"/>
        <w:contextualSpacing/>
        <w:jc w:val="both"/>
        <w:rPr/>
      </w:pPr>
      <w:r>
        <w:rPr/>
        <w:t>Фамилия, имя, отчество (последнее при наличии):</w:t>
      </w:r>
      <w:r>
        <w:rPr>
          <w:b/>
          <w:i/>
        </w:rPr>
        <w:t xml:space="preserve"> Коптяков Станислав Сергеевич</w:t>
      </w:r>
    </w:p>
    <w:p>
      <w:pPr>
        <w:pStyle w:val="Normal"/>
        <w:spacing w:before="20" w:after="40"/>
        <w:contextualSpacing/>
        <w:jc w:val="both"/>
        <w:rPr/>
      </w:pPr>
      <w:r>
        <w:rPr/>
        <w:t>Год рождения:</w:t>
      </w:r>
      <w:r>
        <w:rPr>
          <w:b/>
          <w:i/>
        </w:rPr>
        <w:t xml:space="preserve"> 1982</w:t>
      </w:r>
    </w:p>
    <w:p>
      <w:pPr>
        <w:pStyle w:val="Normal"/>
        <w:spacing w:before="20" w:after="40"/>
        <w:contextualSpacing/>
        <w:jc w:val="both"/>
        <w:rPr/>
      </w:pPr>
      <w:r>
        <w:rPr/>
        <w:t>Сведения об уровне образования, квалификации, специальности:</w:t>
      </w:r>
    </w:p>
    <w:p>
      <w:pPr>
        <w:pStyle w:val="Normal"/>
        <w:spacing w:before="20" w:after="40"/>
        <w:contextualSpacing/>
        <w:jc w:val="both"/>
        <w:rPr/>
      </w:pPr>
      <w:r>
        <w:rPr>
          <w:b/>
          <w:i/>
        </w:rPr>
        <w:t>высшее профессиональное, специалист, юриспруденция; дополнительное высшее,  специалист, финансы и кредит</w:t>
      </w:r>
    </w:p>
    <w:p>
      <w:pPr>
        <w:pStyle w:val="Normal"/>
        <w:spacing w:before="20" w:after="40"/>
        <w:contextualSpacing/>
        <w:jc w:val="both"/>
        <w:rPr/>
      </w:pPr>
      <w:r>
        <w:rPr/>
      </w:r>
    </w:p>
    <w:p>
      <w:pPr>
        <w:pStyle w:val="Normal"/>
        <w:spacing w:before="20" w:after="40"/>
        <w:contextualSpacing/>
        <w:jc w:val="both"/>
        <w:rPr/>
      </w:pPr>
      <w:r>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pPr>
        <w:pStyle w:val="ThinDelim"/>
        <w:spacing w:before="20" w:after="40"/>
        <w:contextualSpacing/>
        <w:jc w:val="both"/>
        <w:rPr>
          <w:b/>
          <w:bCs/>
        </w:rPr>
      </w:pPr>
      <w:r>
        <w:rPr>
          <w:b/>
          <w:bCs/>
        </w:rPr>
      </w:r>
    </w:p>
    <w:tbl>
      <w:tblPr>
        <w:tblW w:w="9129" w:type="dxa"/>
        <w:jc w:val="left"/>
        <w:tblInd w:w="88" w:type="dxa"/>
        <w:tblLayout w:type="fixed"/>
        <w:tblCellMar>
          <w:top w:w="0" w:type="dxa"/>
          <w:left w:w="72" w:type="dxa"/>
          <w:bottom w:w="0" w:type="dxa"/>
          <w:right w:w="72" w:type="dxa"/>
        </w:tblCellMar>
        <w:tblLook w:noVBand="1" w:val="04a0" w:noHBand="0" w:lastColumn="0" w:firstColumn="1" w:lastRow="0" w:firstRow="1"/>
      </w:tblPr>
      <w:tblGrid>
        <w:gridCol w:w="1079"/>
        <w:gridCol w:w="1209"/>
        <w:gridCol w:w="3337"/>
        <w:gridCol w:w="3503"/>
      </w:tblGrid>
      <w:tr>
        <w:trPr/>
        <w:tc>
          <w:tcPr>
            <w:tcW w:w="2288"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pPr>
            <w:r>
              <w:rPr>
                <w:b/>
                <w:bCs/>
                <w:i/>
                <w:iCs/>
                <w:sz w:val="16"/>
                <w:szCs w:val="16"/>
              </w:rPr>
              <w:t>Период</w:t>
            </w:r>
          </w:p>
        </w:tc>
        <w:tc>
          <w:tcPr>
            <w:tcW w:w="3337"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pPr>
            <w:r>
              <w:rPr>
                <w:b/>
                <w:bCs/>
                <w:i/>
                <w:iCs/>
                <w:sz w:val="16"/>
                <w:szCs w:val="16"/>
              </w:rPr>
              <w:t>Наименование организации</w:t>
            </w:r>
          </w:p>
        </w:tc>
        <w:tc>
          <w:tcPr>
            <w:tcW w:w="350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pPr>
            <w:r>
              <w:rPr>
                <w:b/>
                <w:bCs/>
                <w:i/>
                <w:iCs/>
                <w:sz w:val="16"/>
                <w:szCs w:val="16"/>
              </w:rPr>
              <w:t>Должность</w:t>
            </w:r>
          </w:p>
        </w:tc>
      </w:tr>
      <w:tr>
        <w:trPr/>
        <w:tc>
          <w:tcPr>
            <w:tcW w:w="107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pPr>
            <w:r>
              <w:rPr>
                <w:b/>
                <w:bCs/>
                <w:i/>
                <w:iCs/>
                <w:sz w:val="18"/>
                <w:szCs w:val="18"/>
              </w:rPr>
              <w:t>с</w:t>
            </w:r>
          </w:p>
        </w:tc>
        <w:tc>
          <w:tcPr>
            <w:tcW w:w="120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pPr>
            <w:r>
              <w:rPr>
                <w:b/>
                <w:bCs/>
                <w:i/>
                <w:iCs/>
                <w:sz w:val="18"/>
                <w:szCs w:val="18"/>
              </w:rPr>
              <w:t>по</w:t>
            </w:r>
          </w:p>
        </w:tc>
        <w:tc>
          <w:tcPr>
            <w:tcW w:w="3337"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b/>
                <w:bCs/>
                <w:i/>
                <w:i/>
                <w:iCs/>
                <w:sz w:val="18"/>
                <w:szCs w:val="18"/>
              </w:rPr>
            </w:pPr>
            <w:r>
              <w:rPr>
                <w:b/>
                <w:bCs/>
                <w:i/>
                <w:iCs/>
                <w:sz w:val="18"/>
                <w:szCs w:val="18"/>
              </w:rPr>
            </w:r>
          </w:p>
        </w:tc>
        <w:tc>
          <w:tcPr>
            <w:tcW w:w="3503"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b/>
                <w:bCs/>
                <w:i/>
                <w:i/>
                <w:iCs/>
                <w:sz w:val="18"/>
                <w:szCs w:val="18"/>
              </w:rPr>
            </w:pPr>
            <w:r>
              <w:rPr>
                <w:b/>
                <w:bCs/>
                <w:i/>
                <w:iCs/>
                <w:sz w:val="18"/>
                <w:szCs w:val="18"/>
              </w:rPr>
            </w:r>
          </w:p>
        </w:tc>
      </w:tr>
      <w:tr>
        <w:trPr/>
        <w:tc>
          <w:tcPr>
            <w:tcW w:w="107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2016</w:t>
            </w:r>
          </w:p>
        </w:tc>
        <w:tc>
          <w:tcPr>
            <w:tcW w:w="120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по н.в.</w:t>
            </w:r>
          </w:p>
        </w:tc>
        <w:tc>
          <w:tcPr>
            <w:tcW w:w="333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ПАО «РусГидро»</w:t>
            </w:r>
          </w:p>
        </w:tc>
        <w:tc>
          <w:tcPr>
            <w:tcW w:w="3503"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Директор Департамента корпоративного управления</w:t>
            </w:r>
          </w:p>
        </w:tc>
      </w:tr>
      <w:tr>
        <w:trPr/>
        <w:tc>
          <w:tcPr>
            <w:tcW w:w="107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2012</w:t>
            </w:r>
          </w:p>
        </w:tc>
        <w:tc>
          <w:tcPr>
            <w:tcW w:w="120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по н.в.</w:t>
            </w:r>
          </w:p>
        </w:tc>
        <w:tc>
          <w:tcPr>
            <w:tcW w:w="333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highlight w:val="none"/>
                <w:shd w:fill="auto" w:val="clear"/>
              </w:rPr>
            </w:pPr>
            <w:r>
              <w:rPr>
                <w:rFonts w:eastAsia="0" w:cs="0"/>
                <w:b/>
                <w:bCs/>
                <w:i/>
                <w:iCs/>
                <w:color w:val="000000"/>
                <w:kern w:val="0"/>
                <w:sz w:val="16"/>
                <w:szCs w:val="16"/>
                <w:shd w:fill="auto" w:val="clear"/>
                <w:lang w:val="ru-RU" w:eastAsia="zh-CN" w:bidi="hi-IN"/>
              </w:rPr>
              <w:t>АО «ДГК»</w:t>
            </w:r>
          </w:p>
        </w:tc>
        <w:tc>
          <w:tcPr>
            <w:tcW w:w="3503"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highlight w:val="none"/>
                <w:shd w:fill="auto" w:val="clear"/>
              </w:rPr>
            </w:pPr>
            <w:r>
              <w:rPr>
                <w:rFonts w:eastAsia="0" w:cs="0"/>
                <w:b/>
                <w:bCs/>
                <w:i/>
                <w:iCs/>
                <w:color w:val="000000"/>
                <w:kern w:val="0"/>
                <w:sz w:val="16"/>
                <w:szCs w:val="16"/>
                <w:shd w:fill="auto" w:val="clear"/>
                <w:lang w:val="ru-RU" w:eastAsia="zh-CN" w:bidi="hi-IN"/>
              </w:rPr>
              <w:t>член Совета директоров</w:t>
            </w:r>
          </w:p>
        </w:tc>
      </w:tr>
      <w:tr>
        <w:trPr/>
        <w:tc>
          <w:tcPr>
            <w:tcW w:w="107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2012</w:t>
            </w:r>
          </w:p>
        </w:tc>
        <w:tc>
          <w:tcPr>
            <w:tcW w:w="120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по н.в.</w:t>
            </w:r>
          </w:p>
        </w:tc>
        <w:tc>
          <w:tcPr>
            <w:tcW w:w="333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highlight w:val="none"/>
                <w:shd w:fill="auto" w:val="clear"/>
              </w:rPr>
            </w:pPr>
            <w:r>
              <w:rPr>
                <w:rFonts w:eastAsia="0" w:cs="0"/>
                <w:b/>
                <w:bCs/>
                <w:i/>
                <w:iCs/>
                <w:color w:val="000000"/>
                <w:kern w:val="0"/>
                <w:sz w:val="16"/>
                <w:szCs w:val="16"/>
                <w:shd w:fill="auto" w:val="clear"/>
                <w:lang w:val="ru-RU" w:eastAsia="zh-CN" w:bidi="hi-IN"/>
              </w:rPr>
              <w:t>ПАО «Камчатскэнерго»</w:t>
            </w:r>
          </w:p>
        </w:tc>
        <w:tc>
          <w:tcPr>
            <w:tcW w:w="3503"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highlight w:val="none"/>
                <w:shd w:fill="auto" w:val="clear"/>
              </w:rPr>
            </w:pPr>
            <w:r>
              <w:rPr>
                <w:rFonts w:eastAsia="0" w:cs="0"/>
                <w:b/>
                <w:bCs/>
                <w:i/>
                <w:iCs/>
                <w:color w:val="000000"/>
                <w:kern w:val="0"/>
                <w:sz w:val="16"/>
                <w:szCs w:val="16"/>
                <w:shd w:fill="auto" w:val="clear"/>
                <w:lang w:val="ru-RU" w:eastAsia="zh-CN" w:bidi="hi-IN"/>
              </w:rPr>
              <w:t>член Совета директоров</w:t>
            </w:r>
          </w:p>
        </w:tc>
      </w:tr>
      <w:tr>
        <w:trPr/>
        <w:tc>
          <w:tcPr>
            <w:tcW w:w="107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2019</w:t>
            </w:r>
          </w:p>
        </w:tc>
        <w:tc>
          <w:tcPr>
            <w:tcW w:w="120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по н.в.</w:t>
            </w:r>
          </w:p>
        </w:tc>
        <w:tc>
          <w:tcPr>
            <w:tcW w:w="333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highlight w:val="none"/>
                <w:shd w:fill="auto" w:val="clear"/>
              </w:rPr>
            </w:pPr>
            <w:r>
              <w:rPr>
                <w:rFonts w:eastAsia="0" w:cs="0"/>
                <w:b/>
                <w:bCs/>
                <w:i/>
                <w:iCs/>
                <w:color w:val="000000"/>
                <w:kern w:val="0"/>
                <w:sz w:val="16"/>
                <w:szCs w:val="16"/>
                <w:shd w:fill="auto" w:val="clear"/>
                <w:lang w:val="ru-RU" w:eastAsia="zh-CN" w:bidi="hi-IN"/>
              </w:rPr>
              <w:t>АО «ДВЭУК-Генерация Сети»</w:t>
            </w:r>
          </w:p>
        </w:tc>
        <w:tc>
          <w:tcPr>
            <w:tcW w:w="3503"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highlight w:val="none"/>
                <w:shd w:fill="auto" w:val="clear"/>
              </w:rPr>
            </w:pPr>
            <w:r>
              <w:rPr>
                <w:rFonts w:eastAsia="0" w:cs="0"/>
                <w:b/>
                <w:bCs/>
                <w:i/>
                <w:iCs/>
                <w:color w:val="000000"/>
                <w:kern w:val="0"/>
                <w:sz w:val="16"/>
                <w:szCs w:val="16"/>
                <w:shd w:fill="auto" w:val="clear"/>
                <w:lang w:val="ru-RU" w:eastAsia="zh-CN" w:bidi="hi-IN"/>
              </w:rPr>
              <w:t>член Совета директоров</w:t>
            </w:r>
          </w:p>
        </w:tc>
      </w:tr>
      <w:tr>
        <w:trPr/>
        <w:tc>
          <w:tcPr>
            <w:tcW w:w="107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2021</w:t>
            </w:r>
          </w:p>
        </w:tc>
        <w:tc>
          <w:tcPr>
            <w:tcW w:w="120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по н.в.</w:t>
            </w:r>
          </w:p>
        </w:tc>
        <w:tc>
          <w:tcPr>
            <w:tcW w:w="333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highlight w:val="none"/>
                <w:shd w:fill="auto" w:val="clear"/>
              </w:rPr>
            </w:pPr>
            <w:r>
              <w:rPr>
                <w:rFonts w:eastAsia="0" w:cs="0"/>
                <w:b/>
                <w:bCs/>
                <w:i/>
                <w:iCs/>
                <w:color w:val="000000"/>
                <w:kern w:val="0"/>
                <w:sz w:val="16"/>
                <w:szCs w:val="16"/>
                <w:shd w:fill="auto" w:val="clear"/>
                <w:lang w:val="ru-RU" w:eastAsia="zh-CN" w:bidi="hi-IN"/>
              </w:rPr>
              <w:t>ПАО «ДЭК»</w:t>
            </w:r>
          </w:p>
        </w:tc>
        <w:tc>
          <w:tcPr>
            <w:tcW w:w="3503"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highlight w:val="none"/>
                <w:shd w:fill="auto" w:val="clear"/>
              </w:rPr>
            </w:pPr>
            <w:r>
              <w:rPr>
                <w:rFonts w:eastAsia="0" w:cs="0"/>
                <w:b/>
                <w:bCs/>
                <w:i/>
                <w:iCs/>
                <w:color w:val="000000"/>
                <w:kern w:val="0"/>
                <w:sz w:val="16"/>
                <w:szCs w:val="16"/>
                <w:shd w:fill="auto" w:val="clear"/>
                <w:lang w:val="ru-RU" w:eastAsia="zh-CN" w:bidi="hi-IN"/>
              </w:rPr>
              <w:t>член Совета директоров</w:t>
            </w:r>
          </w:p>
        </w:tc>
      </w:tr>
      <w:tr>
        <w:trPr/>
        <w:tc>
          <w:tcPr>
            <w:tcW w:w="1079"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2021</w:t>
            </w:r>
          </w:p>
        </w:tc>
        <w:tc>
          <w:tcPr>
            <w:tcW w:w="1209"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по н.в.</w:t>
            </w:r>
          </w:p>
        </w:tc>
        <w:tc>
          <w:tcPr>
            <w:tcW w:w="3337"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highlight w:val="none"/>
                <w:shd w:fill="auto" w:val="clear"/>
              </w:rPr>
            </w:pPr>
            <w:r>
              <w:rPr>
                <w:rFonts w:eastAsia="0" w:cs="0"/>
                <w:b/>
                <w:bCs/>
                <w:i/>
                <w:iCs/>
                <w:color w:val="000000"/>
                <w:kern w:val="0"/>
                <w:sz w:val="16"/>
                <w:szCs w:val="16"/>
                <w:shd w:fill="auto" w:val="clear"/>
                <w:lang w:val="ru-RU" w:eastAsia="zh-CN" w:bidi="hi-IN"/>
              </w:rPr>
              <w:t>ПАО «Якутскэнерго»</w:t>
            </w:r>
          </w:p>
        </w:tc>
        <w:tc>
          <w:tcPr>
            <w:tcW w:w="3503"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highlight w:val="none"/>
                <w:shd w:fill="auto" w:val="clear"/>
              </w:rPr>
            </w:pPr>
            <w:r>
              <w:rPr>
                <w:rFonts w:eastAsia="0" w:cs="0"/>
                <w:b/>
                <w:bCs/>
                <w:i/>
                <w:iCs/>
                <w:color w:val="000000"/>
                <w:kern w:val="0"/>
                <w:sz w:val="16"/>
                <w:szCs w:val="16"/>
                <w:shd w:fill="auto" w:val="clear"/>
                <w:lang w:val="ru-RU" w:eastAsia="zh-CN" w:bidi="hi-IN"/>
              </w:rPr>
              <w:t>член Совета директоров</w:t>
            </w:r>
          </w:p>
        </w:tc>
      </w:tr>
      <w:tr>
        <w:trPr/>
        <w:tc>
          <w:tcPr>
            <w:tcW w:w="107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2022</w:t>
            </w:r>
          </w:p>
        </w:tc>
        <w:tc>
          <w:tcPr>
            <w:tcW w:w="120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по 2023</w:t>
            </w:r>
          </w:p>
        </w:tc>
        <w:tc>
          <w:tcPr>
            <w:tcW w:w="333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highlight w:val="none"/>
                <w:shd w:fill="auto" w:val="clear"/>
              </w:rPr>
            </w:pPr>
            <w:r>
              <w:rPr>
                <w:rFonts w:eastAsia="0" w:cs="0"/>
                <w:b/>
                <w:bCs/>
                <w:i/>
                <w:iCs/>
                <w:color w:val="000000"/>
                <w:kern w:val="0"/>
                <w:sz w:val="16"/>
                <w:szCs w:val="16"/>
                <w:shd w:fill="auto" w:val="clear"/>
                <w:lang w:val="ru-RU" w:eastAsia="zh-CN" w:bidi="hi-IN"/>
              </w:rPr>
              <w:t>АО «РАО ЭС Востока»</w:t>
            </w:r>
          </w:p>
        </w:tc>
        <w:tc>
          <w:tcPr>
            <w:tcW w:w="3503"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highlight w:val="none"/>
                <w:shd w:fill="auto" w:val="clear"/>
              </w:rPr>
            </w:pPr>
            <w:r>
              <w:rPr>
                <w:rFonts w:eastAsia="0" w:cs="0"/>
                <w:b/>
                <w:bCs/>
                <w:i/>
                <w:iCs/>
                <w:color w:val="000000"/>
                <w:kern w:val="0"/>
                <w:sz w:val="16"/>
                <w:szCs w:val="16"/>
                <w:shd w:fill="auto" w:val="clear"/>
                <w:lang w:val="ru-RU" w:eastAsia="zh-CN" w:bidi="hi-IN"/>
              </w:rPr>
              <w:t>член Совета директоров</w:t>
            </w:r>
          </w:p>
        </w:tc>
      </w:tr>
      <w:tr>
        <w:trPr/>
        <w:tc>
          <w:tcPr>
            <w:tcW w:w="1079"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2025</w:t>
            </w:r>
          </w:p>
        </w:tc>
        <w:tc>
          <w:tcPr>
            <w:tcW w:w="1209"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по н.в.</w:t>
            </w:r>
          </w:p>
        </w:tc>
        <w:tc>
          <w:tcPr>
            <w:tcW w:w="3337"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highlight w:val="none"/>
                <w:shd w:fill="auto" w:val="clear"/>
              </w:rPr>
            </w:pPr>
            <w:r>
              <w:rPr>
                <w:rFonts w:eastAsia="0" w:cs="0"/>
                <w:b/>
                <w:bCs/>
                <w:i/>
                <w:iCs/>
                <w:color w:val="000000"/>
                <w:kern w:val="0"/>
                <w:sz w:val="16"/>
                <w:szCs w:val="16"/>
                <w:shd w:fill="auto" w:val="clear"/>
                <w:lang w:val="ru-RU" w:eastAsia="zh-CN" w:bidi="hi-IN"/>
              </w:rPr>
              <w:t>АО «ЮЭСК»</w:t>
            </w:r>
          </w:p>
        </w:tc>
        <w:tc>
          <w:tcPr>
            <w:tcW w:w="3503"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highlight w:val="none"/>
                <w:shd w:fill="auto" w:val="clear"/>
              </w:rPr>
            </w:pPr>
            <w:r>
              <w:rPr>
                <w:rFonts w:eastAsia="0" w:cs="0"/>
                <w:b/>
                <w:bCs/>
                <w:i/>
                <w:iCs/>
                <w:color w:val="000000"/>
                <w:kern w:val="0"/>
                <w:sz w:val="16"/>
                <w:szCs w:val="16"/>
                <w:shd w:fill="auto" w:val="clear"/>
                <w:lang w:val="ru-RU" w:eastAsia="zh-CN" w:bidi="hi-IN"/>
              </w:rPr>
              <w:t>член Совета директоров</w:t>
            </w:r>
          </w:p>
        </w:tc>
      </w:tr>
    </w:tbl>
    <w:p>
      <w:pPr>
        <w:pStyle w:val="Normal"/>
        <w:jc w:val="both"/>
        <w:rPr/>
      </w:pPr>
      <w:r>
        <w:rPr/>
      </w:r>
    </w:p>
    <w:p>
      <w:pPr>
        <w:pStyle w:val="Normal"/>
        <w:jc w:val="both"/>
        <w:rPr/>
      </w:pPr>
      <w:r>
        <w:rPr/>
        <w:t xml:space="preserve">Доля участия лица в уставном капитале Эмитента, %: </w:t>
      </w:r>
      <w:r>
        <w:rPr>
          <w:b/>
          <w:i/>
        </w:rPr>
        <w:t xml:space="preserve">не имеет. </w:t>
      </w:r>
    </w:p>
    <w:p>
      <w:pPr>
        <w:pStyle w:val="Normal"/>
        <w:jc w:val="both"/>
        <w:rPr/>
      </w:pPr>
      <w:r>
        <w:rPr/>
        <w:t xml:space="preserve">Доля принадлежащих лицу обыкновенных акций Эмитента, %: </w:t>
      </w:r>
      <w:r>
        <w:rPr>
          <w:b/>
          <w:i/>
        </w:rPr>
        <w:t xml:space="preserve">не имеет. </w:t>
      </w:r>
    </w:p>
    <w:p>
      <w:pPr>
        <w:pStyle w:val="Normal"/>
        <w:jc w:val="both"/>
        <w:rPr/>
      </w:pPr>
      <w:r>
        <w:rPr/>
        <w:t xml:space="preserve">Количество акций Эмитента каждой категории (типа), которые могут быть приобретены лицом в результате конвертации принадлежащих ему ценных бумаг, конвертируемых в акции: </w:t>
      </w:r>
      <w:r>
        <w:rPr>
          <w:b/>
          <w:i/>
        </w:rPr>
        <w:t xml:space="preserve">ценные бумаги, конвертируемые в акции, отсутствуют. </w:t>
      </w:r>
    </w:p>
    <w:p>
      <w:pPr>
        <w:pStyle w:val="Normal"/>
        <w:jc w:val="both"/>
        <w:rPr/>
      </w:pPr>
      <w:r>
        <w:rPr/>
        <w:t xml:space="preserve">Доля участия лица в уставном капитале подконтрольных Эмитенту организаций, имеющих для него существенное значение: </w:t>
      </w:r>
      <w:r>
        <w:rPr>
          <w:b/>
          <w:i/>
        </w:rPr>
        <w:t xml:space="preserve">не имеет. </w:t>
      </w:r>
    </w:p>
    <w:p>
      <w:pPr>
        <w:pStyle w:val="Normal"/>
        <w:jc w:val="both"/>
        <w:rPr/>
      </w:pPr>
      <w:r>
        <w:rPr/>
        <w:t xml:space="preserve">Доля принадлежащих лицу обыкновенных акций подконтрольных Эмитенту акционерных обществ, имеющих для Эмитента существенное значение: </w:t>
      </w:r>
      <w:r>
        <w:rPr>
          <w:b/>
          <w:i/>
        </w:rPr>
        <w:t xml:space="preserve">не имеет. </w:t>
      </w:r>
    </w:p>
    <w:p>
      <w:pPr>
        <w:pStyle w:val="Normal"/>
        <w:jc w:val="both"/>
        <w:rPr/>
      </w:pPr>
      <w:r>
        <w:rPr/>
        <w:t xml:space="preserve">Количество акций каждой категории (типа), подконтрольных Эмитенту акционерных обществ, имеющих для Эмитента существенное значение, которые могут быть приобретены лицом в результате конвертации принадлежащих ему ценных бумаг, конвертируемых в акции: </w:t>
      </w:r>
      <w:r>
        <w:rPr>
          <w:b/>
          <w:i/>
        </w:rPr>
        <w:t xml:space="preserve">не имеет. </w:t>
      </w:r>
    </w:p>
    <w:p>
      <w:pPr>
        <w:pStyle w:val="Style14"/>
        <w:spacing w:lineRule="auto" w:line="240" w:before="165" w:after="0"/>
        <w:jc w:val="both"/>
        <w:rPr/>
      </w:pPr>
      <w:r>
        <w:rPr/>
        <w:t xml:space="preserve">Сведения о совершении лицом в отчетном периоде сделки по приобретению или отчуждению акций (долей) эмитента с указанием по каждой сделке даты ее совершения, содержания сделки, категорий (типов) и количества акций (долей), являвшихся предметом сделки: </w:t>
      </w:r>
      <w:r>
        <w:rPr>
          <w:b/>
          <w:bCs/>
          <w:i/>
        </w:rPr>
        <w:t>в отчетном периоде сделки с акциями эмитента не совершались</w:t>
      </w:r>
      <w:r>
        <w:rPr>
          <w:b/>
          <w:bCs/>
        </w:rPr>
        <w:t>.</w:t>
      </w:r>
    </w:p>
    <w:p>
      <w:pPr>
        <w:pStyle w:val="Normal"/>
        <w:jc w:val="both"/>
        <w:rPr/>
      </w:pPr>
      <w:r>
        <w:rPr/>
        <w:t xml:space="preserve">Сведения о характере родственных связей (супруги, родители, дети, усыновители, усыновленные, родные братья и сестры, дедушки, бабушки, внуки) между лицом и членами совета директоров (наблюдательного совета), членами коллегиального исполнительного органа, лицом, занимающим должность (осуществляющим функции) единоличного исполнительного органа Эмитента: </w:t>
      </w:r>
      <w:r>
        <w:rPr>
          <w:b/>
          <w:i/>
        </w:rPr>
        <w:t xml:space="preserve">указанных родственных связей нет. </w:t>
      </w:r>
    </w:p>
    <w:p>
      <w:pPr>
        <w:pStyle w:val="Normal"/>
        <w:jc w:val="both"/>
        <w:rPr/>
      </w:pPr>
      <w:r>
        <w:rPr/>
        <w:t xml:space="preserve">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уголовной ответственности (о наличии судимости) за преступления в сфере экономики и (или) за преступления против государственной власти: </w:t>
      </w:r>
      <w:r>
        <w:rPr>
          <w:b/>
          <w:i/>
        </w:rPr>
        <w:t xml:space="preserve">лицо к указанным видам ответственности не привлекалось. </w:t>
      </w:r>
    </w:p>
    <w:p>
      <w:pPr>
        <w:pStyle w:val="Normal"/>
        <w:jc w:val="both"/>
        <w:rPr/>
      </w:pPr>
      <w:r>
        <w:rPr/>
        <w:t xml:space="preserve">Сведения о занятии лицом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статьей 27 Федерального закона «О несостоятельности (банкротстве)»: </w:t>
      </w:r>
      <w:r>
        <w:rPr>
          <w:b/>
          <w:i/>
        </w:rPr>
        <w:t xml:space="preserve">лицо указанных должностей не занимало. </w:t>
      </w:r>
    </w:p>
    <w:p>
      <w:pPr>
        <w:pStyle w:val="Normal"/>
        <w:jc w:val="both"/>
        <w:rPr/>
      </w:pPr>
      <w:r>
        <w:rPr/>
        <w:t>Сведения об участии в работе комитетов совета директоров (наблюдательного совета)</w:t>
      </w:r>
      <w:r>
        <w:rPr>
          <w:b/>
          <w:bCs/>
        </w:rPr>
        <w:t xml:space="preserve">: </w:t>
      </w:r>
      <w:r>
        <w:rPr>
          <w:b/>
          <w:bCs/>
          <w:i/>
        </w:rPr>
        <w:t>член совета директоров не участвует в работе комитетов совета директоров</w:t>
      </w:r>
      <w:r>
        <w:rPr>
          <w:b/>
          <w:bCs/>
        </w:rPr>
        <w:t>.</w:t>
      </w:r>
    </w:p>
    <w:p>
      <w:pPr>
        <w:pStyle w:val="Style14"/>
        <w:tabs>
          <w:tab w:val="clear" w:pos="720"/>
          <w:tab w:val="left" w:pos="0" w:leader="none"/>
        </w:tabs>
        <w:spacing w:lineRule="auto" w:line="240" w:before="165" w:after="0"/>
        <w:jc w:val="both"/>
        <w:rPr/>
      </w:pPr>
      <w:r>
        <w:rPr/>
        <w:t xml:space="preserve">Сведения о членах совета директоров, которых эмитент считает независимыми с учетом положений Кодекса корпоративного управления: </w:t>
      </w:r>
      <w:r>
        <w:rPr>
          <w:b/>
          <w:bCs/>
          <w:i/>
        </w:rPr>
        <w:t>не является независимым членом совета директоров</w:t>
      </w:r>
      <w:r>
        <w:rPr>
          <w:b/>
          <w:bCs/>
        </w:rPr>
        <w:t>.</w:t>
      </w:r>
    </w:p>
    <w:p>
      <w:pPr>
        <w:pStyle w:val="Style14"/>
        <w:tabs>
          <w:tab w:val="clear" w:pos="720"/>
          <w:tab w:val="left" w:pos="0" w:leader="none"/>
        </w:tabs>
        <w:spacing w:lineRule="auto" w:line="240" w:before="165" w:after="0"/>
        <w:jc w:val="both"/>
        <w:rPr/>
      </w:pPr>
      <w:r>
        <w:rPr/>
      </w:r>
    </w:p>
    <w:p>
      <w:pPr>
        <w:pStyle w:val="Normal"/>
        <w:spacing w:before="20" w:after="40"/>
        <w:contextualSpacing/>
        <w:jc w:val="both"/>
        <w:rPr/>
      </w:pPr>
      <w:r>
        <w:rPr/>
        <w:t>Фамилия, имя, отчество (последнее при наличии):</w:t>
      </w:r>
      <w:r>
        <w:rPr>
          <w:b/>
          <w:i/>
        </w:rPr>
        <w:t xml:space="preserve"> Корнеева Дарья Геннадьевна</w:t>
      </w:r>
    </w:p>
    <w:p>
      <w:pPr>
        <w:pStyle w:val="Normal"/>
        <w:spacing w:before="20" w:after="40"/>
        <w:contextualSpacing/>
        <w:jc w:val="both"/>
        <w:rPr/>
      </w:pPr>
      <w:r>
        <w:rPr/>
        <w:t>Год рождения:</w:t>
      </w:r>
      <w:r>
        <w:rPr>
          <w:b/>
          <w:i/>
        </w:rPr>
        <w:t xml:space="preserve"> 1974</w:t>
      </w:r>
    </w:p>
    <w:p>
      <w:pPr>
        <w:pStyle w:val="Normal"/>
        <w:spacing w:before="20" w:after="40"/>
        <w:contextualSpacing/>
        <w:jc w:val="both"/>
        <w:rPr/>
      </w:pPr>
      <w:r>
        <w:rPr/>
        <w:t xml:space="preserve">Сведения об уровне образования, квалификации, специальности: </w:t>
      </w:r>
    </w:p>
    <w:p>
      <w:pPr>
        <w:pStyle w:val="Normal"/>
        <w:spacing w:before="20" w:after="40"/>
        <w:contextualSpacing/>
        <w:jc w:val="both"/>
        <w:rPr/>
      </w:pPr>
      <w:r>
        <w:rPr>
          <w:b/>
          <w:i/>
        </w:rPr>
        <w:t>высшее профессиональное образование, специалист, юриспруденция</w:t>
      </w:r>
    </w:p>
    <w:p>
      <w:pPr>
        <w:pStyle w:val="Normal"/>
        <w:spacing w:before="20" w:after="40"/>
        <w:contextualSpacing/>
        <w:jc w:val="both"/>
        <w:rPr/>
      </w:pPr>
      <w:r>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pPr>
        <w:pStyle w:val="ThinDelim"/>
        <w:spacing w:before="20" w:after="40"/>
        <w:contextualSpacing/>
        <w:jc w:val="both"/>
        <w:rPr>
          <w:b/>
          <w:bCs/>
        </w:rPr>
      </w:pPr>
      <w:r>
        <w:rPr>
          <w:b/>
          <w:bCs/>
        </w:rPr>
      </w:r>
    </w:p>
    <w:tbl>
      <w:tblPr>
        <w:tblW w:w="9073" w:type="dxa"/>
        <w:jc w:val="center"/>
        <w:tblInd w:w="0" w:type="dxa"/>
        <w:tblLayout w:type="fixed"/>
        <w:tblCellMar>
          <w:top w:w="0" w:type="dxa"/>
          <w:left w:w="72" w:type="dxa"/>
          <w:bottom w:w="0" w:type="dxa"/>
          <w:right w:w="72" w:type="dxa"/>
        </w:tblCellMar>
        <w:tblLook w:noVBand="1" w:val="04a0" w:noHBand="0" w:lastColumn="0" w:firstColumn="1" w:lastRow="0" w:firstRow="1"/>
      </w:tblPr>
      <w:tblGrid>
        <w:gridCol w:w="1329"/>
        <w:gridCol w:w="939"/>
        <w:gridCol w:w="3021"/>
        <w:gridCol w:w="3783"/>
      </w:tblGrid>
      <w:tr>
        <w:trPr/>
        <w:tc>
          <w:tcPr>
            <w:tcW w:w="2268"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Период</w:t>
            </w:r>
          </w:p>
        </w:tc>
        <w:tc>
          <w:tcPr>
            <w:tcW w:w="302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Наименование организации</w:t>
            </w:r>
          </w:p>
        </w:tc>
        <w:tc>
          <w:tcPr>
            <w:tcW w:w="378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Должность</w:t>
            </w:r>
          </w:p>
        </w:tc>
      </w:tr>
      <w:tr>
        <w:trPr/>
        <w:tc>
          <w:tcPr>
            <w:tcW w:w="132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с</w:t>
            </w:r>
          </w:p>
        </w:tc>
        <w:tc>
          <w:tcPr>
            <w:tcW w:w="93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по</w:t>
            </w:r>
          </w:p>
        </w:tc>
        <w:tc>
          <w:tcPr>
            <w:tcW w:w="3021"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r>
          </w:p>
        </w:tc>
        <w:tc>
          <w:tcPr>
            <w:tcW w:w="3783"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r>
          </w:p>
        </w:tc>
      </w:tr>
      <w:tr>
        <w:trPr/>
        <w:tc>
          <w:tcPr>
            <w:tcW w:w="132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2010</w:t>
            </w:r>
          </w:p>
        </w:tc>
        <w:tc>
          <w:tcPr>
            <w:tcW w:w="93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по н.в.</w:t>
            </w:r>
          </w:p>
        </w:tc>
        <w:tc>
          <w:tcPr>
            <w:tcW w:w="302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ПАО   «РусГидро»</w:t>
            </w:r>
          </w:p>
        </w:tc>
        <w:tc>
          <w:tcPr>
            <w:tcW w:w="3783"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Начальник Управления страхования имущества и ответственности Департамента корпоративных финансов</w:t>
            </w:r>
          </w:p>
        </w:tc>
      </w:tr>
      <w:tr>
        <w:trPr/>
        <w:tc>
          <w:tcPr>
            <w:tcW w:w="132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2018</w:t>
            </w:r>
          </w:p>
        </w:tc>
        <w:tc>
          <w:tcPr>
            <w:tcW w:w="93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по н.в.</w:t>
            </w:r>
          </w:p>
        </w:tc>
        <w:tc>
          <w:tcPr>
            <w:tcW w:w="302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ПАО «Камчатскэнерго»</w:t>
            </w:r>
          </w:p>
        </w:tc>
        <w:tc>
          <w:tcPr>
            <w:tcW w:w="3783"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член Совета Директоров</w:t>
            </w:r>
          </w:p>
        </w:tc>
      </w:tr>
      <w:tr>
        <w:trPr/>
        <w:tc>
          <w:tcPr>
            <w:tcW w:w="132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2018</w:t>
            </w:r>
          </w:p>
        </w:tc>
        <w:tc>
          <w:tcPr>
            <w:tcW w:w="93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по н.в.</w:t>
            </w:r>
          </w:p>
        </w:tc>
        <w:tc>
          <w:tcPr>
            <w:tcW w:w="302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АО «Чукотэнерго»</w:t>
            </w:r>
          </w:p>
        </w:tc>
        <w:tc>
          <w:tcPr>
            <w:tcW w:w="3783"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Заместитель Председателя Совета Директоров</w:t>
            </w:r>
          </w:p>
        </w:tc>
      </w:tr>
      <w:tr>
        <w:trPr/>
        <w:tc>
          <w:tcPr>
            <w:tcW w:w="132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2019</w:t>
            </w:r>
          </w:p>
        </w:tc>
        <w:tc>
          <w:tcPr>
            <w:tcW w:w="93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по н.в.</w:t>
            </w:r>
          </w:p>
        </w:tc>
        <w:tc>
          <w:tcPr>
            <w:tcW w:w="302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ПАО «Передвижная энергетика»</w:t>
            </w:r>
          </w:p>
        </w:tc>
        <w:tc>
          <w:tcPr>
            <w:tcW w:w="3783"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член Совета Директоров</w:t>
            </w:r>
          </w:p>
        </w:tc>
      </w:tr>
      <w:tr>
        <w:trPr/>
        <w:tc>
          <w:tcPr>
            <w:tcW w:w="132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2020</w:t>
            </w:r>
          </w:p>
        </w:tc>
        <w:tc>
          <w:tcPr>
            <w:tcW w:w="93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по н.в.</w:t>
            </w:r>
          </w:p>
        </w:tc>
        <w:tc>
          <w:tcPr>
            <w:tcW w:w="302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АО   «Усть-Среднеканская ГЭС им. А.Ф.Дьякова»</w:t>
            </w:r>
          </w:p>
        </w:tc>
        <w:tc>
          <w:tcPr>
            <w:tcW w:w="3783"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член Совета Директоров</w:t>
            </w:r>
          </w:p>
        </w:tc>
      </w:tr>
      <w:tr>
        <w:trPr/>
        <w:tc>
          <w:tcPr>
            <w:tcW w:w="132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2020</w:t>
            </w:r>
          </w:p>
        </w:tc>
        <w:tc>
          <w:tcPr>
            <w:tcW w:w="93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по н.в.</w:t>
            </w:r>
          </w:p>
        </w:tc>
        <w:tc>
          <w:tcPr>
            <w:tcW w:w="302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ПАО «РЭСК»</w:t>
            </w:r>
          </w:p>
        </w:tc>
        <w:tc>
          <w:tcPr>
            <w:tcW w:w="3783"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член Совета Директоров</w:t>
            </w:r>
          </w:p>
        </w:tc>
      </w:tr>
    </w:tbl>
    <w:p>
      <w:pPr>
        <w:pStyle w:val="ThinDelim"/>
        <w:spacing w:before="20" w:after="40"/>
        <w:contextualSpacing/>
        <w:jc w:val="both"/>
        <w:rPr>
          <w:b/>
          <w:bCs/>
        </w:rPr>
      </w:pPr>
      <w:r>
        <w:rPr>
          <w:b/>
          <w:bCs/>
        </w:rPr>
      </w:r>
    </w:p>
    <w:p>
      <w:pPr>
        <w:pStyle w:val="Normal"/>
        <w:jc w:val="both"/>
        <w:rPr/>
      </w:pPr>
      <w:r>
        <w:rPr/>
        <w:t xml:space="preserve">Доля участия лица в уставном капитале Эмитента, %: </w:t>
      </w:r>
      <w:r>
        <w:rPr>
          <w:b/>
          <w:i/>
        </w:rPr>
        <w:t xml:space="preserve">не имеет. </w:t>
      </w:r>
    </w:p>
    <w:p>
      <w:pPr>
        <w:pStyle w:val="Normal"/>
        <w:jc w:val="both"/>
        <w:rPr/>
      </w:pPr>
      <w:r>
        <w:rPr/>
        <w:t xml:space="preserve">Доля принадлежащих лицу обыкновенных акций Эмитента, %: </w:t>
      </w:r>
      <w:r>
        <w:rPr>
          <w:b/>
          <w:i/>
        </w:rPr>
        <w:t xml:space="preserve">не имеет. </w:t>
      </w:r>
    </w:p>
    <w:p>
      <w:pPr>
        <w:pStyle w:val="Normal"/>
        <w:jc w:val="both"/>
        <w:rPr/>
      </w:pPr>
      <w:r>
        <w:rPr/>
        <w:t xml:space="preserve">Количество акций Эмитента каждой категории (типа), которые могут быть приобретены лицом в результате конвертации принадлежащих ему ценных бумаг, конвертируемых в акции: </w:t>
      </w:r>
      <w:r>
        <w:rPr>
          <w:b/>
          <w:i/>
        </w:rPr>
        <w:t xml:space="preserve">ценные бумаги, конвертируемые в акции, отсутствуют. </w:t>
      </w:r>
    </w:p>
    <w:p>
      <w:pPr>
        <w:pStyle w:val="Normal"/>
        <w:jc w:val="both"/>
        <w:rPr/>
      </w:pPr>
      <w:r>
        <w:rPr/>
        <w:t xml:space="preserve">Доля участия лица в уставном капитале подконтрольных Эмитенту организаций, имеющих для него существенное значение: </w:t>
      </w:r>
      <w:r>
        <w:rPr>
          <w:b/>
          <w:i/>
        </w:rPr>
        <w:t xml:space="preserve">не имеет. </w:t>
      </w:r>
    </w:p>
    <w:p>
      <w:pPr>
        <w:pStyle w:val="Normal"/>
        <w:jc w:val="both"/>
        <w:rPr/>
      </w:pPr>
      <w:r>
        <w:rPr/>
        <w:t xml:space="preserve">Доля принадлежащих лицу обыкновенных акций подконтрольных Эмитенту акционерных обществ, имеющих для Эмитента существенное значение: </w:t>
      </w:r>
      <w:r>
        <w:rPr>
          <w:b/>
          <w:i/>
        </w:rPr>
        <w:t xml:space="preserve">не имеет. </w:t>
      </w:r>
    </w:p>
    <w:p>
      <w:pPr>
        <w:pStyle w:val="Normal"/>
        <w:jc w:val="both"/>
        <w:rPr/>
      </w:pPr>
      <w:r>
        <w:rPr/>
        <w:t xml:space="preserve">Количество акций каждой категории (типа), подконтрольных Эмитенту акционерных обществ, имеющих для Эмитента существенное значение, которые могут быть приобретены лицом в результате конвертации принадлежащих ему ценных бумаг, конвертируемых в акции: </w:t>
      </w:r>
      <w:r>
        <w:rPr>
          <w:b/>
          <w:i/>
        </w:rPr>
        <w:t xml:space="preserve">не имеет. </w:t>
      </w:r>
    </w:p>
    <w:p>
      <w:pPr>
        <w:pStyle w:val="Style14"/>
        <w:spacing w:lineRule="auto" w:line="240" w:before="165" w:after="0"/>
        <w:jc w:val="both"/>
        <w:rPr/>
      </w:pPr>
      <w:r>
        <w:rPr/>
        <w:t xml:space="preserve">Сведения о совершении лицом в отчетном периоде сделки по приобретению или отчуждению акций (долей) эмитента с указанием по каждой сделке даты ее совершения, содержания сделки, категорий (типов) и количества акций (долей), являвшихся предметом сделки: </w:t>
      </w:r>
      <w:r>
        <w:rPr>
          <w:b/>
          <w:bCs/>
          <w:i/>
        </w:rPr>
        <w:t>в отчетном периоде сделки с акциями эмитента не совершались</w:t>
      </w:r>
      <w:r>
        <w:rPr>
          <w:b/>
          <w:bCs/>
        </w:rPr>
        <w:t>.</w:t>
      </w:r>
    </w:p>
    <w:p>
      <w:pPr>
        <w:pStyle w:val="Normal"/>
        <w:jc w:val="both"/>
        <w:rPr/>
      </w:pPr>
      <w:r>
        <w:rPr/>
        <w:t xml:space="preserve">Сведения о характере родственных связей (супруги, родители, дети, усыновители, усыновленные, родные братья и сестры, дедушки, бабушки, внуки) между лицом и членами совета директоров (наблюдательного совета), членами коллегиального исполнительного органа, лицом, занимающим должность (осуществляющим функции) единоличного исполнительного органа Эмитента: </w:t>
      </w:r>
      <w:r>
        <w:rPr>
          <w:b/>
          <w:i/>
        </w:rPr>
        <w:t xml:space="preserve">указанных родственных связей нет. </w:t>
      </w:r>
    </w:p>
    <w:p>
      <w:pPr>
        <w:pStyle w:val="Normal"/>
        <w:jc w:val="both"/>
        <w:rPr/>
      </w:pPr>
      <w:r>
        <w:rPr/>
        <w:t xml:space="preserve">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уголовной ответственности (о наличии судимости) за преступления в сфере экономики и (или) за преступления против государственной власти: </w:t>
      </w:r>
      <w:r>
        <w:rPr>
          <w:b/>
          <w:i/>
        </w:rPr>
        <w:t xml:space="preserve">лицо к указанным видам ответственности не привлекалось. </w:t>
      </w:r>
    </w:p>
    <w:p>
      <w:pPr>
        <w:pStyle w:val="Normal"/>
        <w:jc w:val="both"/>
        <w:rPr/>
      </w:pPr>
      <w:r>
        <w:rPr/>
        <w:t xml:space="preserve">Сведения о занятии лицом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статьей 27 Федерального закона «О несостоятельности (банкротстве)»: </w:t>
      </w:r>
      <w:r>
        <w:rPr>
          <w:b/>
          <w:i/>
        </w:rPr>
        <w:t xml:space="preserve">лицо указанных должностей не занимало. </w:t>
      </w:r>
    </w:p>
    <w:p>
      <w:pPr>
        <w:pStyle w:val="Normal"/>
        <w:jc w:val="both"/>
        <w:rPr/>
      </w:pPr>
      <w:r>
        <w:rPr/>
        <w:t xml:space="preserve">Cведения об участии в работе комитетов совета директоров (наблюдательного совета): </w:t>
      </w:r>
      <w:r>
        <w:rPr>
          <w:b/>
          <w:bCs/>
          <w:i/>
        </w:rPr>
        <w:t>член совета директоров не участвует в работе комитетов совета директоров</w:t>
      </w:r>
      <w:r>
        <w:rPr>
          <w:b/>
          <w:bCs/>
        </w:rPr>
        <w:t>.</w:t>
      </w:r>
    </w:p>
    <w:p>
      <w:pPr>
        <w:pStyle w:val="Style14"/>
        <w:tabs>
          <w:tab w:val="clear" w:pos="720"/>
          <w:tab w:val="left" w:pos="0" w:leader="none"/>
        </w:tabs>
        <w:spacing w:lineRule="auto" w:line="240" w:before="165" w:after="0"/>
        <w:jc w:val="both"/>
        <w:rPr/>
      </w:pPr>
      <w:r>
        <w:rPr>
          <w:i/>
        </w:rPr>
        <w:t xml:space="preserve">Сведения о членах совета директоров, которых эмитент считает независимыми с учетом положений Кодекса корпоративного управления: </w:t>
      </w:r>
      <w:r>
        <w:rPr>
          <w:b/>
          <w:bCs/>
          <w:i/>
        </w:rPr>
        <w:t>не является независимым членом совета директоров.</w:t>
      </w:r>
    </w:p>
    <w:p>
      <w:pPr>
        <w:pStyle w:val="Normal"/>
        <w:spacing w:before="20" w:after="40"/>
        <w:contextualSpacing/>
        <w:jc w:val="both"/>
        <w:rPr/>
      </w:pPr>
      <w:r>
        <w:rPr/>
      </w:r>
    </w:p>
    <w:p>
      <w:pPr>
        <w:pStyle w:val="Normal"/>
        <w:spacing w:before="20" w:after="40"/>
        <w:contextualSpacing/>
        <w:jc w:val="both"/>
        <w:rPr/>
      </w:pPr>
      <w:r>
        <w:rPr/>
      </w:r>
    </w:p>
    <w:p>
      <w:pPr>
        <w:pStyle w:val="Normal"/>
        <w:spacing w:before="20" w:after="40"/>
        <w:contextualSpacing/>
        <w:jc w:val="both"/>
        <w:rPr/>
      </w:pPr>
      <w:r>
        <w:rPr/>
        <w:t>Фамилия, имя, отчество (последнее при наличии):</w:t>
      </w:r>
      <w:r>
        <w:rPr>
          <w:b/>
          <w:i/>
        </w:rPr>
        <w:t xml:space="preserve"> Ткачева Наталья Николаевна</w:t>
      </w:r>
    </w:p>
    <w:p>
      <w:pPr>
        <w:pStyle w:val="Normal"/>
        <w:spacing w:before="20" w:after="40"/>
        <w:contextualSpacing/>
        <w:jc w:val="both"/>
        <w:rPr/>
      </w:pPr>
      <w:r>
        <w:rPr/>
        <w:t>Год рождения:</w:t>
      </w:r>
      <w:r>
        <w:rPr>
          <w:b/>
          <w:i/>
        </w:rPr>
        <w:t xml:space="preserve"> 1973</w:t>
      </w:r>
    </w:p>
    <w:p>
      <w:pPr>
        <w:pStyle w:val="Normal"/>
        <w:spacing w:before="20" w:after="40"/>
        <w:contextualSpacing/>
        <w:jc w:val="both"/>
        <w:rPr/>
      </w:pPr>
      <w:r>
        <w:rPr/>
        <w:t>Сведения об уровне образования, квалификации, специальности:</w:t>
      </w:r>
    </w:p>
    <w:p>
      <w:pPr>
        <w:pStyle w:val="Normal"/>
        <w:spacing w:before="20" w:after="40"/>
        <w:contextualSpacing/>
        <w:jc w:val="both"/>
        <w:rPr/>
      </w:pPr>
      <w:r>
        <w:rPr>
          <w:b/>
          <w:i/>
        </w:rPr>
        <w:t>высшее профессиональное, специалист, инженер-экономист; дополнительное высшее, бакалавр юриспруденции</w:t>
      </w:r>
    </w:p>
    <w:p>
      <w:pPr>
        <w:pStyle w:val="Normal"/>
        <w:spacing w:before="20" w:after="40"/>
        <w:contextualSpacing/>
        <w:jc w:val="both"/>
        <w:rPr/>
      </w:pPr>
      <w:r>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pPr>
        <w:pStyle w:val="ThinDelim"/>
        <w:spacing w:before="20" w:after="40"/>
        <w:contextualSpacing/>
        <w:jc w:val="both"/>
        <w:rPr>
          <w:b/>
          <w:bCs/>
        </w:rPr>
      </w:pPr>
      <w:r>
        <w:rPr>
          <w:b/>
          <w:bCs/>
        </w:rPr>
      </w:r>
    </w:p>
    <w:tbl>
      <w:tblPr>
        <w:tblW w:w="9263" w:type="dxa"/>
        <w:jc w:val="left"/>
        <w:tblInd w:w="101" w:type="dxa"/>
        <w:tblLayout w:type="fixed"/>
        <w:tblCellMar>
          <w:top w:w="0" w:type="dxa"/>
          <w:left w:w="72" w:type="dxa"/>
          <w:bottom w:w="0" w:type="dxa"/>
          <w:right w:w="72" w:type="dxa"/>
        </w:tblCellMar>
        <w:tblLook w:noVBand="1" w:val="04a0" w:noHBand="0" w:lastColumn="0" w:firstColumn="1" w:lastRow="0" w:firstRow="1"/>
      </w:tblPr>
      <w:tblGrid>
        <w:gridCol w:w="1256"/>
        <w:gridCol w:w="1031"/>
        <w:gridCol w:w="3318"/>
        <w:gridCol w:w="3657"/>
      </w:tblGrid>
      <w:tr>
        <w:trPr/>
        <w:tc>
          <w:tcPr>
            <w:tcW w:w="2287"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Период</w:t>
            </w:r>
          </w:p>
        </w:tc>
        <w:tc>
          <w:tcPr>
            <w:tcW w:w="331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sz w:val="16"/>
                <w:szCs w:val="16"/>
              </w:rPr>
            </w:pPr>
            <w:r>
              <w:rPr>
                <w:b/>
                <w:bCs/>
                <w:i/>
                <w:iCs/>
                <w:sz w:val="16"/>
                <w:szCs w:val="16"/>
              </w:rPr>
              <w:t>Наименование организации</w:t>
            </w:r>
          </w:p>
        </w:tc>
        <w:tc>
          <w:tcPr>
            <w:tcW w:w="3657"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sz w:val="16"/>
                <w:szCs w:val="16"/>
              </w:rPr>
            </w:pPr>
            <w:r>
              <w:rPr>
                <w:b/>
                <w:bCs/>
                <w:i/>
                <w:iCs/>
                <w:sz w:val="16"/>
                <w:szCs w:val="16"/>
              </w:rPr>
              <w:t>Должность</w:t>
            </w:r>
          </w:p>
        </w:tc>
      </w:tr>
      <w:tr>
        <w:trPr/>
        <w:tc>
          <w:tcPr>
            <w:tcW w:w="125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с</w:t>
            </w:r>
          </w:p>
        </w:tc>
        <w:tc>
          <w:tcPr>
            <w:tcW w:w="103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w:t>
            </w:r>
          </w:p>
        </w:tc>
        <w:tc>
          <w:tcPr>
            <w:tcW w:w="3318"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b/>
                <w:bCs/>
                <w:i/>
                <w:i/>
                <w:iCs/>
                <w:sz w:val="16"/>
                <w:szCs w:val="16"/>
              </w:rPr>
            </w:pPr>
            <w:r>
              <w:rPr>
                <w:b/>
                <w:bCs/>
                <w:i/>
                <w:iCs/>
                <w:sz w:val="16"/>
                <w:szCs w:val="16"/>
              </w:rPr>
            </w:r>
          </w:p>
        </w:tc>
        <w:tc>
          <w:tcPr>
            <w:tcW w:w="3657"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b/>
                <w:bCs/>
                <w:i/>
                <w:i/>
                <w:iCs/>
                <w:sz w:val="16"/>
                <w:szCs w:val="16"/>
              </w:rPr>
            </w:pPr>
            <w:r>
              <w:rPr>
                <w:b/>
                <w:bCs/>
                <w:i/>
                <w:iCs/>
                <w:sz w:val="16"/>
                <w:szCs w:val="16"/>
              </w:rPr>
            </w:r>
          </w:p>
        </w:tc>
      </w:tr>
      <w:tr>
        <w:trPr/>
        <w:tc>
          <w:tcPr>
            <w:tcW w:w="125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2010</w:t>
            </w:r>
          </w:p>
        </w:tc>
        <w:tc>
          <w:tcPr>
            <w:tcW w:w="103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 н.в.</w:t>
            </w:r>
          </w:p>
        </w:tc>
        <w:tc>
          <w:tcPr>
            <w:tcW w:w="3318"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ПАО  «РусГидро»</w:t>
            </w:r>
          </w:p>
        </w:tc>
        <w:tc>
          <w:tcPr>
            <w:tcW w:w="365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Начальник Управления по планированию экономической деятельности дочерних обществ Департамента экономического планирования и инвестиционных программ</w:t>
            </w:r>
          </w:p>
        </w:tc>
      </w:tr>
      <w:tr>
        <w:trPr/>
        <w:tc>
          <w:tcPr>
            <w:tcW w:w="125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2018</w:t>
            </w:r>
          </w:p>
        </w:tc>
        <w:tc>
          <w:tcPr>
            <w:tcW w:w="103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 н.в.</w:t>
            </w:r>
          </w:p>
        </w:tc>
        <w:tc>
          <w:tcPr>
            <w:tcW w:w="3318"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highlight w:val="none"/>
                <w:shd w:fill="auto" w:val="clear"/>
              </w:rPr>
            </w:pPr>
            <w:r>
              <w:rPr>
                <w:b/>
                <w:bCs/>
                <w:i/>
                <w:iCs/>
                <w:sz w:val="16"/>
                <w:szCs w:val="16"/>
                <w:shd w:fill="auto" w:val="clear"/>
              </w:rPr>
              <w:t>ПАО «Камчатскэнерго»</w:t>
            </w:r>
          </w:p>
        </w:tc>
        <w:tc>
          <w:tcPr>
            <w:tcW w:w="365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член Совета директоров</w:t>
            </w:r>
          </w:p>
        </w:tc>
      </w:tr>
      <w:tr>
        <w:trPr/>
        <w:tc>
          <w:tcPr>
            <w:tcW w:w="125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2019</w:t>
            </w:r>
          </w:p>
        </w:tc>
        <w:tc>
          <w:tcPr>
            <w:tcW w:w="103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 н.в.</w:t>
            </w:r>
          </w:p>
        </w:tc>
        <w:tc>
          <w:tcPr>
            <w:tcW w:w="3318"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highlight w:val="none"/>
                <w:shd w:fill="auto" w:val="clear"/>
              </w:rPr>
            </w:pPr>
            <w:r>
              <w:rPr>
                <w:b/>
                <w:bCs/>
                <w:i/>
                <w:iCs/>
                <w:sz w:val="16"/>
                <w:szCs w:val="16"/>
                <w:shd w:fill="auto" w:val="clear"/>
              </w:rPr>
              <w:t>АО «РусГидро Логистика»</w:t>
            </w:r>
          </w:p>
        </w:tc>
        <w:tc>
          <w:tcPr>
            <w:tcW w:w="365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член Совета директоров</w:t>
            </w:r>
          </w:p>
        </w:tc>
      </w:tr>
      <w:tr>
        <w:trPr/>
        <w:tc>
          <w:tcPr>
            <w:tcW w:w="125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2019</w:t>
            </w:r>
          </w:p>
        </w:tc>
        <w:tc>
          <w:tcPr>
            <w:tcW w:w="103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 н.в.</w:t>
            </w:r>
          </w:p>
        </w:tc>
        <w:tc>
          <w:tcPr>
            <w:tcW w:w="3318"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highlight w:val="none"/>
                <w:shd w:fill="auto" w:val="clear"/>
              </w:rPr>
            </w:pPr>
            <w:r>
              <w:rPr>
                <w:b/>
                <w:bCs/>
                <w:i/>
                <w:iCs/>
                <w:sz w:val="16"/>
                <w:szCs w:val="16"/>
                <w:shd w:fill="auto" w:val="clear"/>
              </w:rPr>
              <w:t>АО «Чукотэнерго»</w:t>
            </w:r>
          </w:p>
        </w:tc>
        <w:tc>
          <w:tcPr>
            <w:tcW w:w="365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член Совета директоров</w:t>
            </w:r>
          </w:p>
        </w:tc>
      </w:tr>
      <w:tr>
        <w:trPr/>
        <w:tc>
          <w:tcPr>
            <w:tcW w:w="125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2021</w:t>
            </w:r>
          </w:p>
        </w:tc>
        <w:tc>
          <w:tcPr>
            <w:tcW w:w="103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 н.в</w:t>
            </w:r>
          </w:p>
        </w:tc>
        <w:tc>
          <w:tcPr>
            <w:tcW w:w="3318"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highlight w:val="none"/>
                <w:shd w:fill="auto" w:val="clear"/>
              </w:rPr>
            </w:pPr>
            <w:r>
              <w:rPr>
                <w:b/>
                <w:bCs/>
                <w:i/>
                <w:iCs/>
                <w:sz w:val="16"/>
                <w:szCs w:val="16"/>
                <w:shd w:fill="auto" w:val="clear"/>
              </w:rPr>
              <w:t>АО «Усть-Среднеканская ГЭС имени Дьякова»</w:t>
            </w:r>
          </w:p>
        </w:tc>
        <w:tc>
          <w:tcPr>
            <w:tcW w:w="365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член Совета директоров</w:t>
            </w:r>
          </w:p>
        </w:tc>
      </w:tr>
      <w:tr>
        <w:trPr/>
        <w:tc>
          <w:tcPr>
            <w:tcW w:w="125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2022</w:t>
            </w:r>
          </w:p>
        </w:tc>
        <w:tc>
          <w:tcPr>
            <w:tcW w:w="103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 н.в.</w:t>
            </w:r>
          </w:p>
        </w:tc>
        <w:tc>
          <w:tcPr>
            <w:tcW w:w="3318"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ПАО «РЭСК»</w:t>
            </w:r>
          </w:p>
        </w:tc>
        <w:tc>
          <w:tcPr>
            <w:tcW w:w="365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член Совета директоров</w:t>
            </w:r>
          </w:p>
        </w:tc>
      </w:tr>
      <w:tr>
        <w:trPr/>
        <w:tc>
          <w:tcPr>
            <w:tcW w:w="1256"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2024</w:t>
            </w:r>
          </w:p>
        </w:tc>
        <w:tc>
          <w:tcPr>
            <w:tcW w:w="1031"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 н.в.</w:t>
            </w:r>
          </w:p>
        </w:tc>
        <w:tc>
          <w:tcPr>
            <w:tcW w:w="3318"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ЗАО «Верхне-Нарынские ГЭС»</w:t>
            </w:r>
          </w:p>
        </w:tc>
        <w:tc>
          <w:tcPr>
            <w:tcW w:w="3657"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член Совета директоров</w:t>
            </w:r>
          </w:p>
        </w:tc>
      </w:tr>
    </w:tbl>
    <w:p>
      <w:pPr>
        <w:pStyle w:val="ThinDelim"/>
        <w:spacing w:before="20" w:after="40"/>
        <w:contextualSpacing/>
        <w:jc w:val="both"/>
        <w:rPr>
          <w:b/>
          <w:bCs/>
        </w:rPr>
      </w:pPr>
      <w:r>
        <w:rPr>
          <w:b/>
          <w:bCs/>
        </w:rPr>
      </w:r>
    </w:p>
    <w:p>
      <w:pPr>
        <w:pStyle w:val="Normal"/>
        <w:jc w:val="both"/>
        <w:rPr/>
      </w:pPr>
      <w:r>
        <w:rPr/>
        <w:t xml:space="preserve">Доля участия лица в уставном капитале Эмитента, %: </w:t>
      </w:r>
      <w:r>
        <w:rPr>
          <w:b/>
          <w:i/>
        </w:rPr>
        <w:t xml:space="preserve">не имеет. </w:t>
      </w:r>
    </w:p>
    <w:p>
      <w:pPr>
        <w:pStyle w:val="Normal"/>
        <w:jc w:val="both"/>
        <w:rPr/>
      </w:pPr>
      <w:r>
        <w:rPr/>
        <w:t xml:space="preserve">Доля принадлежащих лицу обыкновенных акций Эмитента, %: </w:t>
      </w:r>
      <w:r>
        <w:rPr>
          <w:b/>
          <w:i/>
        </w:rPr>
        <w:t xml:space="preserve">не имеет. </w:t>
      </w:r>
    </w:p>
    <w:p>
      <w:pPr>
        <w:pStyle w:val="Normal"/>
        <w:jc w:val="both"/>
        <w:rPr/>
      </w:pPr>
      <w:r>
        <w:rPr/>
        <w:t xml:space="preserve">Количество акций Эмитента каждой категории (типа), которые могут быть приобретены лицом в результате конвертации принадлежащих ему ценных бумаг, конвертируемых в акции: </w:t>
      </w:r>
      <w:r>
        <w:rPr>
          <w:b/>
          <w:i/>
        </w:rPr>
        <w:t xml:space="preserve">ценные бумаги, конвертируемые в акции, отсутствуют. </w:t>
      </w:r>
    </w:p>
    <w:p>
      <w:pPr>
        <w:pStyle w:val="Normal"/>
        <w:jc w:val="both"/>
        <w:rPr/>
      </w:pPr>
      <w:r>
        <w:rPr/>
        <w:t xml:space="preserve">Доля участия лица в уставном капитале подконтрольных Эмитенту организаций, имеющих для него существенное значение: </w:t>
      </w:r>
      <w:r>
        <w:rPr>
          <w:b/>
          <w:i/>
        </w:rPr>
        <w:t xml:space="preserve">не имеет. </w:t>
      </w:r>
    </w:p>
    <w:p>
      <w:pPr>
        <w:pStyle w:val="Normal"/>
        <w:jc w:val="both"/>
        <w:rPr/>
      </w:pPr>
      <w:r>
        <w:rPr/>
        <w:t xml:space="preserve">Доля принадлежащих лицу обыкновенных акций подконтрольных Эмитенту акционерных обществ, имеющих для Эмитента существенное значение: </w:t>
      </w:r>
      <w:r>
        <w:rPr>
          <w:b/>
          <w:i/>
        </w:rPr>
        <w:t xml:space="preserve">не имеет. </w:t>
      </w:r>
    </w:p>
    <w:p>
      <w:pPr>
        <w:pStyle w:val="Normal"/>
        <w:jc w:val="both"/>
        <w:rPr/>
      </w:pPr>
      <w:r>
        <w:rPr/>
        <w:t xml:space="preserve">Количество акций каждой категории (типа), подконтрольных Эмитенту акционерных обществ, имеющих для Эмитента существенное значение, которые могут быть приобретены лицом в результате конвертации принадлежащих ему ценных бумаг, конвертируемых в акции: </w:t>
      </w:r>
      <w:r>
        <w:rPr>
          <w:b/>
          <w:i/>
        </w:rPr>
        <w:t xml:space="preserve">не имеет. </w:t>
      </w:r>
    </w:p>
    <w:p>
      <w:pPr>
        <w:pStyle w:val="Style14"/>
        <w:spacing w:lineRule="auto" w:line="240" w:before="165" w:after="0"/>
        <w:jc w:val="both"/>
        <w:rPr/>
      </w:pPr>
      <w:r>
        <w:rPr/>
        <w:t xml:space="preserve">Сведения о совершении лицом в отчетном периоде сделки по приобретению или отчуждению акций (долей) эмитента с указанием по каждой сделке даты ее совершения, содержания сделки, категорий (типов) и количества акций (долей), являвшихся предметом сделки: </w:t>
      </w:r>
      <w:r>
        <w:rPr>
          <w:b/>
          <w:bCs/>
          <w:i/>
        </w:rPr>
        <w:t>в отчетном периоде сделки с акциями эмитента не совершались</w:t>
      </w:r>
      <w:r>
        <w:rPr>
          <w:b/>
          <w:bCs/>
        </w:rPr>
        <w:t>.</w:t>
      </w:r>
    </w:p>
    <w:p>
      <w:pPr>
        <w:pStyle w:val="Normal"/>
        <w:jc w:val="both"/>
        <w:rPr/>
      </w:pPr>
      <w:r>
        <w:rPr/>
        <w:t xml:space="preserve">Сведения о характере родственных связей (супруги, родители, дети, усыновители, усыновленные, родные братья и сестры, дедушки, бабушки, внуки) между лицом и членами совета директоров (наблюдательного совета), членами коллегиального исполнительного органа, лицом, занимающим должность (осуществляющим функции) единоличного исполнительного органа Эмитента: </w:t>
      </w:r>
      <w:r>
        <w:rPr>
          <w:b/>
          <w:i/>
        </w:rPr>
        <w:t xml:space="preserve">указанных родственных связей нет. </w:t>
      </w:r>
    </w:p>
    <w:p>
      <w:pPr>
        <w:pStyle w:val="Normal"/>
        <w:jc w:val="both"/>
        <w:rPr/>
      </w:pPr>
      <w:r>
        <w:rPr/>
        <w:t xml:space="preserve">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уголовной ответственности (о наличии судимости) за преступления в сфере экономики и (или) за преступления против государственной власти: </w:t>
      </w:r>
      <w:r>
        <w:rPr>
          <w:b/>
          <w:i/>
        </w:rPr>
        <w:t xml:space="preserve">лицо к указанным видам ответственности не привлекалось. </w:t>
      </w:r>
    </w:p>
    <w:p>
      <w:pPr>
        <w:pStyle w:val="Normal"/>
        <w:jc w:val="both"/>
        <w:rPr/>
      </w:pPr>
      <w:r>
        <w:rPr/>
        <w:t>Сведения о занятии лицом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статьей 27 Федерального закона «О не</w:t>
      </w:r>
      <w:r>
        <w:rPr>
          <w:shd w:fill="auto" w:val="clear"/>
        </w:rPr>
        <w:t xml:space="preserve">состоятельности (банкротстве)»: </w:t>
      </w:r>
      <w:r>
        <w:rPr>
          <w:b/>
          <w:i/>
          <w:shd w:fill="auto" w:val="clear"/>
        </w:rPr>
        <w:t xml:space="preserve">лицо указанных должностей не занимало. </w:t>
      </w:r>
    </w:p>
    <w:p>
      <w:pPr>
        <w:pStyle w:val="Normal"/>
        <w:jc w:val="both"/>
        <w:rPr>
          <w:highlight w:val="none"/>
          <w:shd w:fill="auto" w:val="clear"/>
        </w:rPr>
      </w:pPr>
      <w:r>
        <w:rPr>
          <w:shd w:fill="auto" w:val="clear"/>
        </w:rPr>
        <w:t xml:space="preserve">Сведения об участии в работе комитетов совета директоров: </w:t>
      </w:r>
      <w:r>
        <w:rPr>
          <w:b/>
          <w:bCs/>
          <w:i/>
          <w:iCs/>
          <w:shd w:fill="auto" w:val="clear"/>
        </w:rPr>
        <w:t xml:space="preserve">член Совета директоров участвует в работе </w:t>
      </w:r>
      <w:r>
        <w:rPr>
          <w:b/>
          <w:bCs/>
          <w:i/>
          <w:iCs/>
          <w:spacing w:val="-4"/>
          <w:shd w:fill="auto" w:val="clear"/>
        </w:rPr>
        <w:t xml:space="preserve">Комитета по аудиту при Совете директоров ПАО «Камчатскэнерго».  </w:t>
      </w:r>
    </w:p>
    <w:p>
      <w:pPr>
        <w:pStyle w:val="Style14"/>
        <w:tabs>
          <w:tab w:val="clear" w:pos="720"/>
          <w:tab w:val="left" w:pos="0" w:leader="none"/>
        </w:tabs>
        <w:spacing w:lineRule="auto" w:line="240" w:before="165" w:after="0"/>
        <w:jc w:val="both"/>
        <w:rPr/>
      </w:pPr>
      <w:r>
        <w:rPr>
          <w:i/>
          <w:shd w:fill="auto" w:val="clear"/>
        </w:rPr>
        <w:t>Сведения о членах совета директоров, которых эмитент считает независимы</w:t>
      </w:r>
      <w:r>
        <w:rPr>
          <w:i/>
        </w:rPr>
        <w:t xml:space="preserve">ми с учетом положений Кодекса корпоративного управления: </w:t>
      </w:r>
      <w:r>
        <w:rPr>
          <w:b/>
          <w:bCs/>
          <w:i/>
        </w:rPr>
        <w:t>не является независимым членом совета директоров.</w:t>
      </w:r>
    </w:p>
    <w:p>
      <w:pPr>
        <w:pStyle w:val="Normal"/>
        <w:spacing w:before="20" w:after="40"/>
        <w:contextualSpacing/>
        <w:jc w:val="both"/>
        <w:rPr>
          <w:b/>
          <w:bCs/>
          <w:i/>
          <w:i/>
          <w:iCs/>
          <w:color w:val="auto"/>
          <w:spacing w:val="-4"/>
        </w:rPr>
      </w:pPr>
      <w:r>
        <w:rPr>
          <w:b/>
          <w:bCs/>
          <w:i/>
          <w:iCs/>
          <w:color w:val="auto"/>
          <w:spacing w:val="-4"/>
        </w:rPr>
      </w:r>
    </w:p>
    <w:p>
      <w:pPr>
        <w:pStyle w:val="Normal"/>
        <w:spacing w:before="20" w:after="40"/>
        <w:contextualSpacing/>
        <w:jc w:val="both"/>
        <w:rPr>
          <w:shd w:fill="FFFF00" w:val="clear"/>
        </w:rPr>
      </w:pPr>
      <w:r>
        <w:rPr>
          <w:shd w:fill="FFFF00" w:val="clear"/>
        </w:rPr>
      </w:r>
    </w:p>
    <w:p>
      <w:pPr>
        <w:pStyle w:val="Normal"/>
        <w:spacing w:before="20" w:after="40"/>
        <w:contextualSpacing/>
        <w:jc w:val="both"/>
        <w:rPr/>
      </w:pPr>
      <w:r>
        <w:rPr/>
        <w:t>Фамилия, имя, отчество (последнее при наличии):</w:t>
      </w:r>
      <w:r>
        <w:rPr>
          <w:b/>
          <w:i/>
        </w:rPr>
        <w:t xml:space="preserve"> Новиков Алексей Николаевич</w:t>
      </w:r>
    </w:p>
    <w:p>
      <w:pPr>
        <w:pStyle w:val="Normal"/>
        <w:spacing w:before="20" w:after="40"/>
        <w:contextualSpacing/>
        <w:jc w:val="both"/>
        <w:rPr/>
      </w:pPr>
      <w:r>
        <w:rPr/>
        <w:t>Год рождения:</w:t>
      </w:r>
      <w:r>
        <w:rPr>
          <w:b/>
          <w:i/>
        </w:rPr>
        <w:t xml:space="preserve"> 1973</w:t>
      </w:r>
    </w:p>
    <w:p>
      <w:pPr>
        <w:pStyle w:val="Normal"/>
        <w:spacing w:before="20" w:after="40"/>
        <w:contextualSpacing/>
        <w:jc w:val="both"/>
        <w:rPr/>
      </w:pPr>
      <w:r>
        <w:rPr/>
        <w:t>Сведения об уровне образования, квалификации, специальности:</w:t>
      </w:r>
    </w:p>
    <w:p>
      <w:pPr>
        <w:pStyle w:val="Normal"/>
        <w:spacing w:before="20" w:after="40"/>
        <w:contextualSpacing/>
        <w:jc w:val="both"/>
        <w:rPr/>
      </w:pPr>
      <w:r>
        <w:rPr>
          <w:b/>
          <w:i/>
        </w:rPr>
        <w:t>высшее специальное, специалист, инженер</w:t>
      </w:r>
    </w:p>
    <w:p>
      <w:pPr>
        <w:pStyle w:val="Normal"/>
        <w:spacing w:before="20" w:after="40"/>
        <w:contextualSpacing/>
        <w:jc w:val="both"/>
        <w:rPr/>
      </w:pPr>
      <w:r>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pPr>
        <w:pStyle w:val="ThinDelim"/>
        <w:spacing w:before="20" w:after="40"/>
        <w:contextualSpacing/>
        <w:jc w:val="both"/>
        <w:rPr>
          <w:b/>
          <w:bCs/>
        </w:rPr>
      </w:pPr>
      <w:r>
        <w:rPr>
          <w:b/>
          <w:bCs/>
        </w:rPr>
      </w:r>
    </w:p>
    <w:tbl>
      <w:tblPr>
        <w:tblW w:w="9019" w:type="dxa"/>
        <w:jc w:val="left"/>
        <w:tblInd w:w="83" w:type="dxa"/>
        <w:tblLayout w:type="fixed"/>
        <w:tblCellMar>
          <w:top w:w="0" w:type="dxa"/>
          <w:left w:w="72" w:type="dxa"/>
          <w:bottom w:w="0" w:type="dxa"/>
          <w:right w:w="72" w:type="dxa"/>
        </w:tblCellMar>
        <w:tblLook w:noVBand="1" w:val="04a0" w:noHBand="0" w:lastColumn="0" w:firstColumn="1" w:lastRow="0" w:firstRow="1"/>
      </w:tblPr>
      <w:tblGrid>
        <w:gridCol w:w="1590"/>
        <w:gridCol w:w="1260"/>
        <w:gridCol w:w="2666"/>
        <w:gridCol w:w="3502"/>
      </w:tblGrid>
      <w:tr>
        <w:trPr/>
        <w:tc>
          <w:tcPr>
            <w:tcW w:w="2850"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Период</w:t>
            </w:r>
          </w:p>
        </w:tc>
        <w:tc>
          <w:tcPr>
            <w:tcW w:w="266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sz w:val="16"/>
                <w:szCs w:val="16"/>
              </w:rPr>
            </w:pPr>
            <w:r>
              <w:rPr>
                <w:b/>
                <w:bCs/>
                <w:i/>
                <w:iCs/>
                <w:sz w:val="16"/>
                <w:szCs w:val="16"/>
              </w:rPr>
              <w:t>Наименование организации</w:t>
            </w:r>
          </w:p>
        </w:tc>
        <w:tc>
          <w:tcPr>
            <w:tcW w:w="3502"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sz w:val="16"/>
                <w:szCs w:val="16"/>
              </w:rPr>
            </w:pPr>
            <w:r>
              <w:rPr>
                <w:b/>
                <w:bCs/>
                <w:i/>
                <w:iCs/>
                <w:sz w:val="16"/>
                <w:szCs w:val="16"/>
              </w:rPr>
              <w:t>Должность</w:t>
            </w:r>
          </w:p>
        </w:tc>
      </w:tr>
      <w:tr>
        <w:trPr/>
        <w:tc>
          <w:tcPr>
            <w:tcW w:w="159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с</w:t>
            </w:r>
          </w:p>
        </w:tc>
        <w:tc>
          <w:tcPr>
            <w:tcW w:w="126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w:t>
            </w:r>
          </w:p>
        </w:tc>
        <w:tc>
          <w:tcPr>
            <w:tcW w:w="2666"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b/>
                <w:bCs/>
                <w:i/>
                <w:i/>
                <w:iCs/>
                <w:sz w:val="16"/>
                <w:szCs w:val="16"/>
              </w:rPr>
            </w:pPr>
            <w:r>
              <w:rPr>
                <w:b/>
                <w:bCs/>
                <w:i/>
                <w:iCs/>
                <w:sz w:val="16"/>
                <w:szCs w:val="16"/>
              </w:rPr>
            </w:r>
          </w:p>
        </w:tc>
        <w:tc>
          <w:tcPr>
            <w:tcW w:w="3502"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b/>
                <w:bCs/>
                <w:i/>
                <w:i/>
                <w:iCs/>
                <w:sz w:val="16"/>
                <w:szCs w:val="16"/>
              </w:rPr>
            </w:pPr>
            <w:r>
              <w:rPr>
                <w:b/>
                <w:bCs/>
                <w:i/>
                <w:iCs/>
                <w:sz w:val="16"/>
                <w:szCs w:val="16"/>
              </w:rPr>
            </w:r>
          </w:p>
        </w:tc>
      </w:tr>
      <w:tr>
        <w:trPr/>
        <w:tc>
          <w:tcPr>
            <w:tcW w:w="159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03.2015</w:t>
            </w:r>
          </w:p>
        </w:tc>
        <w:tc>
          <w:tcPr>
            <w:tcW w:w="126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 н.в.</w:t>
            </w:r>
          </w:p>
        </w:tc>
        <w:tc>
          <w:tcPr>
            <w:tcW w:w="266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ПАО «Камчатскэнерго»</w:t>
            </w:r>
          </w:p>
        </w:tc>
        <w:tc>
          <w:tcPr>
            <w:tcW w:w="3502"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член Правления</w:t>
            </w:r>
          </w:p>
        </w:tc>
      </w:tr>
      <w:tr>
        <w:trPr/>
        <w:tc>
          <w:tcPr>
            <w:tcW w:w="159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11.2021</w:t>
            </w:r>
          </w:p>
        </w:tc>
        <w:tc>
          <w:tcPr>
            <w:tcW w:w="126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 н.в.</w:t>
            </w:r>
          </w:p>
        </w:tc>
        <w:tc>
          <w:tcPr>
            <w:tcW w:w="266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ПАО «Камчатскэнерго»</w:t>
            </w:r>
          </w:p>
        </w:tc>
        <w:tc>
          <w:tcPr>
            <w:tcW w:w="3502"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Генеральный директор</w:t>
            </w:r>
          </w:p>
        </w:tc>
      </w:tr>
      <w:tr>
        <w:trPr/>
        <w:tc>
          <w:tcPr>
            <w:tcW w:w="159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2022</w:t>
            </w:r>
          </w:p>
        </w:tc>
        <w:tc>
          <w:tcPr>
            <w:tcW w:w="126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 н.в.</w:t>
            </w:r>
          </w:p>
        </w:tc>
        <w:tc>
          <w:tcPr>
            <w:tcW w:w="266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ПАО «Камчатскэнерго»</w:t>
            </w:r>
          </w:p>
        </w:tc>
        <w:tc>
          <w:tcPr>
            <w:tcW w:w="3502"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член Совета директоров</w:t>
            </w:r>
          </w:p>
        </w:tc>
      </w:tr>
      <w:tr>
        <w:trPr/>
        <w:tc>
          <w:tcPr>
            <w:tcW w:w="1590"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05.2025</w:t>
            </w:r>
          </w:p>
        </w:tc>
        <w:tc>
          <w:tcPr>
            <w:tcW w:w="1260"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 н.в.</w:t>
            </w:r>
          </w:p>
        </w:tc>
        <w:tc>
          <w:tcPr>
            <w:tcW w:w="2666"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АО «ЮЭСК»</w:t>
            </w:r>
          </w:p>
        </w:tc>
        <w:tc>
          <w:tcPr>
            <w:tcW w:w="3502"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член Совета директоров</w:t>
            </w:r>
          </w:p>
        </w:tc>
      </w:tr>
    </w:tbl>
    <w:p>
      <w:pPr>
        <w:pStyle w:val="Normal"/>
        <w:jc w:val="both"/>
        <w:rPr/>
      </w:pPr>
      <w:r>
        <w:rPr/>
      </w:r>
    </w:p>
    <w:p>
      <w:pPr>
        <w:pStyle w:val="Normal"/>
        <w:jc w:val="both"/>
        <w:rPr/>
      </w:pPr>
      <w:r>
        <w:rPr/>
        <w:t>Доля участия лица в уставном капитале Эмитента, %:</w:t>
      </w:r>
      <w:r>
        <w:rPr>
          <w:b/>
          <w:i/>
        </w:rPr>
        <w:t xml:space="preserve"> 0.000011</w:t>
      </w:r>
    </w:p>
    <w:p>
      <w:pPr>
        <w:pStyle w:val="Normal"/>
        <w:jc w:val="both"/>
        <w:rPr/>
      </w:pPr>
      <w:r>
        <w:rPr/>
        <w:t xml:space="preserve">Доля принадлежащих лицу обыкновенных акций Эмитента, %: </w:t>
      </w:r>
      <w:r>
        <w:rPr>
          <w:b/>
          <w:i/>
        </w:rPr>
        <w:t xml:space="preserve">не имеет. </w:t>
      </w:r>
    </w:p>
    <w:p>
      <w:pPr>
        <w:pStyle w:val="Normal"/>
        <w:jc w:val="both"/>
        <w:rPr/>
      </w:pPr>
      <w:r>
        <w:rPr/>
        <w:t xml:space="preserve">Количество акций Эмитента каждой категории (типа), которые могут быть приобретены лицом в результате конвертации принадлежащих ему ценных бумаг, конвертируемых в акции: </w:t>
      </w:r>
      <w:r>
        <w:rPr>
          <w:b/>
          <w:i/>
        </w:rPr>
        <w:t xml:space="preserve">ценные бумаги, конвертируемые в акции, отсутствуют. </w:t>
      </w:r>
    </w:p>
    <w:p>
      <w:pPr>
        <w:pStyle w:val="Normal"/>
        <w:jc w:val="both"/>
        <w:rPr/>
      </w:pPr>
      <w:r>
        <w:rPr/>
        <w:t xml:space="preserve">Доля участия лица в уставном капитале подконтрольных Эмитенту организаций, имеющих для него существенное значение: </w:t>
      </w:r>
      <w:r>
        <w:rPr>
          <w:b/>
          <w:i/>
        </w:rPr>
        <w:t xml:space="preserve">не имеет. </w:t>
      </w:r>
    </w:p>
    <w:p>
      <w:pPr>
        <w:pStyle w:val="Normal"/>
        <w:jc w:val="both"/>
        <w:rPr/>
      </w:pPr>
      <w:r>
        <w:rPr/>
        <w:t xml:space="preserve">Доля принадлежащих лицу обыкновенных акций подконтрольных Эмитенту акционерных обществ, имеющих для Эмитента существенное значение: </w:t>
      </w:r>
      <w:r>
        <w:rPr>
          <w:b/>
          <w:i/>
        </w:rPr>
        <w:t xml:space="preserve">не имеет. </w:t>
      </w:r>
    </w:p>
    <w:p>
      <w:pPr>
        <w:pStyle w:val="Normal"/>
        <w:jc w:val="both"/>
        <w:rPr/>
      </w:pPr>
      <w:r>
        <w:rPr/>
        <w:t xml:space="preserve">Количество акций каждой категории (типа), подконтрольных Эмитенту акционерных обществ, имеющих для Эмитента существенное значение, которые могут быть приобретены лицом в результате конвертации принадлежащих ему ценных бумаг, конвертируемых в акции: </w:t>
      </w:r>
      <w:r>
        <w:rPr>
          <w:b/>
          <w:i/>
        </w:rPr>
        <w:t xml:space="preserve">не имеет. </w:t>
      </w:r>
    </w:p>
    <w:p>
      <w:pPr>
        <w:pStyle w:val="Style14"/>
        <w:spacing w:lineRule="auto" w:line="240" w:before="165" w:after="0"/>
        <w:jc w:val="both"/>
        <w:rPr/>
      </w:pPr>
      <w:r>
        <w:rPr/>
        <w:t xml:space="preserve">Сведения о совершении лицом в отчетном периоде сделки по приобретению или отчуждению акций (долей) эмитента с указанием по каждой сделке даты ее совершения, содержания сделки, категорий (типов) и количества акций (долей), являвшихся предметом сделки: </w:t>
      </w:r>
      <w:r>
        <w:rPr>
          <w:b/>
          <w:bCs/>
          <w:i/>
        </w:rPr>
        <w:t>в отчетном периоде сделки с акциями эмитента не совершались</w:t>
      </w:r>
      <w:r>
        <w:rPr>
          <w:b/>
          <w:bCs/>
        </w:rPr>
        <w:t>.</w:t>
      </w:r>
    </w:p>
    <w:p>
      <w:pPr>
        <w:pStyle w:val="Normal"/>
        <w:jc w:val="both"/>
        <w:rPr/>
      </w:pPr>
      <w:r>
        <w:rPr/>
        <w:t xml:space="preserve">Сведения о характере родственных связей (супруги, родители, дети, усыновители, усыновленные, родные братья и сестры, дедушки, бабушки, внуки) между лицом и членами совета директоров (наблюдательного совета), членами коллегиального исполнительного органа, лицом, занимающим должность (осуществляющим функции) единоличного исполнительного органа Эмитента: </w:t>
      </w:r>
      <w:r>
        <w:rPr>
          <w:b/>
          <w:i/>
        </w:rPr>
        <w:t xml:space="preserve">указанных родственных связей нет. </w:t>
      </w:r>
    </w:p>
    <w:p>
      <w:pPr>
        <w:pStyle w:val="Normal"/>
        <w:jc w:val="both"/>
        <w:rPr/>
      </w:pPr>
      <w:r>
        <w:rPr/>
        <w:t xml:space="preserve">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уголовной ответственности (о наличии судимости) за преступления в сфере экономики и (или) за преступления против государственной власти: </w:t>
      </w:r>
      <w:r>
        <w:rPr>
          <w:b/>
          <w:i/>
        </w:rPr>
        <w:t xml:space="preserve">лицо к указанным видам ответственности не привлекалось. </w:t>
      </w:r>
    </w:p>
    <w:p>
      <w:pPr>
        <w:pStyle w:val="Normal"/>
        <w:jc w:val="both"/>
        <w:rPr/>
      </w:pPr>
      <w:r>
        <w:rPr/>
        <w:t xml:space="preserve">Сведения о занятии лицом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статьей 27 Федерального закона «О несостоятельности (банкротстве)»: </w:t>
      </w:r>
      <w:r>
        <w:rPr>
          <w:b/>
          <w:i/>
        </w:rPr>
        <w:t xml:space="preserve">лицо указанных должностей не занимало. </w:t>
      </w:r>
    </w:p>
    <w:p>
      <w:pPr>
        <w:pStyle w:val="Normal"/>
        <w:jc w:val="both"/>
        <w:rPr/>
      </w:pPr>
      <w:r>
        <w:rPr/>
        <w:t>Сведения об участии в работе комитетов совета директоров (наблюдательного совета)</w:t>
      </w:r>
      <w:r>
        <w:rPr>
          <w:b/>
          <w:bCs/>
        </w:rPr>
        <w:t xml:space="preserve">: </w:t>
      </w:r>
      <w:r>
        <w:rPr>
          <w:b/>
          <w:bCs/>
          <w:i/>
        </w:rPr>
        <w:t>член совета директоров не участвует в работе комитетов совета директоров</w:t>
      </w:r>
      <w:r>
        <w:rPr>
          <w:b/>
          <w:bCs/>
        </w:rPr>
        <w:t>.</w:t>
      </w:r>
    </w:p>
    <w:p>
      <w:pPr>
        <w:pStyle w:val="Style14"/>
        <w:tabs>
          <w:tab w:val="clear" w:pos="720"/>
          <w:tab w:val="left" w:pos="0" w:leader="none"/>
        </w:tabs>
        <w:spacing w:lineRule="auto" w:line="240" w:before="165" w:after="0"/>
        <w:jc w:val="both"/>
        <w:rPr/>
      </w:pPr>
      <w:r>
        <w:rPr>
          <w:i/>
        </w:rPr>
        <w:t xml:space="preserve">Сведения о членах совета директоров, которых эмитент считает независимыми с учетом положений Кодекса корпоративного управления: </w:t>
      </w:r>
      <w:r>
        <w:rPr>
          <w:b/>
          <w:bCs/>
          <w:i/>
        </w:rPr>
        <w:t>не является независимым членом совета директоров.</w:t>
      </w:r>
    </w:p>
    <w:p>
      <w:pPr>
        <w:pStyle w:val="Normal"/>
        <w:spacing w:before="20" w:after="40"/>
        <w:contextualSpacing/>
        <w:jc w:val="both"/>
        <w:rPr/>
      </w:pPr>
      <w:r>
        <w:rPr/>
      </w:r>
    </w:p>
    <w:p>
      <w:pPr>
        <w:pStyle w:val="Normal"/>
        <w:spacing w:before="20" w:after="40"/>
        <w:contextualSpacing/>
        <w:jc w:val="both"/>
        <w:rPr/>
      </w:pPr>
      <w:r>
        <w:rPr/>
      </w:r>
    </w:p>
    <w:p>
      <w:pPr>
        <w:pStyle w:val="Normal"/>
        <w:spacing w:before="20" w:after="40"/>
        <w:contextualSpacing/>
        <w:jc w:val="both"/>
        <w:rPr/>
      </w:pPr>
      <w:r>
        <w:rPr/>
        <w:t>Фамилия, имя, отчество (последнее при наличии):</w:t>
      </w:r>
      <w:r>
        <w:rPr>
          <w:b/>
          <w:i/>
        </w:rPr>
        <w:t xml:space="preserve"> Шабаль Наталья Владимировна</w:t>
      </w:r>
    </w:p>
    <w:p>
      <w:pPr>
        <w:pStyle w:val="Normal"/>
        <w:spacing w:before="20" w:after="40"/>
        <w:contextualSpacing/>
        <w:jc w:val="both"/>
        <w:rPr/>
      </w:pPr>
      <w:r>
        <w:rPr/>
        <w:t>Год рождения:</w:t>
      </w:r>
      <w:r>
        <w:rPr>
          <w:b/>
          <w:i/>
        </w:rPr>
        <w:t xml:space="preserve"> 1969</w:t>
      </w:r>
    </w:p>
    <w:p>
      <w:pPr>
        <w:pStyle w:val="Normal"/>
        <w:spacing w:before="20" w:after="40"/>
        <w:contextualSpacing/>
        <w:jc w:val="both"/>
        <w:rPr/>
      </w:pPr>
      <w:r>
        <w:rPr/>
        <w:t xml:space="preserve">Сведения об уровне образования, квалификации, специальности: </w:t>
      </w:r>
    </w:p>
    <w:p>
      <w:pPr>
        <w:pStyle w:val="Normal"/>
        <w:spacing w:before="20" w:after="40"/>
        <w:contextualSpacing/>
        <w:jc w:val="both"/>
        <w:rPr/>
      </w:pPr>
      <w:r>
        <w:rPr>
          <w:b/>
          <w:i/>
        </w:rPr>
        <w:t>высшее профессиональное, специалист, «финансы и кредит».</w:t>
      </w:r>
    </w:p>
    <w:p>
      <w:pPr>
        <w:pStyle w:val="Normal"/>
        <w:spacing w:before="20" w:after="40"/>
        <w:contextualSpacing/>
        <w:jc w:val="both"/>
        <w:rPr/>
      </w:pPr>
      <w:r>
        <w:rPr/>
      </w:r>
    </w:p>
    <w:p>
      <w:pPr>
        <w:pStyle w:val="Normal"/>
        <w:spacing w:before="20" w:after="40"/>
        <w:contextualSpacing/>
        <w:jc w:val="both"/>
        <w:rPr/>
      </w:pPr>
      <w:r>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pPr>
        <w:pStyle w:val="ThinDelim"/>
        <w:spacing w:before="20" w:after="40"/>
        <w:contextualSpacing/>
        <w:jc w:val="both"/>
        <w:rPr>
          <w:b/>
          <w:bCs/>
          <w:shd w:fill="FFFF00" w:val="clear"/>
        </w:rPr>
      </w:pPr>
      <w:r>
        <w:rPr>
          <w:b/>
          <w:bCs/>
          <w:shd w:fill="FFFF00" w:val="clear"/>
        </w:rPr>
      </w:r>
    </w:p>
    <w:tbl>
      <w:tblPr>
        <w:tblW w:w="9090" w:type="dxa"/>
        <w:jc w:val="left"/>
        <w:tblInd w:w="120" w:type="dxa"/>
        <w:tblLayout w:type="fixed"/>
        <w:tblCellMar>
          <w:top w:w="0" w:type="dxa"/>
          <w:left w:w="72" w:type="dxa"/>
          <w:bottom w:w="0" w:type="dxa"/>
          <w:right w:w="72" w:type="dxa"/>
        </w:tblCellMar>
        <w:tblLook w:noVBand="1" w:val="04a0" w:noHBand="0" w:lastColumn="0" w:firstColumn="1" w:lastRow="0" w:firstRow="1"/>
      </w:tblPr>
      <w:tblGrid>
        <w:gridCol w:w="1308"/>
        <w:gridCol w:w="1139"/>
        <w:gridCol w:w="3016"/>
        <w:gridCol w:w="3626"/>
      </w:tblGrid>
      <w:tr>
        <w:trPr/>
        <w:tc>
          <w:tcPr>
            <w:tcW w:w="2447"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Период</w:t>
            </w:r>
          </w:p>
        </w:tc>
        <w:tc>
          <w:tcPr>
            <w:tcW w:w="301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Наименование организации</w:t>
            </w:r>
          </w:p>
        </w:tc>
        <w:tc>
          <w:tcPr>
            <w:tcW w:w="362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pPr>
            <w:r>
              <w:rPr>
                <w:b/>
                <w:bCs/>
                <w:i/>
                <w:iCs/>
                <w:sz w:val="16"/>
                <w:szCs w:val="16"/>
              </w:rPr>
              <w:t>Должность</w:t>
            </w:r>
          </w:p>
        </w:tc>
      </w:tr>
      <w:tr>
        <w:trPr/>
        <w:tc>
          <w:tcPr>
            <w:tcW w:w="1308"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с</w:t>
            </w:r>
          </w:p>
        </w:tc>
        <w:tc>
          <w:tcPr>
            <w:tcW w:w="113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по</w:t>
            </w:r>
          </w:p>
        </w:tc>
        <w:tc>
          <w:tcPr>
            <w:tcW w:w="3016"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r>
          </w:p>
        </w:tc>
        <w:tc>
          <w:tcPr>
            <w:tcW w:w="3626"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b/>
                <w:bCs/>
                <w:i/>
                <w:i/>
                <w:iCs/>
              </w:rPr>
            </w:pPr>
            <w:r>
              <w:rPr>
                <w:b/>
                <w:bCs/>
                <w:i/>
                <w:iCs/>
              </w:rPr>
            </w:r>
          </w:p>
        </w:tc>
      </w:tr>
      <w:tr>
        <w:trPr/>
        <w:tc>
          <w:tcPr>
            <w:tcW w:w="1308"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2017</w:t>
            </w:r>
          </w:p>
        </w:tc>
        <w:tc>
          <w:tcPr>
            <w:tcW w:w="1139"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2024</w:t>
            </w:r>
          </w:p>
        </w:tc>
        <w:tc>
          <w:tcPr>
            <w:tcW w:w="3016"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ПАО «РусГидро»</w:t>
            </w:r>
          </w:p>
        </w:tc>
        <w:tc>
          <w:tcPr>
            <w:tcW w:w="3626"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Начальник Управления ценообразования и тарифов Департамента тарифного регулирования и экономического анализа.</w:t>
            </w:r>
          </w:p>
        </w:tc>
      </w:tr>
      <w:tr>
        <w:trPr/>
        <w:tc>
          <w:tcPr>
            <w:tcW w:w="1308"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2024</w:t>
            </w:r>
          </w:p>
        </w:tc>
        <w:tc>
          <w:tcPr>
            <w:tcW w:w="113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по н.в.</w:t>
            </w:r>
          </w:p>
        </w:tc>
        <w:tc>
          <w:tcPr>
            <w:tcW w:w="301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ПАО «РусГидро»</w:t>
            </w:r>
          </w:p>
        </w:tc>
        <w:tc>
          <w:tcPr>
            <w:tcW w:w="362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Заместитель директора Департамента тарифного регулирования и экономического анализа.</w:t>
            </w:r>
          </w:p>
        </w:tc>
      </w:tr>
      <w:tr>
        <w:trPr/>
        <w:tc>
          <w:tcPr>
            <w:tcW w:w="1308"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06.2025</w:t>
            </w:r>
          </w:p>
        </w:tc>
        <w:tc>
          <w:tcPr>
            <w:tcW w:w="1139"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по н.в.</w:t>
            </w:r>
          </w:p>
        </w:tc>
        <w:tc>
          <w:tcPr>
            <w:tcW w:w="3016"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highlight w:val="none"/>
                <w:shd w:fill="auto" w:val="clear"/>
              </w:rPr>
            </w:pPr>
            <w:r>
              <w:rPr>
                <w:rFonts w:eastAsia="0" w:cs="0"/>
                <w:b/>
                <w:bCs/>
                <w:i/>
                <w:iCs/>
                <w:color w:val="000000"/>
                <w:kern w:val="0"/>
                <w:sz w:val="16"/>
                <w:szCs w:val="16"/>
                <w:shd w:fill="auto" w:val="clear"/>
                <w:lang w:val="ru-RU" w:eastAsia="zh-CN" w:bidi="hi-IN"/>
              </w:rPr>
              <w:t>ПАО «Передвижная энергетика»</w:t>
            </w:r>
          </w:p>
        </w:tc>
        <w:tc>
          <w:tcPr>
            <w:tcW w:w="3626"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Председатель Совета директоров</w:t>
            </w:r>
          </w:p>
        </w:tc>
      </w:tr>
      <w:tr>
        <w:trPr/>
        <w:tc>
          <w:tcPr>
            <w:tcW w:w="1308"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06.2025</w:t>
            </w:r>
          </w:p>
        </w:tc>
        <w:tc>
          <w:tcPr>
            <w:tcW w:w="1139"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по н.в.</w:t>
            </w:r>
          </w:p>
        </w:tc>
        <w:tc>
          <w:tcPr>
            <w:tcW w:w="3016"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highlight w:val="none"/>
                <w:shd w:fill="auto" w:val="clear"/>
              </w:rPr>
            </w:pPr>
            <w:r>
              <w:rPr>
                <w:rFonts w:eastAsia="0" w:cs="0"/>
                <w:b/>
                <w:bCs/>
                <w:i/>
                <w:iCs/>
                <w:color w:val="000000"/>
                <w:kern w:val="0"/>
                <w:sz w:val="16"/>
                <w:szCs w:val="16"/>
                <w:shd w:fill="auto" w:val="clear"/>
                <w:lang w:val="ru-RU" w:eastAsia="zh-CN" w:bidi="hi-IN"/>
              </w:rPr>
              <w:t>АО «ДВЭУК-Генерация Сети»</w:t>
            </w:r>
          </w:p>
        </w:tc>
        <w:tc>
          <w:tcPr>
            <w:tcW w:w="3626"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Председатель Совета директоров</w:t>
            </w:r>
          </w:p>
        </w:tc>
      </w:tr>
      <w:tr>
        <w:trPr/>
        <w:tc>
          <w:tcPr>
            <w:tcW w:w="1308"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06.2025</w:t>
            </w:r>
          </w:p>
        </w:tc>
        <w:tc>
          <w:tcPr>
            <w:tcW w:w="1139"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по н.в.</w:t>
            </w:r>
          </w:p>
        </w:tc>
        <w:tc>
          <w:tcPr>
            <w:tcW w:w="3016"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highlight w:val="none"/>
                <w:shd w:fill="auto" w:val="clear"/>
              </w:rPr>
            </w:pPr>
            <w:r>
              <w:rPr>
                <w:rFonts w:eastAsia="0" w:cs="0"/>
                <w:b/>
                <w:bCs/>
                <w:i/>
                <w:iCs/>
                <w:color w:val="000000"/>
                <w:kern w:val="0"/>
                <w:sz w:val="16"/>
                <w:szCs w:val="16"/>
                <w:shd w:fill="auto" w:val="clear"/>
                <w:lang w:val="ru-RU" w:eastAsia="zh-CN" w:bidi="hi-IN"/>
              </w:rPr>
              <w:t>ООО «ДГК-НТС»</w:t>
            </w:r>
          </w:p>
        </w:tc>
        <w:tc>
          <w:tcPr>
            <w:tcW w:w="3626"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Председатель Совета директоров</w:t>
            </w:r>
          </w:p>
        </w:tc>
      </w:tr>
      <w:tr>
        <w:trPr/>
        <w:tc>
          <w:tcPr>
            <w:tcW w:w="1308"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06.2025</w:t>
            </w:r>
          </w:p>
        </w:tc>
        <w:tc>
          <w:tcPr>
            <w:tcW w:w="1139"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по н.в.</w:t>
            </w:r>
          </w:p>
        </w:tc>
        <w:tc>
          <w:tcPr>
            <w:tcW w:w="3016"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highlight w:val="none"/>
                <w:shd w:fill="auto" w:val="clear"/>
              </w:rPr>
            </w:pPr>
            <w:r>
              <w:rPr>
                <w:rFonts w:eastAsia="0" w:cs="0"/>
                <w:b/>
                <w:bCs/>
                <w:i/>
                <w:iCs/>
                <w:color w:val="000000"/>
                <w:kern w:val="0"/>
                <w:sz w:val="16"/>
                <w:szCs w:val="16"/>
                <w:shd w:fill="auto" w:val="clear"/>
                <w:lang w:val="ru-RU" w:eastAsia="zh-CN" w:bidi="hi-IN"/>
              </w:rPr>
              <w:t>ПАО «Камчатскэнерго»</w:t>
            </w:r>
          </w:p>
        </w:tc>
        <w:tc>
          <w:tcPr>
            <w:tcW w:w="3626"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член Совета директоров</w:t>
            </w:r>
          </w:p>
        </w:tc>
      </w:tr>
    </w:tbl>
    <w:p>
      <w:pPr>
        <w:pStyle w:val="Normal"/>
        <w:jc w:val="both"/>
        <w:rPr>
          <w:shd w:fill="FFFF00" w:val="clear"/>
        </w:rPr>
      </w:pPr>
      <w:r>
        <w:rPr>
          <w:shd w:fill="FFFF00" w:val="clear"/>
        </w:rPr>
      </w:r>
    </w:p>
    <w:p>
      <w:pPr>
        <w:pStyle w:val="Normal"/>
        <w:jc w:val="both"/>
        <w:rPr/>
      </w:pPr>
      <w:r>
        <w:rPr/>
        <w:t xml:space="preserve">Доля участия лица в уставном капитале Эмитента, %: </w:t>
      </w:r>
      <w:r>
        <w:rPr>
          <w:b/>
          <w:i/>
        </w:rPr>
        <w:t xml:space="preserve">не имеет. </w:t>
      </w:r>
    </w:p>
    <w:p>
      <w:pPr>
        <w:pStyle w:val="Normal"/>
        <w:jc w:val="both"/>
        <w:rPr/>
      </w:pPr>
      <w:r>
        <w:rPr/>
        <w:t xml:space="preserve">Доля принадлежащих лицу обыкновенных акций Эмитента, %: </w:t>
      </w:r>
      <w:r>
        <w:rPr>
          <w:b/>
          <w:i/>
        </w:rPr>
        <w:t xml:space="preserve">не имеет. </w:t>
      </w:r>
    </w:p>
    <w:p>
      <w:pPr>
        <w:pStyle w:val="Normal"/>
        <w:jc w:val="both"/>
        <w:rPr/>
      </w:pPr>
      <w:r>
        <w:rPr/>
        <w:t xml:space="preserve">Количество акций Эмитента каждой категории (типа), которые могут быть приобретены лицом в результате конвертации принадлежащих ему ценных бумаг, конвертируемых в акции: </w:t>
      </w:r>
      <w:r>
        <w:rPr>
          <w:b/>
          <w:i/>
        </w:rPr>
        <w:t xml:space="preserve">ценные бумаги, конвертируемые в акции, отсутствуют. </w:t>
      </w:r>
    </w:p>
    <w:p>
      <w:pPr>
        <w:pStyle w:val="Normal"/>
        <w:jc w:val="both"/>
        <w:rPr/>
      </w:pPr>
      <w:r>
        <w:rPr/>
        <w:t xml:space="preserve">Доля участия лица в уставном капитале подконтрольных Эмитенту организаций, имеющих для него существенное значение: </w:t>
      </w:r>
      <w:r>
        <w:rPr>
          <w:b/>
          <w:i/>
        </w:rPr>
        <w:t xml:space="preserve">не имеет. </w:t>
      </w:r>
    </w:p>
    <w:p>
      <w:pPr>
        <w:pStyle w:val="Normal"/>
        <w:jc w:val="both"/>
        <w:rPr/>
      </w:pPr>
      <w:r>
        <w:rPr/>
        <w:t xml:space="preserve">Доля принадлежащих лицу обыкновенных акций подконтрольных Эмитенту акционерных обществ, имеющих для Эмитента существенное значение: </w:t>
      </w:r>
      <w:r>
        <w:rPr>
          <w:b/>
          <w:i/>
        </w:rPr>
        <w:t xml:space="preserve">не имеет. </w:t>
      </w:r>
    </w:p>
    <w:p>
      <w:pPr>
        <w:pStyle w:val="Normal"/>
        <w:jc w:val="both"/>
        <w:rPr/>
      </w:pPr>
      <w:r>
        <w:rPr/>
        <w:t xml:space="preserve">Количество акций каждой категории (типа), подконтрольных Эмитенту акционерных обществ, имеющих для Эмитента существенное значение, которые могут быть приобретены лицом в результате конвертации принадлежащих ему ценных бумаг, конвертируемых в акции: </w:t>
      </w:r>
      <w:r>
        <w:rPr>
          <w:b/>
          <w:i/>
        </w:rPr>
        <w:t xml:space="preserve">не имеет. </w:t>
      </w:r>
    </w:p>
    <w:p>
      <w:pPr>
        <w:pStyle w:val="Style14"/>
        <w:spacing w:lineRule="auto" w:line="240" w:before="165" w:after="0"/>
        <w:jc w:val="both"/>
        <w:rPr/>
      </w:pPr>
      <w:r>
        <w:rPr/>
        <w:t xml:space="preserve">Сведения о совершении лицом в отчетном периоде сделки по приобретению или отчуждению акций (долей) эмитента с указанием по каждой сделке даты ее совершения, содержания сделки, категорий (типов) и количества акций (долей), являвшихся предметом сделки: </w:t>
      </w:r>
      <w:r>
        <w:rPr>
          <w:b/>
          <w:bCs/>
          <w:i/>
        </w:rPr>
        <w:t>в отчетном периоде сделки с акциями эмитента не совершались</w:t>
      </w:r>
      <w:r>
        <w:rPr>
          <w:b/>
          <w:bCs/>
        </w:rPr>
        <w:t>.</w:t>
      </w:r>
    </w:p>
    <w:p>
      <w:pPr>
        <w:pStyle w:val="Normal"/>
        <w:jc w:val="both"/>
        <w:rPr/>
      </w:pPr>
      <w:r>
        <w:rPr/>
        <w:t xml:space="preserve">Сведения о характере родственных связей (супруги, родители, дети, усыновители, усыновленные, родные братья и сестры, дедушки, бабушки, внуки) между лицом и членами совета директоров (наблюдательного совета), членами коллегиального исполнительного органа, лицом, занимающим должность (осуществляющим функции) единоличного исполнительного органа Эмитента: </w:t>
      </w:r>
      <w:r>
        <w:rPr>
          <w:b/>
          <w:i/>
        </w:rPr>
        <w:t xml:space="preserve">указанных родственных связей нет. </w:t>
      </w:r>
    </w:p>
    <w:p>
      <w:pPr>
        <w:pStyle w:val="Normal"/>
        <w:jc w:val="both"/>
        <w:rPr/>
      </w:pPr>
      <w:r>
        <w:rPr/>
        <w:t xml:space="preserve">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уголовной ответственности (о наличии судимости) за преступления в сфере экономики и (или) за преступления против государственной власти: </w:t>
      </w:r>
      <w:r>
        <w:rPr>
          <w:b/>
          <w:i/>
        </w:rPr>
        <w:t xml:space="preserve">лицо к указанным видам ответственности не привлекалось. </w:t>
      </w:r>
    </w:p>
    <w:p>
      <w:pPr>
        <w:pStyle w:val="Normal"/>
        <w:jc w:val="both"/>
        <w:rPr/>
      </w:pPr>
      <w:r>
        <w:rPr/>
        <w:t>Сведения о занятии лицом должностей в органах управления коммерческих организаций в период, когда в отношении указанных организаций было возбуждено дело о банкротств</w:t>
      </w:r>
      <w:r>
        <w:rPr>
          <w:shd w:fill="auto" w:val="clear"/>
        </w:rPr>
        <w:t xml:space="preserve">е и (или) введена одна из процедур банкротства, предусмотренных статьей 27 Федерального закона «О несостоятельности (банкротстве)»: </w:t>
      </w:r>
      <w:r>
        <w:rPr>
          <w:b/>
          <w:i/>
          <w:shd w:fill="auto" w:val="clear"/>
        </w:rPr>
        <w:t xml:space="preserve">лицо указанных должностей не занимало. </w:t>
      </w:r>
    </w:p>
    <w:p>
      <w:pPr>
        <w:pStyle w:val="Normal"/>
        <w:jc w:val="both"/>
        <w:rPr>
          <w:highlight w:val="none"/>
          <w:shd w:fill="auto" w:val="clear"/>
        </w:rPr>
      </w:pPr>
      <w:r>
        <w:rPr>
          <w:spacing w:val="-4"/>
          <w:shd w:fill="auto" w:val="clear"/>
        </w:rPr>
        <w:t>Свед</w:t>
      </w:r>
      <w:r>
        <w:rPr>
          <w:i/>
          <w:iCs/>
          <w:spacing w:val="-4"/>
          <w:shd w:fill="auto" w:val="clear"/>
        </w:rPr>
        <w:t>ения об участии в работе комитетов совета директоров (наблюдательного совета)</w:t>
      </w:r>
      <w:r>
        <w:rPr>
          <w:b/>
          <w:bCs/>
          <w:i/>
          <w:iCs/>
          <w:spacing w:val="-4"/>
          <w:shd w:fill="auto" w:val="clear"/>
        </w:rPr>
        <w:t xml:space="preserve">: член Совета директоров участвует в работе Комитета по аудиту при Совете директоров ПАО «Камчатскэнерго».  </w:t>
      </w:r>
    </w:p>
    <w:p>
      <w:pPr>
        <w:pStyle w:val="Style14"/>
        <w:tabs>
          <w:tab w:val="clear" w:pos="720"/>
          <w:tab w:val="left" w:pos="0" w:leader="none"/>
        </w:tabs>
        <w:spacing w:lineRule="auto" w:line="240" w:before="165" w:after="0"/>
        <w:jc w:val="both"/>
        <w:rPr/>
      </w:pPr>
      <w:r>
        <w:rPr>
          <w:bCs/>
          <w:i/>
          <w:iCs/>
          <w:spacing w:val="-4"/>
        </w:rPr>
        <w:t xml:space="preserve">Сведения о членах совета директоров, которых эмитент считает независимыми с учетом положений Кодекса корпоративного управления: </w:t>
      </w:r>
      <w:r>
        <w:rPr>
          <w:b/>
          <w:bCs/>
          <w:i/>
          <w:iCs/>
          <w:spacing w:val="-4"/>
        </w:rPr>
        <w:t>не является независимым членом совета директоров.</w:t>
      </w:r>
    </w:p>
    <w:p>
      <w:pPr>
        <w:pStyle w:val="Normal"/>
        <w:spacing w:before="20" w:after="40"/>
        <w:contextualSpacing/>
        <w:jc w:val="both"/>
        <w:rPr/>
      </w:pPr>
      <w:r>
        <w:rPr/>
      </w:r>
    </w:p>
    <w:p>
      <w:pPr>
        <w:pStyle w:val="Normal"/>
        <w:spacing w:before="20" w:after="40"/>
        <w:contextualSpacing/>
        <w:jc w:val="both"/>
        <w:rPr/>
      </w:pPr>
      <w:r>
        <w:rPr/>
      </w:r>
    </w:p>
    <w:p>
      <w:pPr>
        <w:pStyle w:val="Normal"/>
        <w:spacing w:before="20" w:after="40"/>
        <w:contextualSpacing/>
        <w:jc w:val="both"/>
        <w:rPr/>
      </w:pPr>
      <w:r>
        <w:rPr/>
        <w:t>Фамилия, имя, отчество (последнее при наличии):</w:t>
      </w:r>
      <w:r>
        <w:rPr>
          <w:b/>
          <w:i/>
        </w:rPr>
        <w:t xml:space="preserve"> Исаков Александр Юрьевич</w:t>
      </w:r>
    </w:p>
    <w:p>
      <w:pPr>
        <w:pStyle w:val="Normal"/>
        <w:spacing w:before="20" w:after="40"/>
        <w:contextualSpacing/>
        <w:jc w:val="both"/>
        <w:rPr/>
      </w:pPr>
      <w:r>
        <w:rPr/>
        <w:t>Год рождения:</w:t>
      </w:r>
      <w:r>
        <w:rPr>
          <w:b/>
          <w:i/>
        </w:rPr>
        <w:t xml:space="preserve"> 1980</w:t>
      </w:r>
    </w:p>
    <w:p>
      <w:pPr>
        <w:pStyle w:val="Normal"/>
        <w:spacing w:before="20" w:after="40"/>
        <w:contextualSpacing/>
        <w:jc w:val="both"/>
        <w:rPr/>
      </w:pPr>
      <w:r>
        <w:rPr/>
        <w:t xml:space="preserve">Сведения об уровне образования, квалификации, специальности: </w:t>
      </w:r>
    </w:p>
    <w:p>
      <w:pPr>
        <w:pStyle w:val="Normal"/>
        <w:spacing w:before="20" w:after="40"/>
        <w:contextualSpacing/>
        <w:jc w:val="both"/>
        <w:rPr/>
      </w:pPr>
      <w:r>
        <w:rPr>
          <w:b/>
          <w:i/>
        </w:rPr>
        <w:t>высшее профессиональное, специалист, юриспруденция</w:t>
      </w:r>
    </w:p>
    <w:p>
      <w:pPr>
        <w:pStyle w:val="Normal"/>
        <w:spacing w:before="20" w:after="40"/>
        <w:contextualSpacing/>
        <w:jc w:val="both"/>
        <w:rPr/>
      </w:pPr>
      <w:r>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pPr>
        <w:pStyle w:val="ThinDelim"/>
        <w:spacing w:before="20" w:after="40"/>
        <w:contextualSpacing/>
        <w:jc w:val="both"/>
        <w:rPr>
          <w:b/>
          <w:bCs/>
        </w:rPr>
      </w:pPr>
      <w:r>
        <w:rPr>
          <w:b/>
          <w:bCs/>
        </w:rPr>
      </w:r>
    </w:p>
    <w:tbl>
      <w:tblPr>
        <w:tblW w:w="9133" w:type="dxa"/>
        <w:jc w:val="left"/>
        <w:tblInd w:w="90" w:type="dxa"/>
        <w:tblLayout w:type="fixed"/>
        <w:tblCellMar>
          <w:top w:w="0" w:type="dxa"/>
          <w:left w:w="72" w:type="dxa"/>
          <w:bottom w:w="0" w:type="dxa"/>
          <w:right w:w="72" w:type="dxa"/>
        </w:tblCellMar>
        <w:tblLook w:noVBand="1" w:val="04a0" w:noHBand="0" w:lastColumn="0" w:firstColumn="1" w:lastRow="0" w:firstRow="1"/>
      </w:tblPr>
      <w:tblGrid>
        <w:gridCol w:w="1379"/>
        <w:gridCol w:w="1243"/>
        <w:gridCol w:w="2718"/>
        <w:gridCol w:w="3792"/>
      </w:tblGrid>
      <w:tr>
        <w:trPr/>
        <w:tc>
          <w:tcPr>
            <w:tcW w:w="2622"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Период</w:t>
            </w:r>
          </w:p>
        </w:tc>
        <w:tc>
          <w:tcPr>
            <w:tcW w:w="271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sz w:val="16"/>
                <w:szCs w:val="16"/>
              </w:rPr>
            </w:pPr>
            <w:r>
              <w:rPr>
                <w:b/>
                <w:bCs/>
                <w:i/>
                <w:iCs/>
                <w:sz w:val="16"/>
                <w:szCs w:val="16"/>
              </w:rPr>
              <w:t>Наименование организации</w:t>
            </w:r>
          </w:p>
        </w:tc>
        <w:tc>
          <w:tcPr>
            <w:tcW w:w="3792"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sz w:val="16"/>
                <w:szCs w:val="16"/>
              </w:rPr>
            </w:pPr>
            <w:r>
              <w:rPr>
                <w:b/>
                <w:bCs/>
                <w:i/>
                <w:iCs/>
                <w:sz w:val="16"/>
                <w:szCs w:val="16"/>
              </w:rPr>
              <w:t>Должность</w:t>
            </w:r>
          </w:p>
        </w:tc>
      </w:tr>
      <w:tr>
        <w:trPr/>
        <w:tc>
          <w:tcPr>
            <w:tcW w:w="137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с</w:t>
            </w:r>
          </w:p>
        </w:tc>
        <w:tc>
          <w:tcPr>
            <w:tcW w:w="1243"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w:t>
            </w:r>
          </w:p>
        </w:tc>
        <w:tc>
          <w:tcPr>
            <w:tcW w:w="2718"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b/>
                <w:bCs/>
                <w:i/>
                <w:i/>
                <w:iCs/>
                <w:sz w:val="16"/>
                <w:szCs w:val="16"/>
              </w:rPr>
            </w:pPr>
            <w:r>
              <w:rPr>
                <w:b/>
                <w:bCs/>
                <w:i/>
                <w:iCs/>
                <w:sz w:val="16"/>
                <w:szCs w:val="16"/>
              </w:rPr>
            </w:r>
          </w:p>
        </w:tc>
        <w:tc>
          <w:tcPr>
            <w:tcW w:w="3792"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b/>
                <w:bCs/>
                <w:i/>
                <w:i/>
                <w:iCs/>
                <w:sz w:val="16"/>
                <w:szCs w:val="16"/>
              </w:rPr>
            </w:pPr>
            <w:r>
              <w:rPr>
                <w:b/>
                <w:bCs/>
                <w:i/>
                <w:iCs/>
                <w:sz w:val="16"/>
                <w:szCs w:val="16"/>
              </w:rPr>
            </w:r>
          </w:p>
        </w:tc>
      </w:tr>
      <w:tr>
        <w:trPr/>
        <w:tc>
          <w:tcPr>
            <w:tcW w:w="137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2017</w:t>
            </w:r>
          </w:p>
        </w:tc>
        <w:tc>
          <w:tcPr>
            <w:tcW w:w="1243"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 н.в.</w:t>
            </w:r>
          </w:p>
        </w:tc>
        <w:tc>
          <w:tcPr>
            <w:tcW w:w="2718"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ПАО «Сахалинэнерго»</w:t>
            </w:r>
          </w:p>
        </w:tc>
        <w:tc>
          <w:tcPr>
            <w:tcW w:w="3792"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член Совета Директоров</w:t>
            </w:r>
          </w:p>
        </w:tc>
      </w:tr>
      <w:tr>
        <w:trPr/>
        <w:tc>
          <w:tcPr>
            <w:tcW w:w="137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2020</w:t>
            </w:r>
          </w:p>
        </w:tc>
        <w:tc>
          <w:tcPr>
            <w:tcW w:w="1243"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 н.в.</w:t>
            </w:r>
          </w:p>
        </w:tc>
        <w:tc>
          <w:tcPr>
            <w:tcW w:w="2718"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ПАО «РусГидро»</w:t>
            </w:r>
          </w:p>
        </w:tc>
        <w:tc>
          <w:tcPr>
            <w:tcW w:w="3792"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Заместитель директора Департамента корпоративного управления</w:t>
            </w:r>
          </w:p>
        </w:tc>
      </w:tr>
      <w:tr>
        <w:trPr/>
        <w:tc>
          <w:tcPr>
            <w:tcW w:w="137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2020</w:t>
            </w:r>
          </w:p>
        </w:tc>
        <w:tc>
          <w:tcPr>
            <w:tcW w:w="1243"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 н.в.</w:t>
            </w:r>
          </w:p>
        </w:tc>
        <w:tc>
          <w:tcPr>
            <w:tcW w:w="2718"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ПАО «РЭСК»</w:t>
            </w:r>
          </w:p>
        </w:tc>
        <w:tc>
          <w:tcPr>
            <w:tcW w:w="3792"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член Совета Директоров</w:t>
            </w:r>
          </w:p>
        </w:tc>
      </w:tr>
      <w:tr>
        <w:trPr/>
        <w:tc>
          <w:tcPr>
            <w:tcW w:w="137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2020</w:t>
            </w:r>
          </w:p>
        </w:tc>
        <w:tc>
          <w:tcPr>
            <w:tcW w:w="1243"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 н.в.</w:t>
            </w:r>
          </w:p>
        </w:tc>
        <w:tc>
          <w:tcPr>
            <w:tcW w:w="2718"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ПАО «Якутскэнерго»</w:t>
            </w:r>
          </w:p>
        </w:tc>
        <w:tc>
          <w:tcPr>
            <w:tcW w:w="3792"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член Совета Директоров</w:t>
            </w:r>
          </w:p>
        </w:tc>
      </w:tr>
      <w:tr>
        <w:trPr/>
        <w:tc>
          <w:tcPr>
            <w:tcW w:w="137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2021</w:t>
            </w:r>
          </w:p>
        </w:tc>
        <w:tc>
          <w:tcPr>
            <w:tcW w:w="1243"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 н.в.</w:t>
            </w:r>
          </w:p>
        </w:tc>
        <w:tc>
          <w:tcPr>
            <w:tcW w:w="2718"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ПАО «ДРСК»</w:t>
            </w:r>
          </w:p>
        </w:tc>
        <w:tc>
          <w:tcPr>
            <w:tcW w:w="3792"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член Совета Директоров</w:t>
            </w:r>
          </w:p>
        </w:tc>
      </w:tr>
      <w:tr>
        <w:trPr/>
        <w:tc>
          <w:tcPr>
            <w:tcW w:w="1379"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07.2023</w:t>
            </w:r>
          </w:p>
        </w:tc>
        <w:tc>
          <w:tcPr>
            <w:tcW w:w="1243"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 н.в.</w:t>
            </w:r>
          </w:p>
        </w:tc>
        <w:tc>
          <w:tcPr>
            <w:tcW w:w="2718"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ПАО «Камчатскэнерго»</w:t>
            </w:r>
          </w:p>
        </w:tc>
        <w:tc>
          <w:tcPr>
            <w:tcW w:w="3792"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член Совета директоров</w:t>
            </w:r>
          </w:p>
        </w:tc>
      </w:tr>
      <w:tr>
        <w:trPr/>
        <w:tc>
          <w:tcPr>
            <w:tcW w:w="1379"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06.2025</w:t>
            </w:r>
          </w:p>
        </w:tc>
        <w:tc>
          <w:tcPr>
            <w:tcW w:w="1243"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 н.в.</w:t>
            </w:r>
          </w:p>
        </w:tc>
        <w:tc>
          <w:tcPr>
            <w:tcW w:w="2718"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ООО «ДГК-НТС»</w:t>
            </w:r>
          </w:p>
        </w:tc>
        <w:tc>
          <w:tcPr>
            <w:tcW w:w="3792"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член Совета директоров</w:t>
            </w:r>
          </w:p>
        </w:tc>
      </w:tr>
      <w:tr>
        <w:trPr/>
        <w:tc>
          <w:tcPr>
            <w:tcW w:w="1379"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06.2025</w:t>
            </w:r>
          </w:p>
        </w:tc>
        <w:tc>
          <w:tcPr>
            <w:tcW w:w="1243"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по н.в.</w:t>
            </w:r>
          </w:p>
        </w:tc>
        <w:tc>
          <w:tcPr>
            <w:tcW w:w="2718"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pPr>
            <w:hyperlink r:id="rId4" w:tgtFrame="https://www.sakhaenergo.ru/">
              <w:r>
                <w:rPr>
                  <w:rStyle w:val="-"/>
                  <w:rFonts w:eastAsia="0" w:cs="0"/>
                  <w:b/>
                  <w:bCs/>
                  <w:i/>
                  <w:iCs/>
                  <w:color w:val="000000"/>
                  <w:kern w:val="0"/>
                  <w:sz w:val="16"/>
                  <w:szCs w:val="16"/>
                  <w:u w:val="none"/>
                  <w:lang w:val="ru-RU" w:eastAsia="zh-CN" w:bidi="hi-IN"/>
                </w:rPr>
                <w:t>АО «Сахаэнерго»</w:t>
              </w:r>
            </w:hyperlink>
          </w:p>
        </w:tc>
        <w:tc>
          <w:tcPr>
            <w:tcW w:w="3792"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член Совета директоров</w:t>
            </w:r>
          </w:p>
        </w:tc>
      </w:tr>
      <w:tr>
        <w:trPr/>
        <w:tc>
          <w:tcPr>
            <w:tcW w:w="1379"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09.2025</w:t>
            </w:r>
          </w:p>
        </w:tc>
        <w:tc>
          <w:tcPr>
            <w:tcW w:w="1243"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по н.в.</w:t>
            </w:r>
          </w:p>
        </w:tc>
        <w:tc>
          <w:tcPr>
            <w:tcW w:w="2718"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АО «РусГидроОЦО»</w:t>
            </w:r>
          </w:p>
        </w:tc>
        <w:tc>
          <w:tcPr>
            <w:tcW w:w="3792"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член Совета директоров</w:t>
            </w:r>
          </w:p>
        </w:tc>
      </w:tr>
    </w:tbl>
    <w:p>
      <w:pPr>
        <w:pStyle w:val="Normal"/>
        <w:jc w:val="both"/>
        <w:rPr/>
      </w:pPr>
      <w:r>
        <w:rPr/>
      </w:r>
    </w:p>
    <w:p>
      <w:pPr>
        <w:pStyle w:val="Normal"/>
        <w:jc w:val="both"/>
        <w:rPr/>
      </w:pPr>
      <w:r>
        <w:rPr/>
        <w:t xml:space="preserve">Доля участия лица в уставном капитале Эмитента, %: </w:t>
      </w:r>
      <w:r>
        <w:rPr>
          <w:b/>
          <w:i/>
        </w:rPr>
        <w:t xml:space="preserve">не имеет. </w:t>
      </w:r>
    </w:p>
    <w:p>
      <w:pPr>
        <w:pStyle w:val="Normal"/>
        <w:jc w:val="both"/>
        <w:rPr/>
      </w:pPr>
      <w:r>
        <w:rPr/>
        <w:t xml:space="preserve">Доля принадлежащих лицу обыкновенных акций Эмитента, %: </w:t>
      </w:r>
      <w:r>
        <w:rPr>
          <w:b/>
          <w:i/>
        </w:rPr>
        <w:t xml:space="preserve">не имеет. </w:t>
      </w:r>
    </w:p>
    <w:p>
      <w:pPr>
        <w:pStyle w:val="Normal"/>
        <w:jc w:val="both"/>
        <w:rPr/>
      </w:pPr>
      <w:r>
        <w:rPr/>
        <w:t xml:space="preserve">Количество акций Эмитента каждой категории (типа), которые могут быть приобретены лицом в результате конвертации принадлежащих ему ценных бумаг, конвертируемых в акции: </w:t>
      </w:r>
      <w:r>
        <w:rPr>
          <w:b/>
          <w:i/>
        </w:rPr>
        <w:t xml:space="preserve">ценные бумаги, конвертируемые в акции, отсутствуют. </w:t>
      </w:r>
    </w:p>
    <w:p>
      <w:pPr>
        <w:pStyle w:val="Normal"/>
        <w:jc w:val="both"/>
        <w:rPr/>
      </w:pPr>
      <w:r>
        <w:rPr/>
        <w:t xml:space="preserve">Доля участия лица в уставном капитале подконтрольных Эмитенту организаций, имеющих для него существенное значение: </w:t>
      </w:r>
      <w:r>
        <w:rPr>
          <w:b/>
          <w:i/>
        </w:rPr>
        <w:t xml:space="preserve">не имеет. </w:t>
      </w:r>
    </w:p>
    <w:p>
      <w:pPr>
        <w:pStyle w:val="Normal"/>
        <w:jc w:val="both"/>
        <w:rPr/>
      </w:pPr>
      <w:r>
        <w:rPr/>
        <w:t xml:space="preserve">Доля принадлежащих лицу обыкновенных акций подконтрольных Эмитенту акционерных обществ, имеющих для Эмитента существенное значение: </w:t>
      </w:r>
      <w:r>
        <w:rPr>
          <w:b/>
          <w:i/>
        </w:rPr>
        <w:t xml:space="preserve">не имеет. </w:t>
      </w:r>
    </w:p>
    <w:p>
      <w:pPr>
        <w:pStyle w:val="Normal"/>
        <w:jc w:val="both"/>
        <w:rPr/>
      </w:pPr>
      <w:r>
        <w:rPr/>
        <w:t xml:space="preserve">Количество акций каждой категории (типа), подконтрольных Эмитенту акционерных обществ, имеющих для Эмитента существенное значение, которые могут быть приобретены лицом в результате конвертации принадлежащих ему ценных бумаг, конвертируемых в акции: </w:t>
      </w:r>
      <w:r>
        <w:rPr>
          <w:b/>
          <w:i/>
        </w:rPr>
        <w:t xml:space="preserve">не имеет. </w:t>
      </w:r>
    </w:p>
    <w:p>
      <w:pPr>
        <w:pStyle w:val="Style14"/>
        <w:spacing w:lineRule="auto" w:line="240" w:before="165" w:after="0"/>
        <w:jc w:val="both"/>
        <w:rPr/>
      </w:pPr>
      <w:r>
        <w:rPr/>
        <w:t xml:space="preserve">Сведения о совершении лицом в отчетном периоде сделки по приобретению или отчуждению акций (долей) эмитента с указанием по каждой сделке даты ее совершения, содержания сделки, категорий (типов) и количества акций (долей), являвшихся предметом сделки: </w:t>
      </w:r>
      <w:r>
        <w:rPr>
          <w:b/>
          <w:bCs/>
        </w:rPr>
        <w:t>в</w:t>
      </w:r>
      <w:r>
        <w:rPr>
          <w:b/>
          <w:bCs/>
          <w:i/>
          <w:iCs/>
        </w:rPr>
        <w:t xml:space="preserve"> отчетном периоде сделки с акциями эмитента не совершались.</w:t>
      </w:r>
    </w:p>
    <w:p>
      <w:pPr>
        <w:pStyle w:val="Normal"/>
        <w:jc w:val="both"/>
        <w:rPr/>
      </w:pPr>
      <w:r>
        <w:rPr/>
        <w:t xml:space="preserve">Сведения о характере родственных связей (супруги, родители, дети, усыновители, усыновленные, родные братья и сестры, дедушки, бабушки, внуки) между лицом и членами совета директоров (наблюдательного совета), членами коллегиального исполнительного органа, лицом, занимающим должность (осуществляющим функции) единоличного исполнительного органа Эмитента: </w:t>
      </w:r>
      <w:r>
        <w:rPr>
          <w:b/>
          <w:i/>
        </w:rPr>
        <w:t xml:space="preserve">указанных родственных связей нет. </w:t>
      </w:r>
    </w:p>
    <w:p>
      <w:pPr>
        <w:pStyle w:val="Normal"/>
        <w:jc w:val="both"/>
        <w:rPr/>
      </w:pPr>
      <w:r>
        <w:rPr/>
        <w:t xml:space="preserve">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уголовной ответственности (о наличии судимости) за преступления в сфере экономики и (или) за преступления против государственной власти: </w:t>
      </w:r>
      <w:r>
        <w:rPr>
          <w:b/>
          <w:i/>
        </w:rPr>
        <w:t xml:space="preserve">лицо к указанным видам ответственности не привлекалось. </w:t>
      </w:r>
    </w:p>
    <w:p>
      <w:pPr>
        <w:pStyle w:val="Normal"/>
        <w:jc w:val="both"/>
        <w:rPr/>
      </w:pPr>
      <w:r>
        <w:rPr/>
        <w:t xml:space="preserve">Сведения о занятии лицом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статьей 27 Федерального закона «О несостоятельности (банкротстве)»: </w:t>
      </w:r>
      <w:r>
        <w:rPr>
          <w:b/>
          <w:i/>
        </w:rPr>
        <w:t xml:space="preserve">лицо указанных должностей не занимало. </w:t>
      </w:r>
    </w:p>
    <w:p>
      <w:pPr>
        <w:pStyle w:val="Normal"/>
        <w:jc w:val="both"/>
        <w:rPr>
          <w:spacing w:val="-4"/>
        </w:rPr>
      </w:pPr>
      <w:r>
        <w:rPr>
          <w:spacing w:val="-4"/>
        </w:rPr>
      </w:r>
    </w:p>
    <w:p>
      <w:pPr>
        <w:pStyle w:val="Normal"/>
        <w:jc w:val="both"/>
        <w:rPr/>
      </w:pPr>
      <w:r>
        <w:rPr>
          <w:spacing w:val="-4"/>
        </w:rPr>
        <w:t>Сведения об участии в работе комитетов совета директоров:</w:t>
      </w:r>
      <w:r>
        <w:rPr>
          <w:b/>
          <w:bCs/>
          <w:i/>
          <w:iCs/>
          <w:spacing w:val="-4"/>
        </w:rPr>
        <w:t xml:space="preserve"> член Совета директоров участвует в работе Комитета по аудиту при Совете директоров ПАО «Камчатскэнерго». </w:t>
      </w:r>
    </w:p>
    <w:p>
      <w:pPr>
        <w:pStyle w:val="Style14"/>
        <w:tabs>
          <w:tab w:val="clear" w:pos="720"/>
          <w:tab w:val="left" w:pos="0" w:leader="none"/>
        </w:tabs>
        <w:spacing w:lineRule="auto" w:line="240" w:before="165" w:after="0"/>
        <w:jc w:val="both"/>
        <w:rPr/>
      </w:pPr>
      <w:r>
        <w:rPr>
          <w:i/>
        </w:rPr>
        <w:t xml:space="preserve">Сведения о членах совета директоров, которых эмитент считает независимыми с учетом положений Кодекса корпоративного управления: </w:t>
      </w:r>
      <w:r>
        <w:rPr>
          <w:b/>
          <w:bCs/>
          <w:i/>
        </w:rPr>
        <w:t>не является независимым членом совета директоров.</w:t>
      </w:r>
    </w:p>
    <w:p>
      <w:pPr>
        <w:pStyle w:val="Normal"/>
        <w:jc w:val="both"/>
        <w:rPr/>
      </w:pPr>
      <w:r>
        <w:rPr/>
      </w:r>
    </w:p>
    <w:p>
      <w:pPr>
        <w:pStyle w:val="Normal"/>
        <w:jc w:val="both"/>
        <w:rPr/>
      </w:pPr>
      <w:r>
        <w:rPr/>
      </w:r>
    </w:p>
    <w:p>
      <w:pPr>
        <w:pStyle w:val="Normal"/>
        <w:spacing w:before="20" w:after="40"/>
        <w:contextualSpacing/>
        <w:jc w:val="both"/>
        <w:rPr/>
      </w:pPr>
      <w:r>
        <w:rPr/>
        <w:t>Фамилия, имя, отчество (последнее при наличии):</w:t>
      </w:r>
      <w:r>
        <w:rPr>
          <w:b/>
          <w:i/>
        </w:rPr>
        <w:t xml:space="preserve"> Малков Денис Александрович</w:t>
      </w:r>
    </w:p>
    <w:p>
      <w:pPr>
        <w:pStyle w:val="Normal"/>
        <w:spacing w:before="20" w:after="40"/>
        <w:contextualSpacing/>
        <w:jc w:val="both"/>
        <w:rPr/>
      </w:pPr>
      <w:r>
        <w:rPr>
          <w:b/>
          <w:i/>
        </w:rPr>
        <w:t>(председатель)</w:t>
      </w:r>
    </w:p>
    <w:p>
      <w:pPr>
        <w:pStyle w:val="Normal"/>
        <w:spacing w:before="20" w:after="40"/>
        <w:contextualSpacing/>
        <w:jc w:val="both"/>
        <w:rPr/>
      </w:pPr>
      <w:r>
        <w:rPr/>
      </w:r>
    </w:p>
    <w:p>
      <w:pPr>
        <w:pStyle w:val="Normal"/>
        <w:spacing w:before="20" w:after="40"/>
        <w:contextualSpacing/>
        <w:jc w:val="both"/>
        <w:rPr/>
      </w:pPr>
      <w:r>
        <w:rPr/>
        <w:t>Год рождения:</w:t>
      </w:r>
      <w:r>
        <w:rPr>
          <w:b/>
          <w:i/>
        </w:rPr>
        <w:t xml:space="preserve"> 1974</w:t>
      </w:r>
    </w:p>
    <w:p>
      <w:pPr>
        <w:pStyle w:val="Normal"/>
        <w:spacing w:before="20" w:after="40"/>
        <w:contextualSpacing/>
        <w:jc w:val="both"/>
        <w:rPr/>
      </w:pPr>
      <w:r>
        <w:rPr/>
        <w:t>Сведения об уровне образования, квалификации, специальности:</w:t>
      </w:r>
    </w:p>
    <w:p>
      <w:pPr>
        <w:pStyle w:val="Normal"/>
        <w:spacing w:before="20" w:after="40"/>
        <w:contextualSpacing/>
        <w:jc w:val="both"/>
        <w:rPr/>
      </w:pPr>
      <w:r>
        <w:rPr>
          <w:b/>
          <w:i/>
        </w:rPr>
        <w:t>высшее профессиональное, специалист, инженер-электромеханик</w:t>
      </w:r>
    </w:p>
    <w:p>
      <w:pPr>
        <w:pStyle w:val="Normal"/>
        <w:spacing w:before="20" w:after="40"/>
        <w:contextualSpacing/>
        <w:jc w:val="both"/>
        <w:rPr/>
      </w:pPr>
      <w:r>
        <w:rPr/>
      </w:r>
    </w:p>
    <w:p>
      <w:pPr>
        <w:pStyle w:val="Normal"/>
        <w:spacing w:before="20" w:after="40"/>
        <w:contextualSpacing/>
        <w:jc w:val="both"/>
        <w:rPr/>
      </w:pPr>
      <w:r>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pPr>
        <w:pStyle w:val="ThinDelim"/>
        <w:spacing w:before="20" w:after="40"/>
        <w:contextualSpacing/>
        <w:jc w:val="both"/>
        <w:rPr>
          <w:b/>
          <w:bCs/>
        </w:rPr>
      </w:pPr>
      <w:r>
        <w:rPr>
          <w:b/>
          <w:bCs/>
        </w:rPr>
      </w:r>
    </w:p>
    <w:tbl>
      <w:tblPr>
        <w:tblW w:w="9177" w:type="dxa"/>
        <w:jc w:val="left"/>
        <w:tblInd w:w="60" w:type="dxa"/>
        <w:tblLayout w:type="fixed"/>
        <w:tblCellMar>
          <w:top w:w="0" w:type="dxa"/>
          <w:left w:w="72" w:type="dxa"/>
          <w:bottom w:w="0" w:type="dxa"/>
          <w:right w:w="72" w:type="dxa"/>
        </w:tblCellMar>
        <w:tblLook w:noVBand="1" w:val="04a0" w:noHBand="0" w:lastColumn="0" w:firstColumn="1" w:lastRow="0" w:firstRow="1"/>
      </w:tblPr>
      <w:tblGrid>
        <w:gridCol w:w="1438"/>
        <w:gridCol w:w="1025"/>
        <w:gridCol w:w="2666"/>
        <w:gridCol w:w="4047"/>
      </w:tblGrid>
      <w:tr>
        <w:trPr/>
        <w:tc>
          <w:tcPr>
            <w:tcW w:w="2463"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Период</w:t>
            </w:r>
          </w:p>
        </w:tc>
        <w:tc>
          <w:tcPr>
            <w:tcW w:w="266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sz w:val="16"/>
                <w:szCs w:val="16"/>
              </w:rPr>
            </w:pPr>
            <w:r>
              <w:rPr>
                <w:b/>
                <w:bCs/>
                <w:i/>
                <w:iCs/>
                <w:sz w:val="16"/>
                <w:szCs w:val="16"/>
              </w:rPr>
              <w:t>Наименование организации</w:t>
            </w:r>
          </w:p>
        </w:tc>
        <w:tc>
          <w:tcPr>
            <w:tcW w:w="4047"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sz w:val="16"/>
                <w:szCs w:val="16"/>
              </w:rPr>
            </w:pPr>
            <w:r>
              <w:rPr>
                <w:b/>
                <w:bCs/>
                <w:i/>
                <w:iCs/>
                <w:sz w:val="16"/>
                <w:szCs w:val="16"/>
              </w:rPr>
              <w:t>Должность</w:t>
            </w:r>
          </w:p>
        </w:tc>
      </w:tr>
      <w:tr>
        <w:trPr/>
        <w:tc>
          <w:tcPr>
            <w:tcW w:w="1438"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с</w:t>
            </w:r>
          </w:p>
        </w:tc>
        <w:tc>
          <w:tcPr>
            <w:tcW w:w="102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w:t>
            </w:r>
          </w:p>
        </w:tc>
        <w:tc>
          <w:tcPr>
            <w:tcW w:w="2666"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b/>
                <w:bCs/>
                <w:i/>
                <w:i/>
                <w:iCs/>
                <w:sz w:val="16"/>
                <w:szCs w:val="16"/>
              </w:rPr>
            </w:pPr>
            <w:r>
              <w:rPr>
                <w:b/>
                <w:bCs/>
                <w:i/>
                <w:iCs/>
                <w:sz w:val="16"/>
                <w:szCs w:val="16"/>
              </w:rPr>
            </w:r>
          </w:p>
        </w:tc>
        <w:tc>
          <w:tcPr>
            <w:tcW w:w="4047"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b/>
                <w:bCs/>
                <w:i/>
                <w:i/>
                <w:iCs/>
                <w:sz w:val="16"/>
                <w:szCs w:val="16"/>
              </w:rPr>
            </w:pPr>
            <w:r>
              <w:rPr>
                <w:b/>
                <w:bCs/>
                <w:i/>
                <w:iCs/>
                <w:sz w:val="16"/>
                <w:szCs w:val="16"/>
              </w:rPr>
            </w:r>
          </w:p>
        </w:tc>
      </w:tr>
      <w:tr>
        <w:trPr/>
        <w:tc>
          <w:tcPr>
            <w:tcW w:w="1438"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2022</w:t>
            </w:r>
          </w:p>
        </w:tc>
        <w:tc>
          <w:tcPr>
            <w:tcW w:w="102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 н.в.</w:t>
            </w:r>
          </w:p>
        </w:tc>
        <w:tc>
          <w:tcPr>
            <w:tcW w:w="266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ПАО «РусГидро»</w:t>
            </w:r>
          </w:p>
        </w:tc>
        <w:tc>
          <w:tcPr>
            <w:tcW w:w="404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Директор Департамента инноваций ПАО «РусГидро»</w:t>
            </w:r>
          </w:p>
        </w:tc>
      </w:tr>
      <w:tr>
        <w:trPr/>
        <w:tc>
          <w:tcPr>
            <w:tcW w:w="1438"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2022</w:t>
            </w:r>
          </w:p>
        </w:tc>
        <w:tc>
          <w:tcPr>
            <w:tcW w:w="102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2024</w:t>
            </w:r>
          </w:p>
        </w:tc>
        <w:tc>
          <w:tcPr>
            <w:tcW w:w="266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АО «ЮЭСК»</w:t>
            </w:r>
          </w:p>
        </w:tc>
        <w:tc>
          <w:tcPr>
            <w:tcW w:w="404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член Совета директоров</w:t>
            </w:r>
          </w:p>
        </w:tc>
      </w:tr>
      <w:tr>
        <w:trPr/>
        <w:tc>
          <w:tcPr>
            <w:tcW w:w="1438"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07.2023</w:t>
            </w:r>
          </w:p>
        </w:tc>
        <w:tc>
          <w:tcPr>
            <w:tcW w:w="1025"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 н.в.</w:t>
            </w:r>
          </w:p>
        </w:tc>
        <w:tc>
          <w:tcPr>
            <w:tcW w:w="2666"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ПАО «Камчатскэнерго»</w:t>
            </w:r>
          </w:p>
        </w:tc>
        <w:tc>
          <w:tcPr>
            <w:tcW w:w="4047"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Председатель   Совета директоров</w:t>
            </w:r>
          </w:p>
        </w:tc>
      </w:tr>
      <w:tr>
        <w:trPr/>
        <w:tc>
          <w:tcPr>
            <w:tcW w:w="1438"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2024</w:t>
            </w:r>
          </w:p>
        </w:tc>
        <w:tc>
          <w:tcPr>
            <w:tcW w:w="1025"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по н.в.</w:t>
            </w:r>
          </w:p>
        </w:tc>
        <w:tc>
          <w:tcPr>
            <w:tcW w:w="2666"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ПАО «Магаданэнерго»</w:t>
            </w:r>
          </w:p>
        </w:tc>
        <w:tc>
          <w:tcPr>
            <w:tcW w:w="4047"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член Совета директоров</w:t>
            </w:r>
          </w:p>
        </w:tc>
      </w:tr>
      <w:tr>
        <w:trPr/>
        <w:tc>
          <w:tcPr>
            <w:tcW w:w="1438"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06.2025</w:t>
            </w:r>
          </w:p>
        </w:tc>
        <w:tc>
          <w:tcPr>
            <w:tcW w:w="1025"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по н.в.</w:t>
            </w:r>
          </w:p>
        </w:tc>
        <w:tc>
          <w:tcPr>
            <w:tcW w:w="2666"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pPr>
            <w:hyperlink r:id="rId5" w:tgtFrame="https://www.sakhaenergo.ru/">
              <w:r>
                <w:rPr>
                  <w:rStyle w:val="-"/>
                  <w:rFonts w:eastAsia="0" w:cs="0"/>
                  <w:b/>
                  <w:bCs/>
                  <w:i/>
                  <w:iCs/>
                  <w:color w:val="000000"/>
                  <w:kern w:val="0"/>
                  <w:sz w:val="16"/>
                  <w:szCs w:val="16"/>
                  <w:u w:val="none"/>
                  <w:lang w:val="ru-RU" w:eastAsia="zh-CN" w:bidi="hi-IN"/>
                </w:rPr>
                <w:t>АО «Сахаэнерго»</w:t>
              </w:r>
            </w:hyperlink>
          </w:p>
        </w:tc>
        <w:tc>
          <w:tcPr>
            <w:tcW w:w="4047"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rFonts w:ascii="0" w:hAnsi="0" w:eastAsia="0" w:cs="0"/>
                <w:b/>
                <w:bCs/>
                <w:i/>
                <w:i/>
                <w:iCs/>
                <w:color w:val="000000"/>
                <w:kern w:val="0"/>
                <w:sz w:val="16"/>
                <w:szCs w:val="16"/>
                <w:lang w:val="ru-RU" w:eastAsia="zh-CN" w:bidi="hi-IN"/>
              </w:rPr>
            </w:pPr>
            <w:r>
              <w:rPr>
                <w:rFonts w:eastAsia="0" w:cs="0"/>
                <w:b/>
                <w:bCs/>
                <w:i/>
                <w:iCs/>
                <w:color w:val="000000"/>
                <w:kern w:val="0"/>
                <w:sz w:val="16"/>
                <w:szCs w:val="16"/>
                <w:lang w:val="ru-RU" w:eastAsia="zh-CN" w:bidi="hi-IN"/>
              </w:rPr>
              <w:t>член Совета директоров</w:t>
            </w:r>
          </w:p>
        </w:tc>
      </w:tr>
      <w:tr>
        <w:trPr/>
        <w:tc>
          <w:tcPr>
            <w:tcW w:w="1438"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09.2025</w:t>
            </w:r>
          </w:p>
        </w:tc>
        <w:tc>
          <w:tcPr>
            <w:tcW w:w="1025"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rFonts w:eastAsia="0" w:cs="0"/>
                <w:b/>
                <w:bCs/>
                <w:i/>
                <w:iCs/>
                <w:color w:val="000000"/>
                <w:kern w:val="0"/>
                <w:sz w:val="16"/>
                <w:szCs w:val="16"/>
                <w:lang w:val="ru-RU" w:eastAsia="zh-CN" w:bidi="hi-IN"/>
              </w:rPr>
              <w:t>по н.в.</w:t>
            </w:r>
          </w:p>
        </w:tc>
        <w:tc>
          <w:tcPr>
            <w:tcW w:w="2666"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АО «ЮЭСК»</w:t>
            </w:r>
          </w:p>
        </w:tc>
        <w:tc>
          <w:tcPr>
            <w:tcW w:w="4047"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член Совета директоров</w:t>
            </w:r>
          </w:p>
        </w:tc>
      </w:tr>
    </w:tbl>
    <w:p>
      <w:pPr>
        <w:pStyle w:val="ThinDelim"/>
        <w:spacing w:before="20" w:after="40"/>
        <w:contextualSpacing/>
        <w:jc w:val="both"/>
        <w:rPr>
          <w:b/>
          <w:bCs/>
        </w:rPr>
      </w:pPr>
      <w:r>
        <w:rPr>
          <w:b/>
          <w:bCs/>
        </w:rPr>
      </w:r>
    </w:p>
    <w:p>
      <w:pPr>
        <w:pStyle w:val="Normal"/>
        <w:jc w:val="both"/>
        <w:rPr/>
      </w:pPr>
      <w:r>
        <w:rPr/>
        <w:t xml:space="preserve">Доля участия лица в уставном капитале Эмитента, %: </w:t>
      </w:r>
      <w:r>
        <w:rPr>
          <w:b/>
          <w:i/>
        </w:rPr>
        <w:t xml:space="preserve">не имеет. </w:t>
      </w:r>
    </w:p>
    <w:p>
      <w:pPr>
        <w:pStyle w:val="Normal"/>
        <w:jc w:val="both"/>
        <w:rPr/>
      </w:pPr>
      <w:r>
        <w:rPr/>
        <w:t xml:space="preserve">Доля принадлежащих лицу обыкновенных акций Эмитента, %: </w:t>
      </w:r>
      <w:r>
        <w:rPr>
          <w:b/>
          <w:i/>
        </w:rPr>
        <w:t xml:space="preserve">не имеет. </w:t>
      </w:r>
    </w:p>
    <w:p>
      <w:pPr>
        <w:pStyle w:val="Normal"/>
        <w:jc w:val="both"/>
        <w:rPr/>
      </w:pPr>
      <w:r>
        <w:rPr/>
        <w:t xml:space="preserve">Количество акций Эмитента каждой категории (типа), которые могут быть приобретены лицом в результате конвертации принадлежащих ему ценных бумаг, конвертируемых в акции: </w:t>
      </w:r>
      <w:r>
        <w:rPr>
          <w:b/>
          <w:i/>
        </w:rPr>
        <w:t xml:space="preserve">ценные бумаги, конвертируемые в акции, отсутствуют. </w:t>
      </w:r>
    </w:p>
    <w:p>
      <w:pPr>
        <w:pStyle w:val="Normal"/>
        <w:jc w:val="both"/>
        <w:rPr/>
      </w:pPr>
      <w:r>
        <w:rPr/>
        <w:t xml:space="preserve">Доля участия лица в уставном капитале подконтрольных Эмитенту организаций, имеющих для него существенное значение: </w:t>
      </w:r>
      <w:r>
        <w:rPr>
          <w:b/>
          <w:i/>
        </w:rPr>
        <w:t xml:space="preserve">не имеет. </w:t>
      </w:r>
    </w:p>
    <w:p>
      <w:pPr>
        <w:pStyle w:val="Normal"/>
        <w:jc w:val="both"/>
        <w:rPr/>
      </w:pPr>
      <w:r>
        <w:rPr/>
        <w:t xml:space="preserve">Доля принадлежащих лицу обыкновенных акций подконтрольных Эмитенту акционерных обществ, имеющих для Эмитента существенное значение: </w:t>
      </w:r>
      <w:r>
        <w:rPr>
          <w:b/>
          <w:i/>
        </w:rPr>
        <w:t xml:space="preserve">не имеет. </w:t>
      </w:r>
    </w:p>
    <w:p>
      <w:pPr>
        <w:pStyle w:val="Normal"/>
        <w:jc w:val="both"/>
        <w:rPr/>
      </w:pPr>
      <w:r>
        <w:rPr/>
        <w:t xml:space="preserve">Количество акций каждой категории (типа), подконтрольных Эмитенту акционерных обществ, имеющих для Эмитента существенное значение, которые могут быть приобретены лицом в результате конвертации принадлежащих ему ценных бумаг, конвертируемых в акции: </w:t>
      </w:r>
      <w:r>
        <w:rPr>
          <w:b/>
          <w:i/>
        </w:rPr>
        <w:t xml:space="preserve">не имеет. </w:t>
      </w:r>
    </w:p>
    <w:p>
      <w:pPr>
        <w:pStyle w:val="Style14"/>
        <w:spacing w:lineRule="auto" w:line="240" w:before="165" w:after="0"/>
        <w:jc w:val="both"/>
        <w:rPr/>
      </w:pPr>
      <w:r>
        <w:rPr/>
        <w:t xml:space="preserve">Сведения о совершении лицом в отчетном периоде сделки по приобретению или отчуждению акций (долей) эмитента с указанием по каждой сделке даты ее совершения, содержания сделки, категорий (типов) и количества акций (долей), являвшихся предметом сделки: </w:t>
      </w:r>
      <w:r>
        <w:rPr>
          <w:b/>
          <w:bCs/>
          <w:i/>
        </w:rPr>
        <w:t>в отчетном периоде сделки с акциями эмитента не совершались</w:t>
      </w:r>
      <w:r>
        <w:rPr>
          <w:b/>
          <w:bCs/>
        </w:rPr>
        <w:t>.</w:t>
      </w:r>
    </w:p>
    <w:p>
      <w:pPr>
        <w:pStyle w:val="Normal"/>
        <w:jc w:val="both"/>
        <w:rPr/>
      </w:pPr>
      <w:r>
        <w:rPr/>
        <w:t xml:space="preserve">Сведения о характере родственных связей (супруги, родители, дети, усыновители, усыновленные, родные братья и сестры, дедушки, бабушки, внуки) между лицом и членами совета директоров (наблюдательного совета), членами коллегиального исполнительного органа, лицом, занимающим должность (осуществляющим функции) единоличного исполнительного органа Эмитента: </w:t>
      </w:r>
      <w:r>
        <w:rPr>
          <w:b/>
          <w:i/>
        </w:rPr>
        <w:t xml:space="preserve">указанных родственных связей нет. </w:t>
      </w:r>
    </w:p>
    <w:p>
      <w:pPr>
        <w:pStyle w:val="Normal"/>
        <w:jc w:val="both"/>
        <w:rPr/>
      </w:pPr>
      <w:r>
        <w:rPr/>
        <w:t xml:space="preserve">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уголовной ответственности (о наличии судимости) за преступления в сфере экономики и (или) за преступления против государственной власти: </w:t>
      </w:r>
      <w:r>
        <w:rPr>
          <w:b/>
          <w:i/>
        </w:rPr>
        <w:t xml:space="preserve">лицо к указанным видам ответственности не привлекалось. </w:t>
      </w:r>
    </w:p>
    <w:p>
      <w:pPr>
        <w:pStyle w:val="Normal"/>
        <w:jc w:val="both"/>
        <w:rPr/>
      </w:pPr>
      <w:r>
        <w:rPr/>
        <w:t xml:space="preserve">Сведения о занятии лицом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статьей 27 Федерального закона «О несостоятельности (банкротстве)»: </w:t>
      </w:r>
      <w:r>
        <w:rPr>
          <w:b/>
          <w:i/>
        </w:rPr>
        <w:t xml:space="preserve">лицо указанных должностей не занимало. </w:t>
      </w:r>
    </w:p>
    <w:p>
      <w:pPr>
        <w:pStyle w:val="Normal"/>
        <w:jc w:val="both"/>
        <w:rPr/>
      </w:pPr>
      <w:r>
        <w:rPr/>
        <w:t xml:space="preserve">Сведения об участии в работе комитетов совета директоров (наблюдательного совета): </w:t>
      </w:r>
      <w:r>
        <w:rPr>
          <w:b/>
          <w:bCs/>
          <w:i/>
        </w:rPr>
        <w:t>член Совета директоров не участвует в работе комитетов совета директоров</w:t>
      </w:r>
      <w:r>
        <w:rPr>
          <w:b/>
          <w:bCs/>
        </w:rPr>
        <w:t>.</w:t>
      </w:r>
    </w:p>
    <w:p>
      <w:pPr>
        <w:pStyle w:val="Style14"/>
        <w:tabs>
          <w:tab w:val="clear" w:pos="720"/>
          <w:tab w:val="left" w:pos="0" w:leader="none"/>
        </w:tabs>
        <w:spacing w:lineRule="auto" w:line="240" w:before="165" w:after="0"/>
        <w:jc w:val="both"/>
        <w:rPr/>
      </w:pPr>
      <w:r>
        <w:rPr>
          <w:i/>
        </w:rPr>
        <w:t xml:space="preserve">Сведения о членах совета директоров, которых эмитент считает независимыми с учетом положений Кодекса корпоративного управления: </w:t>
      </w:r>
      <w:r>
        <w:rPr>
          <w:b/>
          <w:bCs/>
          <w:i/>
        </w:rPr>
        <w:t>не является независимым членом совета директоров.</w:t>
      </w:r>
    </w:p>
    <w:p>
      <w:pPr>
        <w:pStyle w:val="Normal"/>
        <w:spacing w:before="20" w:after="40"/>
        <w:contextualSpacing/>
        <w:jc w:val="both"/>
        <w:rPr/>
      </w:pPr>
      <w:r>
        <w:rPr/>
      </w:r>
    </w:p>
    <w:p>
      <w:pPr>
        <w:pStyle w:val="Normal"/>
        <w:spacing w:before="20" w:after="40"/>
        <w:contextualSpacing/>
        <w:jc w:val="both"/>
        <w:rPr/>
      </w:pPr>
      <w:r>
        <w:rPr/>
        <w:t>Дополнительные сведения:</w:t>
      </w:r>
    </w:p>
    <w:p>
      <w:pPr>
        <w:pStyle w:val="Normal"/>
        <w:spacing w:before="20" w:after="40"/>
        <w:contextualSpacing/>
        <w:jc w:val="both"/>
        <w:rPr/>
      </w:pPr>
      <w:r>
        <w:rPr>
          <w:b/>
          <w:i/>
        </w:rPr>
        <w:t xml:space="preserve">Согласно критериям, приведенным в Кодексе корпоративного управления, рекомендованном к применению письмом Банка России от 10.04.2014 N 06-52/2463, все члены Совета директоров не являются независимыми. </w:t>
      </w:r>
    </w:p>
    <w:p>
      <w:pPr>
        <w:pStyle w:val="Normal"/>
        <w:spacing w:before="20" w:after="40"/>
        <w:contextualSpacing/>
        <w:jc w:val="both"/>
        <w:rPr/>
      </w:pPr>
      <w:r>
        <w:rPr>
          <w:b/>
          <w:i/>
        </w:rPr>
        <w:t>Состав Совета директоров ПАО «Камчатскэнерго»  избран Годовым заседанием Общего собрания акционеров 29.05.2025г. (Протокол № 1 от 30.05.2025 г.).</w:t>
      </w:r>
    </w:p>
    <w:p>
      <w:pPr>
        <w:pStyle w:val="Normal"/>
        <w:spacing w:before="20" w:after="40"/>
        <w:contextualSpacing/>
        <w:jc w:val="both"/>
        <w:rPr/>
      </w:pPr>
      <w:r>
        <w:rPr/>
      </w:r>
    </w:p>
    <w:p>
      <w:pPr>
        <w:pStyle w:val="Normal"/>
        <w:spacing w:before="20" w:after="40"/>
        <w:contextualSpacing/>
        <w:jc w:val="both"/>
        <w:rPr/>
      </w:pPr>
      <w:r>
        <w:rPr>
          <w:b/>
          <w:i/>
        </w:rPr>
        <w:t>Советом директоров ПАО «Камчатскэнерго» (Протокол № 1 от 26.06.2025г.) Председателем Совета директоров избран Малков Денис Александрович.</w:t>
      </w:r>
    </w:p>
    <w:p>
      <w:pPr>
        <w:pStyle w:val="2"/>
        <w:spacing w:before="240" w:after="40"/>
        <w:contextualSpacing/>
        <w:jc w:val="both"/>
        <w:rPr/>
      </w:pPr>
      <w:r>
        <w:rPr>
          <w:szCs w:val="22"/>
        </w:rPr>
        <w:t>2.1.2. Информация о единоличном исполнительном органе эмитента</w:t>
      </w:r>
    </w:p>
    <w:p>
      <w:pPr>
        <w:pStyle w:val="Normal"/>
        <w:spacing w:before="20" w:after="40"/>
        <w:contextualSpacing/>
        <w:jc w:val="both"/>
        <w:rPr/>
      </w:pPr>
      <w:r>
        <w:rPr/>
      </w:r>
    </w:p>
    <w:p>
      <w:pPr>
        <w:pStyle w:val="Normal"/>
        <w:spacing w:before="20" w:after="40"/>
        <w:contextualSpacing/>
        <w:jc w:val="both"/>
        <w:rPr/>
      </w:pPr>
      <w:r>
        <w:rPr/>
        <w:t>Фамилия, имя, отчество (последнее при наличии):</w:t>
      </w:r>
      <w:r>
        <w:rPr>
          <w:b/>
          <w:i/>
        </w:rPr>
        <w:t xml:space="preserve"> Новиков Алексей Николаевич</w:t>
      </w:r>
    </w:p>
    <w:p>
      <w:pPr>
        <w:pStyle w:val="Normal"/>
        <w:spacing w:before="20" w:after="40"/>
        <w:contextualSpacing/>
        <w:jc w:val="both"/>
        <w:rPr/>
      </w:pPr>
      <w:r>
        <w:rPr/>
        <w:t>Год рождения:</w:t>
      </w:r>
      <w:r>
        <w:rPr>
          <w:b/>
          <w:i/>
        </w:rPr>
        <w:t xml:space="preserve"> 1973</w:t>
      </w:r>
    </w:p>
    <w:p>
      <w:pPr>
        <w:pStyle w:val="ThinDelim"/>
        <w:spacing w:before="20" w:after="40"/>
        <w:contextualSpacing/>
        <w:jc w:val="both"/>
        <w:rPr/>
      </w:pPr>
      <w:r>
        <w:rPr/>
      </w:r>
    </w:p>
    <w:p>
      <w:pPr>
        <w:pStyle w:val="Normal"/>
        <w:spacing w:before="20" w:after="40"/>
        <w:contextualSpacing/>
        <w:jc w:val="both"/>
        <w:rPr/>
      </w:pPr>
      <w:r>
        <w:rPr/>
        <w:t>Cведения об уровне образования, квалификации, специальности:</w:t>
      </w:r>
    </w:p>
    <w:p>
      <w:pPr>
        <w:pStyle w:val="Normal"/>
        <w:spacing w:before="20" w:after="40"/>
        <w:contextualSpacing/>
        <w:jc w:val="both"/>
        <w:rPr/>
      </w:pPr>
      <w:r>
        <w:rPr>
          <w:b/>
          <w:i/>
        </w:rPr>
        <w:t>высшее специальное, специалист, инженер</w:t>
      </w:r>
    </w:p>
    <w:p>
      <w:pPr>
        <w:pStyle w:val="Normal"/>
        <w:spacing w:before="20" w:after="40"/>
        <w:contextualSpacing/>
        <w:jc w:val="both"/>
        <w:rPr/>
      </w:pPr>
      <w:r>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pPr>
        <w:pStyle w:val="ThinDelim"/>
        <w:spacing w:before="20" w:after="40"/>
        <w:contextualSpacing/>
        <w:jc w:val="both"/>
        <w:rPr>
          <w:b/>
          <w:bCs/>
        </w:rPr>
      </w:pPr>
      <w:r>
        <w:rPr>
          <w:b/>
          <w:bCs/>
        </w:rPr>
      </w:r>
    </w:p>
    <w:p>
      <w:pPr>
        <w:pStyle w:val="ThinDelim"/>
        <w:spacing w:before="20" w:after="40"/>
        <w:contextualSpacing/>
        <w:jc w:val="both"/>
        <w:rPr>
          <w:b/>
          <w:bCs/>
        </w:rPr>
      </w:pPr>
      <w:r>
        <w:rPr>
          <w:b/>
          <w:bCs/>
        </w:rPr>
      </w:r>
    </w:p>
    <w:tbl>
      <w:tblPr>
        <w:tblW w:w="9019" w:type="dxa"/>
        <w:jc w:val="left"/>
        <w:tblInd w:w="83" w:type="dxa"/>
        <w:tblLayout w:type="fixed"/>
        <w:tblCellMar>
          <w:top w:w="0" w:type="dxa"/>
          <w:left w:w="72" w:type="dxa"/>
          <w:bottom w:w="0" w:type="dxa"/>
          <w:right w:w="72" w:type="dxa"/>
        </w:tblCellMar>
        <w:tblLook w:noVBand="1" w:val="04a0" w:noHBand="0" w:lastColumn="0" w:firstColumn="1" w:lastRow="0" w:firstRow="1"/>
      </w:tblPr>
      <w:tblGrid>
        <w:gridCol w:w="1590"/>
        <w:gridCol w:w="1260"/>
        <w:gridCol w:w="2666"/>
        <w:gridCol w:w="3502"/>
      </w:tblGrid>
      <w:tr>
        <w:trPr/>
        <w:tc>
          <w:tcPr>
            <w:tcW w:w="2850"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Период</w:t>
            </w:r>
          </w:p>
        </w:tc>
        <w:tc>
          <w:tcPr>
            <w:tcW w:w="266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sz w:val="16"/>
                <w:szCs w:val="16"/>
              </w:rPr>
            </w:pPr>
            <w:r>
              <w:rPr>
                <w:b/>
                <w:bCs/>
                <w:i/>
                <w:iCs/>
                <w:sz w:val="16"/>
                <w:szCs w:val="16"/>
              </w:rPr>
              <w:t>Наименование организации</w:t>
            </w:r>
          </w:p>
        </w:tc>
        <w:tc>
          <w:tcPr>
            <w:tcW w:w="3502"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sz w:val="16"/>
                <w:szCs w:val="16"/>
              </w:rPr>
            </w:pPr>
            <w:r>
              <w:rPr>
                <w:b/>
                <w:bCs/>
                <w:i/>
                <w:iCs/>
                <w:sz w:val="16"/>
                <w:szCs w:val="16"/>
              </w:rPr>
              <w:t>Должность</w:t>
            </w:r>
          </w:p>
        </w:tc>
      </w:tr>
      <w:tr>
        <w:trPr/>
        <w:tc>
          <w:tcPr>
            <w:tcW w:w="159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с</w:t>
            </w:r>
          </w:p>
        </w:tc>
        <w:tc>
          <w:tcPr>
            <w:tcW w:w="126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w:t>
            </w:r>
          </w:p>
        </w:tc>
        <w:tc>
          <w:tcPr>
            <w:tcW w:w="2666"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b/>
                <w:bCs/>
                <w:i/>
                <w:i/>
                <w:iCs/>
                <w:sz w:val="16"/>
                <w:szCs w:val="16"/>
              </w:rPr>
            </w:pPr>
            <w:r>
              <w:rPr>
                <w:b/>
                <w:bCs/>
                <w:i/>
                <w:iCs/>
                <w:sz w:val="16"/>
                <w:szCs w:val="16"/>
              </w:rPr>
            </w:r>
          </w:p>
        </w:tc>
        <w:tc>
          <w:tcPr>
            <w:tcW w:w="3502"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b/>
                <w:bCs/>
                <w:i/>
                <w:i/>
                <w:iCs/>
                <w:sz w:val="16"/>
                <w:szCs w:val="16"/>
              </w:rPr>
            </w:pPr>
            <w:r>
              <w:rPr>
                <w:b/>
                <w:bCs/>
                <w:i/>
                <w:iCs/>
                <w:sz w:val="16"/>
                <w:szCs w:val="16"/>
              </w:rPr>
            </w:r>
          </w:p>
        </w:tc>
      </w:tr>
      <w:tr>
        <w:trPr/>
        <w:tc>
          <w:tcPr>
            <w:tcW w:w="159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03.2015</w:t>
            </w:r>
          </w:p>
        </w:tc>
        <w:tc>
          <w:tcPr>
            <w:tcW w:w="126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 н.в.</w:t>
            </w:r>
          </w:p>
        </w:tc>
        <w:tc>
          <w:tcPr>
            <w:tcW w:w="266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ПАО «Камчатскэнерго»</w:t>
            </w:r>
          </w:p>
        </w:tc>
        <w:tc>
          <w:tcPr>
            <w:tcW w:w="3502"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член Правления</w:t>
            </w:r>
          </w:p>
        </w:tc>
      </w:tr>
      <w:tr>
        <w:trPr/>
        <w:tc>
          <w:tcPr>
            <w:tcW w:w="159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11.2021</w:t>
            </w:r>
          </w:p>
        </w:tc>
        <w:tc>
          <w:tcPr>
            <w:tcW w:w="126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 н.в.</w:t>
            </w:r>
          </w:p>
        </w:tc>
        <w:tc>
          <w:tcPr>
            <w:tcW w:w="266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ПАО «Камчатскэнерго»</w:t>
            </w:r>
          </w:p>
        </w:tc>
        <w:tc>
          <w:tcPr>
            <w:tcW w:w="3502"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Генеральный директор</w:t>
            </w:r>
          </w:p>
        </w:tc>
      </w:tr>
      <w:tr>
        <w:trPr/>
        <w:tc>
          <w:tcPr>
            <w:tcW w:w="159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2022</w:t>
            </w:r>
          </w:p>
        </w:tc>
        <w:tc>
          <w:tcPr>
            <w:tcW w:w="126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 н.в.</w:t>
            </w:r>
          </w:p>
        </w:tc>
        <w:tc>
          <w:tcPr>
            <w:tcW w:w="266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ПАО «Камчатскэнерго»</w:t>
            </w:r>
          </w:p>
        </w:tc>
        <w:tc>
          <w:tcPr>
            <w:tcW w:w="3502"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член Совета директоров</w:t>
            </w:r>
          </w:p>
        </w:tc>
      </w:tr>
      <w:tr>
        <w:trPr/>
        <w:tc>
          <w:tcPr>
            <w:tcW w:w="1590"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05.2025</w:t>
            </w:r>
          </w:p>
        </w:tc>
        <w:tc>
          <w:tcPr>
            <w:tcW w:w="1260"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 н.в.</w:t>
            </w:r>
          </w:p>
        </w:tc>
        <w:tc>
          <w:tcPr>
            <w:tcW w:w="2666"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АО «ЮЭСК»</w:t>
            </w:r>
          </w:p>
        </w:tc>
        <w:tc>
          <w:tcPr>
            <w:tcW w:w="3502"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член Совета директоров</w:t>
            </w:r>
          </w:p>
        </w:tc>
      </w:tr>
    </w:tbl>
    <w:p>
      <w:pPr>
        <w:pStyle w:val="Normal"/>
        <w:jc w:val="both"/>
        <w:rPr/>
      </w:pPr>
      <w:r>
        <w:rPr/>
      </w:r>
    </w:p>
    <w:p>
      <w:pPr>
        <w:pStyle w:val="Normal"/>
        <w:spacing w:before="20" w:after="40"/>
        <w:contextualSpacing/>
        <w:jc w:val="both"/>
        <w:rPr/>
      </w:pPr>
      <w:r>
        <w:rPr/>
        <w:t>Доля участия лица в уставном капитале эмитента, %:</w:t>
      </w:r>
      <w:r>
        <w:rPr>
          <w:b/>
          <w:i/>
        </w:rPr>
        <w:t xml:space="preserve"> 0.000011</w:t>
      </w:r>
    </w:p>
    <w:p>
      <w:pPr>
        <w:pStyle w:val="Normal"/>
        <w:spacing w:before="20" w:after="40"/>
        <w:contextualSpacing/>
        <w:jc w:val="both"/>
        <w:rPr/>
      </w:pPr>
      <w:r>
        <w:rPr/>
        <w:t>Доля принадлежащих лицу обыкновенных акций эмитента, %:</w:t>
      </w:r>
      <w:r>
        <w:rPr>
          <w:b/>
          <w:i/>
        </w:rPr>
        <w:t xml:space="preserve"> 0</w:t>
      </w:r>
    </w:p>
    <w:p>
      <w:pPr>
        <w:pStyle w:val="ThinDelim"/>
        <w:spacing w:before="20" w:after="40"/>
        <w:contextualSpacing/>
        <w:jc w:val="both"/>
        <w:rPr/>
      </w:pPr>
      <w:r>
        <w:rPr/>
      </w:r>
    </w:p>
    <w:p>
      <w:pPr>
        <w:pStyle w:val="Default"/>
        <w:jc w:val="both"/>
        <w:rPr/>
      </w:pPr>
      <w:r>
        <w:rPr>
          <w:sz w:val="20"/>
        </w:rPr>
        <w:t xml:space="preserve">Количество акций Эмитента каждой категории (типа), которые могут быть приобретены лицом в результате конвертации принадлежащих ему ценных бумаг, конвертируемых в акции: </w:t>
      </w:r>
      <w:r>
        <w:rPr>
          <w:b/>
          <w:i/>
          <w:sz w:val="20"/>
        </w:rPr>
        <w:t xml:space="preserve">ценные бумаги, конвертируемые в акции, отсутствуют. </w:t>
      </w:r>
    </w:p>
    <w:p>
      <w:pPr>
        <w:pStyle w:val="Default"/>
        <w:jc w:val="both"/>
        <w:rPr/>
      </w:pPr>
      <w:r>
        <w:rPr>
          <w:sz w:val="20"/>
        </w:rPr>
        <w:t xml:space="preserve">Доля участия лица в уставном капитале подконтрольных Эмитенту организаций, имеющих для него существенное значение: </w:t>
      </w:r>
      <w:r>
        <w:rPr>
          <w:b/>
          <w:i/>
          <w:sz w:val="20"/>
        </w:rPr>
        <w:t xml:space="preserve">не имеет. </w:t>
      </w:r>
    </w:p>
    <w:p>
      <w:pPr>
        <w:pStyle w:val="Default"/>
        <w:jc w:val="both"/>
        <w:rPr/>
      </w:pPr>
      <w:r>
        <w:rPr>
          <w:sz w:val="20"/>
        </w:rPr>
        <w:t xml:space="preserve">Доля принадлежащих лицу обыкновенных акций подконтрольных Эмитенту акционерных обществ, имеющих для Эмитента существенное значение: </w:t>
      </w:r>
      <w:r>
        <w:rPr>
          <w:b/>
          <w:i/>
          <w:sz w:val="20"/>
        </w:rPr>
        <w:t xml:space="preserve">не имеет. </w:t>
      </w:r>
    </w:p>
    <w:p>
      <w:pPr>
        <w:pStyle w:val="Default"/>
        <w:jc w:val="both"/>
        <w:rPr/>
      </w:pPr>
      <w:r>
        <w:rPr>
          <w:sz w:val="20"/>
        </w:rPr>
        <w:t xml:space="preserve">Количество акций каждой категории (типа), подконтрольных Эмитенту акционерных обществ, имеющих для Эмитента существенное значение, которые могут быть приобретены лицом в результате конвертации принадлежащих ему ценных бумаг, конвертируемых в акции: </w:t>
      </w:r>
      <w:r>
        <w:rPr>
          <w:b/>
          <w:i/>
          <w:sz w:val="20"/>
        </w:rPr>
        <w:t xml:space="preserve">не имеет. </w:t>
      </w:r>
    </w:p>
    <w:p>
      <w:pPr>
        <w:pStyle w:val="Default"/>
        <w:jc w:val="both"/>
        <w:rPr/>
      </w:pPr>
      <w:r>
        <w:rPr>
          <w:sz w:val="20"/>
        </w:rPr>
        <w:t xml:space="preserve">Сведения о характере родственных связей (супруги, родители, дети, усыновители, усыновленные, родные братья и сестры, дедушки, бабушки, внуки) между лицом и членами совета директоров (наблюдательного совета), членами коллегиального исполнительного органа, лицом, занимающим должность (осуществляющим функции) единоличного исполнительного органа Эмитента: </w:t>
      </w:r>
      <w:r>
        <w:rPr>
          <w:b/>
          <w:i/>
          <w:sz w:val="20"/>
        </w:rPr>
        <w:t xml:space="preserve">указанных родственных связей нет. </w:t>
      </w:r>
    </w:p>
    <w:p>
      <w:pPr>
        <w:pStyle w:val="Default"/>
        <w:jc w:val="both"/>
        <w:rPr/>
      </w:pPr>
      <w:r>
        <w:rPr>
          <w:sz w:val="20"/>
        </w:rPr>
        <w:t xml:space="preserve">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уголовной ответственности (о наличии судимости) за преступления в сфере экономики и (или) за преступления против государственной власти: </w:t>
      </w:r>
      <w:r>
        <w:rPr>
          <w:b/>
          <w:i/>
          <w:sz w:val="20"/>
        </w:rPr>
        <w:t xml:space="preserve">лицо к указанным видам ответственности не привлекалось. </w:t>
      </w:r>
    </w:p>
    <w:p>
      <w:pPr>
        <w:pStyle w:val="Default"/>
        <w:jc w:val="both"/>
        <w:rPr/>
      </w:pPr>
      <w:r>
        <w:rPr>
          <w:sz w:val="20"/>
        </w:rPr>
        <w:t xml:space="preserve">Сведения о занятии лицом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статьей 27 Федерального закона «О несостоятельности (банкротстве)»: </w:t>
      </w:r>
      <w:r>
        <w:rPr>
          <w:b/>
          <w:i/>
          <w:sz w:val="20"/>
        </w:rPr>
        <w:t>лицо указанных должностей не занимало</w:t>
      </w:r>
      <w:r>
        <w:rPr>
          <w:sz w:val="20"/>
        </w:rPr>
        <w:t>. Сведения об участии в работе комитетов совета директоров (наблюдательного совета)</w:t>
      </w:r>
    </w:p>
    <w:p>
      <w:pPr>
        <w:pStyle w:val="Normal"/>
        <w:spacing w:before="20" w:after="40"/>
        <w:contextualSpacing/>
        <w:jc w:val="both"/>
        <w:rPr/>
      </w:pPr>
      <w:r>
        <w:rPr>
          <w:b/>
          <w:i/>
        </w:rPr>
        <w:t>Член совета директоров (наблюдательного совета) не участвует в работе комитетов совета директоров (наблюдательного совета).</w:t>
      </w:r>
    </w:p>
    <w:p>
      <w:pPr>
        <w:pStyle w:val="Normal"/>
        <w:spacing w:before="20" w:after="40"/>
        <w:contextualSpacing/>
        <w:jc w:val="both"/>
        <w:rPr/>
      </w:pPr>
      <w:r>
        <w:rPr/>
      </w:r>
    </w:p>
    <w:p>
      <w:pPr>
        <w:pStyle w:val="2"/>
        <w:spacing w:before="240" w:after="40"/>
        <w:contextualSpacing/>
        <w:jc w:val="both"/>
        <w:rPr/>
      </w:pPr>
      <w:r>
        <w:rPr/>
        <w:t>2.1.3. Состав коллегиального исполнительного органа эмитента</w:t>
      </w:r>
    </w:p>
    <w:p>
      <w:pPr>
        <w:pStyle w:val="Normal"/>
        <w:spacing w:before="20" w:after="40"/>
        <w:contextualSpacing/>
        <w:jc w:val="both"/>
        <w:rPr/>
      </w:pPr>
      <w:r>
        <w:rPr/>
      </w:r>
    </w:p>
    <w:p>
      <w:pPr>
        <w:pStyle w:val="Normal"/>
        <w:spacing w:before="20" w:after="40"/>
        <w:contextualSpacing/>
        <w:jc w:val="both"/>
        <w:rPr/>
      </w:pPr>
      <w:r>
        <w:rPr/>
        <w:t>Фамилия, имя, отчество (последнее при наличии):</w:t>
      </w:r>
      <w:r>
        <w:rPr>
          <w:b/>
          <w:i/>
        </w:rPr>
        <w:t xml:space="preserve"> Новиков Алексей Николаевич</w:t>
      </w:r>
    </w:p>
    <w:p>
      <w:pPr>
        <w:pStyle w:val="Normal"/>
        <w:spacing w:before="20" w:after="40"/>
        <w:contextualSpacing/>
        <w:jc w:val="both"/>
        <w:rPr/>
      </w:pPr>
      <w:r>
        <w:rPr/>
        <w:t>Год рождения:</w:t>
      </w:r>
      <w:r>
        <w:rPr>
          <w:b/>
          <w:i/>
        </w:rPr>
        <w:t xml:space="preserve"> 1973</w:t>
      </w:r>
    </w:p>
    <w:p>
      <w:pPr>
        <w:pStyle w:val="ThinDelim"/>
        <w:spacing w:before="20" w:after="40"/>
        <w:contextualSpacing/>
        <w:jc w:val="both"/>
        <w:rPr/>
      </w:pPr>
      <w:r>
        <w:rPr/>
      </w:r>
    </w:p>
    <w:p>
      <w:pPr>
        <w:pStyle w:val="Normal"/>
        <w:spacing w:before="20" w:after="40"/>
        <w:contextualSpacing/>
        <w:jc w:val="both"/>
        <w:rPr/>
      </w:pPr>
      <w:r>
        <w:rPr/>
        <w:t>Cведения об уровне образования, квалификации, специальности:</w:t>
      </w:r>
    </w:p>
    <w:p>
      <w:pPr>
        <w:pStyle w:val="Normal"/>
        <w:spacing w:before="20" w:after="40"/>
        <w:contextualSpacing/>
        <w:jc w:val="both"/>
        <w:rPr/>
      </w:pPr>
      <w:r>
        <w:rPr>
          <w:b/>
          <w:i/>
        </w:rPr>
        <w:t>высшее специальное, специалист, инженер</w:t>
      </w:r>
    </w:p>
    <w:p>
      <w:pPr>
        <w:pStyle w:val="Normal"/>
        <w:spacing w:before="20" w:after="40"/>
        <w:contextualSpacing/>
        <w:jc w:val="both"/>
        <w:rPr/>
      </w:pPr>
      <w:r>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pPr>
        <w:pStyle w:val="ThinDelim"/>
        <w:spacing w:before="20" w:after="40"/>
        <w:contextualSpacing/>
        <w:jc w:val="both"/>
        <w:rPr>
          <w:b/>
          <w:bCs/>
        </w:rPr>
      </w:pPr>
      <w:r>
        <w:rPr>
          <w:b/>
          <w:bCs/>
        </w:rPr>
      </w:r>
    </w:p>
    <w:tbl>
      <w:tblPr>
        <w:tblW w:w="9019" w:type="dxa"/>
        <w:jc w:val="left"/>
        <w:tblInd w:w="83" w:type="dxa"/>
        <w:tblLayout w:type="fixed"/>
        <w:tblCellMar>
          <w:top w:w="0" w:type="dxa"/>
          <w:left w:w="72" w:type="dxa"/>
          <w:bottom w:w="0" w:type="dxa"/>
          <w:right w:w="72" w:type="dxa"/>
        </w:tblCellMar>
        <w:tblLook w:noVBand="1" w:val="04a0" w:noHBand="0" w:lastColumn="0" w:firstColumn="1" w:lastRow="0" w:firstRow="1"/>
      </w:tblPr>
      <w:tblGrid>
        <w:gridCol w:w="1590"/>
        <w:gridCol w:w="1260"/>
        <w:gridCol w:w="2666"/>
        <w:gridCol w:w="3502"/>
      </w:tblGrid>
      <w:tr>
        <w:trPr/>
        <w:tc>
          <w:tcPr>
            <w:tcW w:w="2850"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Период</w:t>
            </w:r>
          </w:p>
        </w:tc>
        <w:tc>
          <w:tcPr>
            <w:tcW w:w="266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sz w:val="16"/>
                <w:szCs w:val="16"/>
              </w:rPr>
            </w:pPr>
            <w:r>
              <w:rPr>
                <w:b/>
                <w:bCs/>
                <w:i/>
                <w:iCs/>
                <w:sz w:val="16"/>
                <w:szCs w:val="16"/>
              </w:rPr>
              <w:t>Наименование организации</w:t>
            </w:r>
          </w:p>
        </w:tc>
        <w:tc>
          <w:tcPr>
            <w:tcW w:w="3502"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sz w:val="16"/>
                <w:szCs w:val="16"/>
              </w:rPr>
            </w:pPr>
            <w:r>
              <w:rPr>
                <w:b/>
                <w:bCs/>
                <w:i/>
                <w:iCs/>
                <w:sz w:val="16"/>
                <w:szCs w:val="16"/>
              </w:rPr>
              <w:t>Должность</w:t>
            </w:r>
          </w:p>
        </w:tc>
      </w:tr>
      <w:tr>
        <w:trPr/>
        <w:tc>
          <w:tcPr>
            <w:tcW w:w="159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с</w:t>
            </w:r>
          </w:p>
        </w:tc>
        <w:tc>
          <w:tcPr>
            <w:tcW w:w="126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w:t>
            </w:r>
          </w:p>
        </w:tc>
        <w:tc>
          <w:tcPr>
            <w:tcW w:w="2666"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b/>
                <w:bCs/>
                <w:i/>
                <w:i/>
                <w:iCs/>
                <w:sz w:val="16"/>
                <w:szCs w:val="16"/>
              </w:rPr>
            </w:pPr>
            <w:r>
              <w:rPr>
                <w:b/>
                <w:bCs/>
                <w:i/>
                <w:iCs/>
                <w:sz w:val="16"/>
                <w:szCs w:val="16"/>
              </w:rPr>
            </w:r>
          </w:p>
        </w:tc>
        <w:tc>
          <w:tcPr>
            <w:tcW w:w="3502"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b/>
                <w:bCs/>
                <w:i/>
                <w:i/>
                <w:iCs/>
                <w:sz w:val="16"/>
                <w:szCs w:val="16"/>
              </w:rPr>
            </w:pPr>
            <w:r>
              <w:rPr>
                <w:b/>
                <w:bCs/>
                <w:i/>
                <w:iCs/>
                <w:sz w:val="16"/>
                <w:szCs w:val="16"/>
              </w:rPr>
            </w:r>
          </w:p>
        </w:tc>
      </w:tr>
      <w:tr>
        <w:trPr/>
        <w:tc>
          <w:tcPr>
            <w:tcW w:w="159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03.2015</w:t>
            </w:r>
          </w:p>
        </w:tc>
        <w:tc>
          <w:tcPr>
            <w:tcW w:w="126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 н.в.</w:t>
            </w:r>
          </w:p>
        </w:tc>
        <w:tc>
          <w:tcPr>
            <w:tcW w:w="266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ПАО «Камчатскэнерго»</w:t>
            </w:r>
          </w:p>
        </w:tc>
        <w:tc>
          <w:tcPr>
            <w:tcW w:w="3502"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член Правления</w:t>
            </w:r>
          </w:p>
        </w:tc>
      </w:tr>
      <w:tr>
        <w:trPr/>
        <w:tc>
          <w:tcPr>
            <w:tcW w:w="159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11.2021</w:t>
            </w:r>
          </w:p>
        </w:tc>
        <w:tc>
          <w:tcPr>
            <w:tcW w:w="126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 н.в.</w:t>
            </w:r>
          </w:p>
        </w:tc>
        <w:tc>
          <w:tcPr>
            <w:tcW w:w="266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ПАО «Камчатскэнерго»</w:t>
            </w:r>
          </w:p>
        </w:tc>
        <w:tc>
          <w:tcPr>
            <w:tcW w:w="3502"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Генеральный директор</w:t>
            </w:r>
          </w:p>
        </w:tc>
      </w:tr>
      <w:tr>
        <w:trPr/>
        <w:tc>
          <w:tcPr>
            <w:tcW w:w="159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2022</w:t>
            </w:r>
          </w:p>
        </w:tc>
        <w:tc>
          <w:tcPr>
            <w:tcW w:w="126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 н.в.</w:t>
            </w:r>
          </w:p>
        </w:tc>
        <w:tc>
          <w:tcPr>
            <w:tcW w:w="266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ПАО «Камчатскэнерго»</w:t>
            </w:r>
          </w:p>
        </w:tc>
        <w:tc>
          <w:tcPr>
            <w:tcW w:w="3502"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член Совета директоров</w:t>
            </w:r>
          </w:p>
        </w:tc>
      </w:tr>
      <w:tr>
        <w:trPr/>
        <w:tc>
          <w:tcPr>
            <w:tcW w:w="1590"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05.2025</w:t>
            </w:r>
          </w:p>
        </w:tc>
        <w:tc>
          <w:tcPr>
            <w:tcW w:w="1260"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 н.в.</w:t>
            </w:r>
          </w:p>
        </w:tc>
        <w:tc>
          <w:tcPr>
            <w:tcW w:w="2666"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АО «ЮЭСК»</w:t>
            </w:r>
          </w:p>
        </w:tc>
        <w:tc>
          <w:tcPr>
            <w:tcW w:w="3502" w:type="dxa"/>
            <w:tcBorders>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член Совета директоров</w:t>
            </w:r>
          </w:p>
        </w:tc>
      </w:tr>
    </w:tbl>
    <w:p>
      <w:pPr>
        <w:pStyle w:val="Normal"/>
        <w:jc w:val="both"/>
        <w:rPr/>
      </w:pPr>
      <w:r>
        <w:rPr/>
      </w:r>
    </w:p>
    <w:p>
      <w:pPr>
        <w:pStyle w:val="Normal"/>
        <w:spacing w:before="20" w:after="40"/>
        <w:contextualSpacing/>
        <w:jc w:val="both"/>
        <w:rPr/>
      </w:pPr>
      <w:r>
        <w:rPr/>
        <w:t>Доля участия лица в уставном капитале эмитента, %:</w:t>
      </w:r>
      <w:r>
        <w:rPr>
          <w:b/>
          <w:i/>
        </w:rPr>
        <w:t xml:space="preserve"> 0.000011</w:t>
      </w:r>
    </w:p>
    <w:p>
      <w:pPr>
        <w:pStyle w:val="Normal"/>
        <w:spacing w:before="20" w:after="40"/>
        <w:contextualSpacing/>
        <w:jc w:val="both"/>
        <w:rPr/>
      </w:pPr>
      <w:r>
        <w:rPr/>
        <w:t>Доля принадлежащих лицу обыкновенных акций эмитента, %:</w:t>
      </w:r>
      <w:r>
        <w:rPr>
          <w:b/>
          <w:i/>
        </w:rPr>
        <w:t xml:space="preserve"> 0</w:t>
      </w:r>
    </w:p>
    <w:p>
      <w:pPr>
        <w:pStyle w:val="ThinDelim"/>
        <w:spacing w:before="20" w:after="40"/>
        <w:contextualSpacing/>
        <w:jc w:val="both"/>
        <w:rPr/>
      </w:pPr>
      <w:r>
        <w:rPr/>
      </w:r>
    </w:p>
    <w:p>
      <w:pPr>
        <w:pStyle w:val="Default"/>
        <w:jc w:val="both"/>
        <w:rPr/>
      </w:pPr>
      <w:r>
        <w:rPr>
          <w:sz w:val="20"/>
        </w:rPr>
        <w:t xml:space="preserve">Количество акций Эмитента каждой категории (типа), которые могут быть приобретены лицом в результате конвертации принадлежащих ему ценных бумаг, конвертируемых в акции: </w:t>
      </w:r>
      <w:r>
        <w:rPr>
          <w:b/>
          <w:i/>
          <w:sz w:val="20"/>
        </w:rPr>
        <w:t xml:space="preserve">ценные бумаги, конвертируемые в акции, отсутствуют. </w:t>
      </w:r>
    </w:p>
    <w:p>
      <w:pPr>
        <w:pStyle w:val="Default"/>
        <w:jc w:val="both"/>
        <w:rPr/>
      </w:pPr>
      <w:r>
        <w:rPr>
          <w:sz w:val="20"/>
        </w:rPr>
        <w:t xml:space="preserve">Доля участия лица в уставном капитале подконтрольных Эмитенту организаций, имеющих для него существенное значение: </w:t>
      </w:r>
      <w:r>
        <w:rPr>
          <w:b/>
          <w:i/>
          <w:sz w:val="20"/>
        </w:rPr>
        <w:t xml:space="preserve">не имеет. </w:t>
      </w:r>
    </w:p>
    <w:p>
      <w:pPr>
        <w:pStyle w:val="Default"/>
        <w:jc w:val="both"/>
        <w:rPr/>
      </w:pPr>
      <w:r>
        <w:rPr>
          <w:sz w:val="20"/>
        </w:rPr>
        <w:t xml:space="preserve">Доля принадлежащих лицу обыкновенных акций подконтрольных Эмитенту акционерных обществ, имеющих для Эмитента существенное значение: </w:t>
      </w:r>
      <w:r>
        <w:rPr>
          <w:b/>
          <w:i/>
          <w:sz w:val="20"/>
        </w:rPr>
        <w:t xml:space="preserve">не имеет. </w:t>
      </w:r>
    </w:p>
    <w:p>
      <w:pPr>
        <w:pStyle w:val="Default"/>
        <w:jc w:val="both"/>
        <w:rPr/>
      </w:pPr>
      <w:r>
        <w:rPr>
          <w:sz w:val="20"/>
        </w:rPr>
        <w:t xml:space="preserve">Количество акций каждой категории (типа), подконтрольных Эмитенту акционерных обществ, имеющих для Эмитента существенное значение, которые могут быть приобретены лицом в результате конвертации принадлежащих ему ценных бумаг, конвертируемых в акции: </w:t>
      </w:r>
      <w:r>
        <w:rPr>
          <w:b/>
          <w:i/>
          <w:sz w:val="20"/>
        </w:rPr>
        <w:t xml:space="preserve">не имеет. </w:t>
      </w:r>
    </w:p>
    <w:p>
      <w:pPr>
        <w:pStyle w:val="Default"/>
        <w:jc w:val="both"/>
        <w:rPr/>
      </w:pPr>
      <w:r>
        <w:rPr>
          <w:sz w:val="20"/>
        </w:rPr>
        <w:t xml:space="preserve">Сведения о характере родственных связей (супруги, родители, дети, усыновители, усыновленные, родные братья и сестры, дедушки, бабушки, внуки) между лицом и членами совета директоров (наблюдательного совета), членами коллегиального исполнительного органа, лицом, занимающим должность (осуществляющим функции) единоличного исполнительного органа Эмитента: </w:t>
      </w:r>
      <w:r>
        <w:rPr>
          <w:b/>
          <w:i/>
          <w:sz w:val="20"/>
        </w:rPr>
        <w:t xml:space="preserve">указанных родственных связей нет. </w:t>
      </w:r>
    </w:p>
    <w:p>
      <w:pPr>
        <w:pStyle w:val="Default"/>
        <w:jc w:val="both"/>
        <w:rPr/>
      </w:pPr>
      <w:r>
        <w:rPr>
          <w:sz w:val="20"/>
        </w:rPr>
        <w:t xml:space="preserve">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уголовной ответственности (о наличии судимости) за преступления в сфере экономики и (или) за преступления против государственной власти: </w:t>
      </w:r>
      <w:r>
        <w:rPr>
          <w:b/>
          <w:i/>
          <w:sz w:val="20"/>
        </w:rPr>
        <w:t xml:space="preserve">лицо к указанным видам ответственности не привлекалось. </w:t>
      </w:r>
    </w:p>
    <w:p>
      <w:pPr>
        <w:pStyle w:val="Default"/>
        <w:jc w:val="both"/>
        <w:rPr/>
      </w:pPr>
      <w:r>
        <w:rPr>
          <w:sz w:val="20"/>
        </w:rPr>
        <w:t xml:space="preserve">Сведения о занятии лицом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статьей 27 Федерального закона «О несостоятельности (банкротстве)»: </w:t>
      </w:r>
      <w:r>
        <w:rPr>
          <w:b/>
          <w:i/>
          <w:sz w:val="20"/>
        </w:rPr>
        <w:t>лицо указанных должностей не занимало</w:t>
      </w:r>
      <w:r>
        <w:rPr>
          <w:sz w:val="20"/>
        </w:rPr>
        <w:t xml:space="preserve">. </w:t>
      </w:r>
    </w:p>
    <w:p>
      <w:pPr>
        <w:pStyle w:val="Normal"/>
        <w:spacing w:before="20" w:after="40"/>
        <w:contextualSpacing/>
        <w:jc w:val="both"/>
        <w:rPr/>
      </w:pPr>
      <w:r>
        <w:rPr/>
      </w:r>
    </w:p>
    <w:p>
      <w:pPr>
        <w:pStyle w:val="Normal"/>
        <w:spacing w:before="20" w:after="40"/>
        <w:contextualSpacing/>
        <w:jc w:val="both"/>
        <w:rPr/>
      </w:pPr>
      <w:r>
        <w:rPr/>
      </w:r>
    </w:p>
    <w:p>
      <w:pPr>
        <w:pStyle w:val="Normal"/>
        <w:spacing w:before="20" w:after="40"/>
        <w:contextualSpacing/>
        <w:jc w:val="both"/>
        <w:rPr/>
      </w:pPr>
      <w:r>
        <w:rPr/>
        <w:t>Фамилия, имя, отчество (последнее при наличии):</w:t>
      </w:r>
      <w:r>
        <w:rPr>
          <w:b/>
          <w:i/>
        </w:rPr>
        <w:t xml:space="preserve"> Миронов Сергей Олегович</w:t>
      </w:r>
    </w:p>
    <w:p>
      <w:pPr>
        <w:pStyle w:val="Normal"/>
        <w:spacing w:before="20" w:after="40"/>
        <w:contextualSpacing/>
        <w:jc w:val="both"/>
        <w:rPr/>
      </w:pPr>
      <w:r>
        <w:rPr/>
        <w:t>Год рождения:</w:t>
      </w:r>
      <w:r>
        <w:rPr>
          <w:b/>
          <w:i/>
        </w:rPr>
        <w:t xml:space="preserve"> 1963</w:t>
      </w:r>
    </w:p>
    <w:p>
      <w:pPr>
        <w:pStyle w:val="ThinDelim"/>
        <w:spacing w:before="20" w:after="40"/>
        <w:contextualSpacing/>
        <w:jc w:val="both"/>
        <w:rPr/>
      </w:pPr>
      <w:r>
        <w:rPr/>
      </w:r>
    </w:p>
    <w:p>
      <w:pPr>
        <w:pStyle w:val="Normal"/>
        <w:spacing w:before="20" w:after="40"/>
        <w:contextualSpacing/>
        <w:jc w:val="both"/>
        <w:rPr/>
      </w:pPr>
      <w:r>
        <w:rPr/>
        <w:t>Cведения об уровне образования, квалификации, специальности:</w:t>
      </w:r>
    </w:p>
    <w:p>
      <w:pPr>
        <w:pStyle w:val="Normal"/>
        <w:spacing w:before="20" w:after="40"/>
        <w:contextualSpacing/>
        <w:jc w:val="both"/>
        <w:rPr/>
      </w:pPr>
      <w:r>
        <w:rPr>
          <w:b/>
          <w:i/>
        </w:rPr>
        <w:t>высшее профессиональное, специалист, связь</w:t>
      </w:r>
    </w:p>
    <w:p>
      <w:pPr>
        <w:pStyle w:val="Normal"/>
        <w:spacing w:before="20" w:after="40"/>
        <w:contextualSpacing/>
        <w:jc w:val="both"/>
        <w:rPr/>
      </w:pPr>
      <w:r>
        <w:rPr/>
      </w:r>
    </w:p>
    <w:p>
      <w:pPr>
        <w:pStyle w:val="Normal"/>
        <w:spacing w:before="20" w:after="40"/>
        <w:contextualSpacing/>
        <w:jc w:val="both"/>
        <w:rPr/>
      </w:pPr>
      <w:r>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pPr>
        <w:pStyle w:val="ThinDelim"/>
        <w:spacing w:before="20" w:after="40"/>
        <w:contextualSpacing/>
        <w:jc w:val="both"/>
        <w:rPr>
          <w:b/>
          <w:bCs/>
        </w:rPr>
      </w:pPr>
      <w:r>
        <w:rPr>
          <w:b/>
          <w:bCs/>
        </w:rPr>
      </w:r>
    </w:p>
    <w:p>
      <w:pPr>
        <w:pStyle w:val="ThinDelim"/>
        <w:spacing w:before="20" w:after="40"/>
        <w:contextualSpacing/>
        <w:jc w:val="both"/>
        <w:rPr>
          <w:b/>
          <w:bCs/>
        </w:rPr>
      </w:pPr>
      <w:r>
        <w:rPr>
          <w:b/>
          <w:bCs/>
        </w:rPr>
      </w:r>
    </w:p>
    <w:p>
      <w:pPr>
        <w:pStyle w:val="ThinDelim"/>
        <w:spacing w:before="20" w:after="40"/>
        <w:contextualSpacing/>
        <w:jc w:val="both"/>
        <w:rPr>
          <w:b/>
          <w:bCs/>
        </w:rPr>
      </w:pPr>
      <w:r>
        <w:rPr>
          <w:b/>
          <w:bCs/>
        </w:rPr>
      </w:r>
    </w:p>
    <w:tbl>
      <w:tblPr>
        <w:tblW w:w="8955" w:type="dxa"/>
        <w:jc w:val="left"/>
        <w:tblInd w:w="135" w:type="dxa"/>
        <w:tblLayout w:type="fixed"/>
        <w:tblCellMar>
          <w:top w:w="0" w:type="dxa"/>
          <w:left w:w="72" w:type="dxa"/>
          <w:bottom w:w="0" w:type="dxa"/>
          <w:right w:w="72" w:type="dxa"/>
        </w:tblCellMar>
        <w:tblLook w:noVBand="1" w:val="04a0" w:noHBand="0" w:lastColumn="0" w:firstColumn="1" w:lastRow="0" w:firstRow="1"/>
      </w:tblPr>
      <w:tblGrid>
        <w:gridCol w:w="1470"/>
        <w:gridCol w:w="974"/>
        <w:gridCol w:w="3106"/>
        <w:gridCol w:w="3404"/>
      </w:tblGrid>
      <w:tr>
        <w:trPr/>
        <w:tc>
          <w:tcPr>
            <w:tcW w:w="2444"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Период</w:t>
            </w:r>
          </w:p>
        </w:tc>
        <w:tc>
          <w:tcPr>
            <w:tcW w:w="310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sz w:val="16"/>
                <w:szCs w:val="16"/>
              </w:rPr>
            </w:pPr>
            <w:r>
              <w:rPr>
                <w:b/>
                <w:bCs/>
                <w:i/>
                <w:iCs/>
                <w:sz w:val="16"/>
                <w:szCs w:val="16"/>
              </w:rPr>
              <w:t>Наименование организации</w:t>
            </w:r>
          </w:p>
        </w:tc>
        <w:tc>
          <w:tcPr>
            <w:tcW w:w="3404"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sz w:val="16"/>
                <w:szCs w:val="16"/>
              </w:rPr>
            </w:pPr>
            <w:r>
              <w:rPr>
                <w:b/>
                <w:bCs/>
                <w:i/>
                <w:iCs/>
                <w:sz w:val="16"/>
                <w:szCs w:val="16"/>
              </w:rPr>
              <w:t>Должность</w:t>
            </w:r>
          </w:p>
        </w:tc>
      </w:tr>
      <w:tr>
        <w:trPr/>
        <w:tc>
          <w:tcPr>
            <w:tcW w:w="147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с</w:t>
            </w:r>
          </w:p>
        </w:tc>
        <w:tc>
          <w:tcPr>
            <w:tcW w:w="974"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w:t>
            </w:r>
          </w:p>
        </w:tc>
        <w:tc>
          <w:tcPr>
            <w:tcW w:w="3106"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b/>
                <w:bCs/>
                <w:i/>
                <w:i/>
                <w:iCs/>
                <w:sz w:val="16"/>
                <w:szCs w:val="16"/>
              </w:rPr>
            </w:pPr>
            <w:r>
              <w:rPr>
                <w:b/>
                <w:bCs/>
                <w:i/>
                <w:iCs/>
                <w:sz w:val="16"/>
                <w:szCs w:val="16"/>
              </w:rPr>
            </w:r>
          </w:p>
        </w:tc>
        <w:tc>
          <w:tcPr>
            <w:tcW w:w="3404"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b/>
                <w:bCs/>
                <w:i/>
                <w:i/>
                <w:iCs/>
                <w:sz w:val="16"/>
                <w:szCs w:val="16"/>
              </w:rPr>
            </w:pPr>
            <w:r>
              <w:rPr>
                <w:b/>
                <w:bCs/>
                <w:i/>
                <w:iCs/>
                <w:sz w:val="16"/>
                <w:szCs w:val="16"/>
              </w:rPr>
            </w:r>
          </w:p>
        </w:tc>
      </w:tr>
      <w:tr>
        <w:trPr/>
        <w:tc>
          <w:tcPr>
            <w:tcW w:w="147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2009</w:t>
            </w:r>
          </w:p>
        </w:tc>
        <w:tc>
          <w:tcPr>
            <w:tcW w:w="974"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по н.в.</w:t>
            </w:r>
          </w:p>
        </w:tc>
        <w:tc>
          <w:tcPr>
            <w:tcW w:w="310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ПАО «Камчатскэнерго»</w:t>
            </w:r>
          </w:p>
        </w:tc>
        <w:tc>
          <w:tcPr>
            <w:tcW w:w="3404"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Заместитель генерального директора по безопасности</w:t>
            </w:r>
          </w:p>
        </w:tc>
      </w:tr>
      <w:tr>
        <w:trPr/>
        <w:tc>
          <w:tcPr>
            <w:tcW w:w="147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2014</w:t>
            </w:r>
          </w:p>
        </w:tc>
        <w:tc>
          <w:tcPr>
            <w:tcW w:w="974"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по н.в.</w:t>
            </w:r>
          </w:p>
        </w:tc>
        <w:tc>
          <w:tcPr>
            <w:tcW w:w="310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ПАО «Камчатскэнерго»</w:t>
            </w:r>
          </w:p>
        </w:tc>
        <w:tc>
          <w:tcPr>
            <w:tcW w:w="3404"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член Правления</w:t>
            </w:r>
          </w:p>
        </w:tc>
      </w:tr>
    </w:tbl>
    <w:p>
      <w:pPr>
        <w:pStyle w:val="ThinDelim"/>
        <w:spacing w:before="20" w:after="40"/>
        <w:contextualSpacing/>
        <w:jc w:val="both"/>
        <w:rPr>
          <w:b/>
          <w:bCs/>
        </w:rPr>
      </w:pPr>
      <w:r>
        <w:rPr>
          <w:b/>
          <w:bCs/>
        </w:rPr>
      </w:r>
    </w:p>
    <w:p>
      <w:pPr>
        <w:pStyle w:val="Normal"/>
        <w:jc w:val="both"/>
        <w:rPr/>
      </w:pPr>
      <w:r>
        <w:rPr>
          <w:sz w:val="20"/>
        </w:rPr>
        <w:t xml:space="preserve">Доля участия лица в уставном капитале Эмитента, %: </w:t>
      </w:r>
      <w:r>
        <w:rPr>
          <w:b/>
          <w:i/>
          <w:sz w:val="20"/>
        </w:rPr>
        <w:t xml:space="preserve">не имеет. </w:t>
      </w:r>
    </w:p>
    <w:p>
      <w:pPr>
        <w:pStyle w:val="Normal"/>
        <w:jc w:val="both"/>
        <w:rPr/>
      </w:pPr>
      <w:r>
        <w:rPr>
          <w:sz w:val="20"/>
        </w:rPr>
        <w:t xml:space="preserve">Доля принадлежащих лицу обыкновенных акций Эмитента, %: </w:t>
      </w:r>
      <w:r>
        <w:rPr>
          <w:b/>
          <w:i/>
          <w:sz w:val="20"/>
        </w:rPr>
        <w:t xml:space="preserve">не имеет. </w:t>
      </w:r>
    </w:p>
    <w:p>
      <w:pPr>
        <w:pStyle w:val="Normal"/>
        <w:jc w:val="both"/>
        <w:rPr/>
      </w:pPr>
      <w:r>
        <w:rPr>
          <w:sz w:val="20"/>
        </w:rPr>
        <w:t xml:space="preserve">Количество акций Эмитента каждой категории (типа), которые могут быть приобретены лицом в результате конвертации принадлежащих ему ценных бумаг, конвертируемых в акции: </w:t>
      </w:r>
      <w:r>
        <w:rPr>
          <w:b/>
          <w:i/>
          <w:sz w:val="20"/>
        </w:rPr>
        <w:t xml:space="preserve">ценные бумаги, конвертируемые в акции, отсутствуют. </w:t>
      </w:r>
    </w:p>
    <w:p>
      <w:pPr>
        <w:pStyle w:val="Normal"/>
        <w:jc w:val="both"/>
        <w:rPr/>
      </w:pPr>
      <w:r>
        <w:rPr>
          <w:sz w:val="20"/>
        </w:rPr>
        <w:t xml:space="preserve">Доля участия лица в уставном капитале подконтрольных Эмитенту организаций, имеющих для него существенное значение: </w:t>
      </w:r>
      <w:r>
        <w:rPr>
          <w:b/>
          <w:i/>
          <w:sz w:val="20"/>
        </w:rPr>
        <w:t xml:space="preserve">не имеет. </w:t>
      </w:r>
    </w:p>
    <w:p>
      <w:pPr>
        <w:pStyle w:val="Normal"/>
        <w:jc w:val="both"/>
        <w:rPr/>
      </w:pPr>
      <w:r>
        <w:rPr>
          <w:sz w:val="20"/>
        </w:rPr>
        <w:t xml:space="preserve">Доля принадлежащих лицу обыкновенных акций подконтрольных Эмитенту акционерных обществ, имеющих для Эмитента существенное значение: </w:t>
      </w:r>
      <w:r>
        <w:rPr>
          <w:b/>
          <w:i/>
          <w:sz w:val="20"/>
        </w:rPr>
        <w:t xml:space="preserve">не имеет. </w:t>
      </w:r>
    </w:p>
    <w:p>
      <w:pPr>
        <w:pStyle w:val="Normal"/>
        <w:jc w:val="both"/>
        <w:rPr/>
      </w:pPr>
      <w:r>
        <w:rPr>
          <w:sz w:val="20"/>
        </w:rPr>
        <w:t xml:space="preserve">Количество акций каждой категории (типа), подконтрольных Эмитенту акционерных обществ, имеющих для Эмитента существенное значение, которые могут быть приобретены лицом в результате конвертации принадлежащих ему ценных бумаг, конвертируемых в акции: </w:t>
      </w:r>
      <w:r>
        <w:rPr>
          <w:b/>
          <w:i/>
          <w:sz w:val="20"/>
        </w:rPr>
        <w:t xml:space="preserve">не имеет. </w:t>
      </w:r>
    </w:p>
    <w:p>
      <w:pPr>
        <w:pStyle w:val="Normal"/>
        <w:jc w:val="both"/>
        <w:rPr/>
      </w:pPr>
      <w:r>
        <w:rPr>
          <w:sz w:val="20"/>
        </w:rPr>
        <w:t xml:space="preserve">Сведения о характере родственных связей (супруги, родители, дети, усыновители, усыновленные, родные братья и сестры, дедушки, бабушки, внуки) между лицом и членами совета директоров (наблюдательного совета), членами коллегиального исполнительного органа, лицом, занимающим должность (осуществляющим функции) единоличного исполнительного органа Эмитента: </w:t>
      </w:r>
      <w:r>
        <w:rPr>
          <w:b/>
          <w:i/>
          <w:sz w:val="20"/>
        </w:rPr>
        <w:t xml:space="preserve">указанных родственных связей нет. </w:t>
      </w:r>
    </w:p>
    <w:p>
      <w:pPr>
        <w:pStyle w:val="Normal"/>
        <w:jc w:val="both"/>
        <w:rPr/>
      </w:pPr>
      <w:r>
        <w:rPr>
          <w:sz w:val="20"/>
        </w:rPr>
        <w:t xml:space="preserve">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уголовной ответственности (о наличии судимости) за преступления в сфере экономики и (или) за преступления против государственной власти: </w:t>
      </w:r>
      <w:r>
        <w:rPr>
          <w:b/>
          <w:i/>
          <w:sz w:val="20"/>
        </w:rPr>
        <w:t xml:space="preserve">лицо к указанным видам ответственности не привлекалось. </w:t>
      </w:r>
    </w:p>
    <w:p>
      <w:pPr>
        <w:pStyle w:val="Normal"/>
        <w:jc w:val="both"/>
        <w:rPr/>
      </w:pPr>
      <w:r>
        <w:rPr>
          <w:sz w:val="20"/>
        </w:rPr>
        <w:t xml:space="preserve">Сведения о занятии лицом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статьей 27 Федерального закона «О несостоятельности (банкротстве)»: </w:t>
      </w:r>
      <w:r>
        <w:rPr>
          <w:b/>
          <w:i/>
          <w:sz w:val="20"/>
        </w:rPr>
        <w:t>лицо указанных должностей не занимало</w:t>
      </w:r>
      <w:r>
        <w:rPr>
          <w:sz w:val="20"/>
        </w:rPr>
        <w:t xml:space="preserve">. </w:t>
      </w:r>
    </w:p>
    <w:p>
      <w:pPr>
        <w:pStyle w:val="Normal"/>
        <w:spacing w:before="20" w:after="40"/>
        <w:contextualSpacing/>
        <w:jc w:val="both"/>
        <w:rPr/>
      </w:pPr>
      <w:r>
        <w:rPr/>
      </w:r>
    </w:p>
    <w:p>
      <w:pPr>
        <w:pStyle w:val="Normal"/>
        <w:spacing w:before="20" w:after="40"/>
        <w:contextualSpacing/>
        <w:jc w:val="both"/>
        <w:rPr/>
      </w:pPr>
      <w:r>
        <w:rPr/>
      </w:r>
    </w:p>
    <w:p>
      <w:pPr>
        <w:pStyle w:val="Normal"/>
        <w:jc w:val="both"/>
        <w:rPr/>
      </w:pPr>
      <w:r>
        <w:rPr/>
        <w:t>Фамилия, имя, отчество (последнее при наличии):</w:t>
      </w:r>
      <w:r>
        <w:rPr>
          <w:b/>
          <w:i/>
        </w:rPr>
        <w:t xml:space="preserve"> Лавриненко Юлия Владимировна</w:t>
      </w:r>
    </w:p>
    <w:p>
      <w:pPr>
        <w:pStyle w:val="Normal"/>
        <w:jc w:val="both"/>
        <w:rPr/>
      </w:pPr>
      <w:r>
        <w:rPr/>
        <w:t>Год рождения:</w:t>
      </w:r>
      <w:r>
        <w:rPr>
          <w:b/>
          <w:i/>
        </w:rPr>
        <w:t xml:space="preserve"> 1976</w:t>
      </w:r>
    </w:p>
    <w:p>
      <w:pPr>
        <w:pStyle w:val="Normal"/>
        <w:jc w:val="both"/>
        <w:rPr/>
      </w:pPr>
      <w:r>
        <w:rPr/>
      </w:r>
    </w:p>
    <w:p>
      <w:pPr>
        <w:pStyle w:val="Normal"/>
        <w:jc w:val="both"/>
        <w:rPr/>
      </w:pPr>
      <w:r>
        <w:rPr/>
        <w:t>Cведения об уровне образования, квалификации, специальности:</w:t>
      </w:r>
    </w:p>
    <w:p>
      <w:pPr>
        <w:pStyle w:val="Normal"/>
        <w:jc w:val="both"/>
        <w:rPr>
          <w:b/>
          <w:bCs/>
        </w:rPr>
      </w:pPr>
      <w:r>
        <w:rPr>
          <w:b/>
          <w:bCs/>
        </w:rPr>
        <w:t>высшее профессиональное, экономика</w:t>
      </w:r>
    </w:p>
    <w:p>
      <w:pPr>
        <w:pStyle w:val="Normal"/>
        <w:jc w:val="both"/>
        <w:rPr/>
      </w:pPr>
      <w:r>
        <w:rPr/>
      </w:r>
    </w:p>
    <w:p>
      <w:pPr>
        <w:pStyle w:val="Normal"/>
        <w:jc w:val="both"/>
        <w:rPr/>
      </w:pPr>
      <w:r>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pPr>
        <w:pStyle w:val="Normal"/>
        <w:jc w:val="both"/>
        <w:rPr/>
      </w:pPr>
      <w:r>
        <w:rPr/>
      </w:r>
    </w:p>
    <w:tbl>
      <w:tblPr>
        <w:tblW w:w="8988" w:type="dxa"/>
        <w:jc w:val="left"/>
        <w:tblInd w:w="45" w:type="dxa"/>
        <w:tblLayout w:type="fixed"/>
        <w:tblCellMar>
          <w:top w:w="0" w:type="dxa"/>
          <w:left w:w="72" w:type="dxa"/>
          <w:bottom w:w="0" w:type="dxa"/>
          <w:right w:w="72" w:type="dxa"/>
        </w:tblCellMar>
        <w:tblLook w:noVBand="1" w:val="04a0" w:noHBand="0" w:lastColumn="0" w:firstColumn="1" w:lastRow="0" w:firstRow="1"/>
      </w:tblPr>
      <w:tblGrid>
        <w:gridCol w:w="1257"/>
        <w:gridCol w:w="931"/>
        <w:gridCol w:w="3025"/>
        <w:gridCol w:w="3774"/>
      </w:tblGrid>
      <w:tr>
        <w:trPr/>
        <w:tc>
          <w:tcPr>
            <w:tcW w:w="2188"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sz w:val="16"/>
                <w:szCs w:val="16"/>
              </w:rPr>
            </w:pPr>
            <w:r>
              <w:rPr>
                <w:rFonts w:eastAsia="0" w:cs="0"/>
                <w:b/>
                <w:bCs/>
                <w:i/>
                <w:iCs/>
                <w:color w:val="000000"/>
                <w:sz w:val="16"/>
                <w:szCs w:val="16"/>
              </w:rPr>
              <w:t>Период</w:t>
            </w:r>
          </w:p>
        </w:tc>
        <w:tc>
          <w:tcPr>
            <w:tcW w:w="3025"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val="false"/>
              <w:jc w:val="center"/>
              <w:rPr>
                <w:sz w:val="16"/>
                <w:szCs w:val="16"/>
              </w:rPr>
            </w:pPr>
            <w:r>
              <w:rPr>
                <w:rFonts w:eastAsia="0" w:cs="0"/>
                <w:b/>
                <w:bCs/>
                <w:i/>
                <w:iCs/>
                <w:color w:val="000000"/>
                <w:sz w:val="16"/>
                <w:szCs w:val="16"/>
              </w:rPr>
              <w:t>Наименование организации</w:t>
            </w:r>
          </w:p>
        </w:tc>
        <w:tc>
          <w:tcPr>
            <w:tcW w:w="3774"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val="false"/>
              <w:jc w:val="center"/>
              <w:rPr>
                <w:sz w:val="16"/>
                <w:szCs w:val="16"/>
              </w:rPr>
            </w:pPr>
            <w:r>
              <w:rPr>
                <w:rFonts w:eastAsia="0" w:cs="0"/>
                <w:b/>
                <w:bCs/>
                <w:i/>
                <w:iCs/>
                <w:color w:val="000000"/>
                <w:sz w:val="16"/>
                <w:szCs w:val="16"/>
              </w:rPr>
              <w:t>Должность</w:t>
            </w:r>
          </w:p>
        </w:tc>
      </w:tr>
      <w:tr>
        <w:trPr/>
        <w:tc>
          <w:tcPr>
            <w:tcW w:w="125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sz w:val="16"/>
                <w:szCs w:val="16"/>
              </w:rPr>
            </w:pPr>
            <w:r>
              <w:rPr>
                <w:rFonts w:eastAsia="0" w:cs="0"/>
                <w:b/>
                <w:bCs/>
                <w:i/>
                <w:iCs/>
                <w:color w:val="000000"/>
                <w:sz w:val="16"/>
                <w:szCs w:val="16"/>
              </w:rPr>
              <w:t>с</w:t>
            </w:r>
          </w:p>
        </w:tc>
        <w:tc>
          <w:tcPr>
            <w:tcW w:w="93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sz w:val="16"/>
                <w:szCs w:val="16"/>
              </w:rPr>
            </w:pPr>
            <w:r>
              <w:rPr>
                <w:rFonts w:eastAsia="0" w:cs="0"/>
                <w:b/>
                <w:bCs/>
                <w:i/>
                <w:iCs/>
                <w:color w:val="000000"/>
                <w:sz w:val="16"/>
                <w:szCs w:val="16"/>
              </w:rPr>
              <w:t>по</w:t>
            </w:r>
          </w:p>
        </w:tc>
        <w:tc>
          <w:tcPr>
            <w:tcW w:w="3025"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rFonts w:ascii="0" w:hAnsi="0" w:eastAsia="0" w:cs="0"/>
                <w:b/>
                <w:bCs/>
                <w:i/>
                <w:i/>
                <w:iCs/>
                <w:color w:val="000000"/>
                <w:sz w:val="16"/>
                <w:szCs w:val="16"/>
              </w:rPr>
            </w:pPr>
            <w:r>
              <w:rPr>
                <w:rFonts w:eastAsia="0" w:cs="0"/>
                <w:b/>
                <w:bCs/>
                <w:i/>
                <w:iCs/>
                <w:color w:val="000000"/>
                <w:sz w:val="16"/>
                <w:szCs w:val="16"/>
              </w:rPr>
            </w:r>
          </w:p>
        </w:tc>
        <w:tc>
          <w:tcPr>
            <w:tcW w:w="3774"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rFonts w:ascii="0" w:hAnsi="0" w:eastAsia="0" w:cs="0"/>
                <w:b/>
                <w:bCs/>
                <w:i/>
                <w:i/>
                <w:iCs/>
                <w:color w:val="000000"/>
                <w:sz w:val="16"/>
                <w:szCs w:val="16"/>
              </w:rPr>
            </w:pPr>
            <w:r>
              <w:rPr>
                <w:rFonts w:eastAsia="0" w:cs="0"/>
                <w:b/>
                <w:bCs/>
                <w:i/>
                <w:iCs/>
                <w:color w:val="000000"/>
                <w:sz w:val="16"/>
                <w:szCs w:val="16"/>
              </w:rPr>
            </w:r>
          </w:p>
        </w:tc>
      </w:tr>
      <w:tr>
        <w:trPr/>
        <w:tc>
          <w:tcPr>
            <w:tcW w:w="125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sz w:val="16"/>
                <w:szCs w:val="16"/>
              </w:rPr>
            </w:pPr>
            <w:r>
              <w:rPr>
                <w:rFonts w:eastAsia="0" w:cs="0"/>
                <w:b/>
                <w:bCs/>
                <w:i/>
                <w:iCs/>
                <w:color w:val="000000"/>
                <w:sz w:val="16"/>
                <w:szCs w:val="16"/>
              </w:rPr>
              <w:t>2022</w:t>
            </w:r>
          </w:p>
        </w:tc>
        <w:tc>
          <w:tcPr>
            <w:tcW w:w="93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sz w:val="16"/>
                <w:szCs w:val="16"/>
              </w:rPr>
            </w:pPr>
            <w:r>
              <w:rPr>
                <w:rFonts w:eastAsia="0" w:cs="0"/>
                <w:b/>
                <w:bCs/>
                <w:i/>
                <w:iCs/>
                <w:color w:val="000000"/>
                <w:sz w:val="16"/>
                <w:szCs w:val="16"/>
              </w:rPr>
              <w:t>по н.в.</w:t>
            </w:r>
          </w:p>
        </w:tc>
        <w:tc>
          <w:tcPr>
            <w:tcW w:w="302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sz w:val="16"/>
                <w:szCs w:val="16"/>
              </w:rPr>
            </w:pPr>
            <w:r>
              <w:rPr>
                <w:rFonts w:eastAsia="0" w:cs="0"/>
                <w:b/>
                <w:bCs/>
                <w:i/>
                <w:iCs/>
                <w:color w:val="000000"/>
                <w:sz w:val="16"/>
                <w:szCs w:val="16"/>
              </w:rPr>
              <w:t>ПАО «Камчатскэнерго»</w:t>
            </w:r>
          </w:p>
        </w:tc>
        <w:tc>
          <w:tcPr>
            <w:tcW w:w="3774"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sz w:val="16"/>
                <w:szCs w:val="16"/>
              </w:rPr>
            </w:pPr>
            <w:r>
              <w:rPr>
                <w:rFonts w:eastAsia="0" w:cs="0"/>
                <w:b/>
                <w:bCs/>
                <w:i/>
                <w:iCs/>
                <w:color w:val="000000"/>
                <w:sz w:val="16"/>
                <w:szCs w:val="16"/>
              </w:rPr>
              <w:t>Заместитель Генерального директора по экономике и финансам</w:t>
            </w:r>
          </w:p>
        </w:tc>
      </w:tr>
      <w:tr>
        <w:trPr/>
        <w:tc>
          <w:tcPr>
            <w:tcW w:w="125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sz w:val="16"/>
                <w:szCs w:val="16"/>
              </w:rPr>
            </w:pPr>
            <w:r>
              <w:rPr>
                <w:rFonts w:eastAsia="0" w:cs="0"/>
                <w:b/>
                <w:bCs/>
                <w:i/>
                <w:iCs/>
                <w:color w:val="000000"/>
                <w:sz w:val="16"/>
                <w:szCs w:val="16"/>
              </w:rPr>
              <w:t>2022</w:t>
            </w:r>
          </w:p>
        </w:tc>
        <w:tc>
          <w:tcPr>
            <w:tcW w:w="93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sz w:val="16"/>
                <w:szCs w:val="16"/>
              </w:rPr>
            </w:pPr>
            <w:r>
              <w:rPr>
                <w:rFonts w:eastAsia="0" w:cs="0"/>
                <w:b/>
                <w:bCs/>
                <w:i/>
                <w:iCs/>
                <w:color w:val="000000"/>
                <w:sz w:val="16"/>
                <w:szCs w:val="16"/>
              </w:rPr>
              <w:t>по н.в.</w:t>
            </w:r>
          </w:p>
        </w:tc>
        <w:tc>
          <w:tcPr>
            <w:tcW w:w="302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sz w:val="16"/>
                <w:szCs w:val="16"/>
              </w:rPr>
            </w:pPr>
            <w:r>
              <w:rPr>
                <w:rFonts w:eastAsia="0" w:cs="0"/>
                <w:b/>
                <w:bCs/>
                <w:i/>
                <w:iCs/>
                <w:color w:val="000000"/>
                <w:sz w:val="16"/>
                <w:szCs w:val="16"/>
              </w:rPr>
              <w:t>ПАО «Камчатскэнерго»</w:t>
            </w:r>
          </w:p>
        </w:tc>
        <w:tc>
          <w:tcPr>
            <w:tcW w:w="3774"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sz w:val="16"/>
                <w:szCs w:val="16"/>
              </w:rPr>
            </w:pPr>
            <w:r>
              <w:rPr>
                <w:rFonts w:eastAsia="0" w:cs="0"/>
                <w:b/>
                <w:bCs/>
                <w:i/>
                <w:iCs/>
                <w:color w:val="000000"/>
                <w:sz w:val="16"/>
                <w:szCs w:val="16"/>
              </w:rPr>
              <w:t>член Правления</w:t>
            </w:r>
          </w:p>
        </w:tc>
      </w:tr>
    </w:tbl>
    <w:p>
      <w:pPr>
        <w:pStyle w:val="Normal"/>
        <w:rPr/>
      </w:pPr>
      <w:r>
        <w:rPr/>
      </w:r>
    </w:p>
    <w:p>
      <w:pPr>
        <w:pStyle w:val="Normal"/>
        <w:jc w:val="both"/>
        <w:rPr/>
      </w:pPr>
      <w:r>
        <w:rPr>
          <w:sz w:val="20"/>
        </w:rPr>
        <w:t xml:space="preserve">Доля участия лица в уставном капитале Эмитента, %: </w:t>
      </w:r>
      <w:r>
        <w:rPr>
          <w:b/>
          <w:i/>
          <w:sz w:val="20"/>
        </w:rPr>
        <w:t xml:space="preserve">не имеет. </w:t>
      </w:r>
    </w:p>
    <w:p>
      <w:pPr>
        <w:pStyle w:val="Normal"/>
        <w:jc w:val="both"/>
        <w:rPr/>
      </w:pPr>
      <w:r>
        <w:rPr>
          <w:sz w:val="20"/>
        </w:rPr>
        <w:t xml:space="preserve">Доля принадлежащих лицу обыкновенных акций Эмитента, %: </w:t>
      </w:r>
      <w:r>
        <w:rPr>
          <w:b/>
          <w:i/>
          <w:sz w:val="20"/>
        </w:rPr>
        <w:t xml:space="preserve">не имеет. </w:t>
      </w:r>
    </w:p>
    <w:p>
      <w:pPr>
        <w:pStyle w:val="Normal"/>
        <w:jc w:val="both"/>
        <w:rPr/>
      </w:pPr>
      <w:r>
        <w:rPr>
          <w:sz w:val="20"/>
        </w:rPr>
        <w:t xml:space="preserve">Количество акций Эмитента каждой категории (типа), которые могут быть приобретены лицом в результате конвертации принадлежащих ему ценных бумаг, конвертируемых в акции: </w:t>
      </w:r>
      <w:r>
        <w:rPr>
          <w:b/>
          <w:i/>
          <w:sz w:val="20"/>
        </w:rPr>
        <w:t xml:space="preserve">ценные бумаги, конвертируемые в акции, отсутствуют. </w:t>
      </w:r>
    </w:p>
    <w:p>
      <w:pPr>
        <w:pStyle w:val="Normal"/>
        <w:jc w:val="both"/>
        <w:rPr/>
      </w:pPr>
      <w:r>
        <w:rPr>
          <w:sz w:val="20"/>
        </w:rPr>
        <w:t xml:space="preserve">Доля участия лица в уставном капитале подконтрольных Эмитенту организаций, имеющих для него существенное значение: </w:t>
      </w:r>
      <w:r>
        <w:rPr>
          <w:b/>
          <w:i/>
          <w:sz w:val="20"/>
        </w:rPr>
        <w:t xml:space="preserve">не имеет. </w:t>
      </w:r>
    </w:p>
    <w:p>
      <w:pPr>
        <w:pStyle w:val="Normal"/>
        <w:jc w:val="both"/>
        <w:rPr/>
      </w:pPr>
      <w:r>
        <w:rPr>
          <w:sz w:val="20"/>
        </w:rPr>
        <w:t xml:space="preserve">Доля принадлежащих лицу обыкновенных акций подконтрольных Эмитенту акционерных обществ, имеющих для Эмитента существенное значение: </w:t>
      </w:r>
      <w:r>
        <w:rPr>
          <w:b/>
          <w:i/>
          <w:sz w:val="20"/>
        </w:rPr>
        <w:t xml:space="preserve">не имеет. </w:t>
      </w:r>
    </w:p>
    <w:p>
      <w:pPr>
        <w:pStyle w:val="Normal"/>
        <w:jc w:val="both"/>
        <w:rPr/>
      </w:pPr>
      <w:r>
        <w:rPr>
          <w:sz w:val="20"/>
        </w:rPr>
        <w:t xml:space="preserve">Количество акций каждой категории (типа), подконтрольных Эмитенту акционерных обществ, имеющих для Эмитента существенное значение, которые могут быть приобретены лицом в результате конвертации принадлежащих ему ценных бумаг, конвертируемых в акции: </w:t>
      </w:r>
      <w:r>
        <w:rPr>
          <w:b/>
          <w:i/>
          <w:sz w:val="20"/>
        </w:rPr>
        <w:t xml:space="preserve">не имеет. </w:t>
      </w:r>
    </w:p>
    <w:p>
      <w:pPr>
        <w:pStyle w:val="Normal"/>
        <w:jc w:val="both"/>
        <w:rPr/>
      </w:pPr>
      <w:r>
        <w:rPr>
          <w:sz w:val="20"/>
        </w:rPr>
        <w:t xml:space="preserve">Сведения о характере родственных связей (супруги, родители, дети, усыновители, усыновленные, родные братья и сестры, дедушки, бабушки, внуки) между лицом и членами совета директоров (наблюдательного совета), членами коллегиального исполнительного органа, лицом, занимающим должность (осуществляющим функции) единоличного исполнительного органа Эмитента: </w:t>
      </w:r>
      <w:r>
        <w:rPr>
          <w:b/>
          <w:i/>
          <w:sz w:val="20"/>
        </w:rPr>
        <w:t xml:space="preserve">указанных родственных связей нет. </w:t>
      </w:r>
    </w:p>
    <w:p>
      <w:pPr>
        <w:pStyle w:val="Normal"/>
        <w:jc w:val="both"/>
        <w:rPr/>
      </w:pPr>
      <w:r>
        <w:rPr>
          <w:sz w:val="20"/>
        </w:rPr>
        <w:t xml:space="preserve">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уголовной ответственности (о наличии судимости) за преступления в сфере экономики и (или) за преступления против государственной власти: </w:t>
      </w:r>
      <w:r>
        <w:rPr>
          <w:b/>
          <w:i/>
          <w:sz w:val="20"/>
        </w:rPr>
        <w:t xml:space="preserve">лицо к указанным видам ответственности не привлекалось. </w:t>
      </w:r>
    </w:p>
    <w:p>
      <w:pPr>
        <w:pStyle w:val="Normal"/>
        <w:jc w:val="both"/>
        <w:rPr/>
      </w:pPr>
      <w:r>
        <w:rPr>
          <w:sz w:val="20"/>
        </w:rPr>
        <w:t xml:space="preserve">Сведения о занятии лицом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статьей 27 Федерального закона «О несостоятельности (банкротстве)»: </w:t>
      </w:r>
      <w:r>
        <w:rPr>
          <w:b/>
          <w:i/>
          <w:sz w:val="20"/>
        </w:rPr>
        <w:t>лицо указанных должностей не занимало</w:t>
      </w:r>
      <w:r>
        <w:rPr>
          <w:sz w:val="20"/>
        </w:rPr>
        <w:t xml:space="preserve">. </w:t>
      </w:r>
    </w:p>
    <w:p>
      <w:pPr>
        <w:pStyle w:val="Normal"/>
        <w:jc w:val="both"/>
        <w:rPr/>
      </w:pPr>
      <w:r>
        <w:rPr/>
      </w:r>
    </w:p>
    <w:p>
      <w:pPr>
        <w:pStyle w:val="Normal"/>
        <w:jc w:val="both"/>
        <w:rPr/>
      </w:pPr>
      <w:r>
        <w:rPr/>
      </w:r>
    </w:p>
    <w:p>
      <w:pPr>
        <w:pStyle w:val="Normal"/>
        <w:jc w:val="both"/>
        <w:rPr/>
      </w:pPr>
      <w:r>
        <w:rPr/>
        <w:t>Фамилия, имя, отчество (последнее при наличии):</w:t>
      </w:r>
      <w:r>
        <w:rPr>
          <w:b/>
          <w:i/>
        </w:rPr>
        <w:t xml:space="preserve"> Скворцов Владислав Владиславович</w:t>
      </w:r>
    </w:p>
    <w:p>
      <w:pPr>
        <w:pStyle w:val="Normal"/>
        <w:jc w:val="both"/>
        <w:rPr/>
      </w:pPr>
      <w:r>
        <w:rPr/>
        <w:t>Год рождения:</w:t>
      </w:r>
      <w:r>
        <w:rPr>
          <w:b/>
          <w:i/>
        </w:rPr>
        <w:t xml:space="preserve"> 1988</w:t>
      </w:r>
    </w:p>
    <w:p>
      <w:pPr>
        <w:pStyle w:val="Normal"/>
        <w:jc w:val="both"/>
        <w:rPr/>
      </w:pPr>
      <w:r>
        <w:rPr/>
      </w:r>
    </w:p>
    <w:p>
      <w:pPr>
        <w:pStyle w:val="Normal"/>
        <w:jc w:val="both"/>
        <w:rPr/>
      </w:pPr>
      <w:r>
        <w:rPr/>
        <w:t>Cведения об уровне образования, квалификации, специальности:</w:t>
      </w:r>
    </w:p>
    <w:p>
      <w:pPr>
        <w:pStyle w:val="Normal"/>
        <w:jc w:val="both"/>
        <w:rPr>
          <w:b/>
          <w:bCs/>
        </w:rPr>
      </w:pPr>
      <w:r>
        <w:rPr>
          <w:b/>
          <w:bCs/>
        </w:rPr>
        <w:t>высшее профессиональное, специалист, энергетика</w:t>
      </w:r>
    </w:p>
    <w:p>
      <w:pPr>
        <w:pStyle w:val="Normal"/>
        <w:jc w:val="both"/>
        <w:rPr/>
      </w:pPr>
      <w:r>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pPr>
        <w:pStyle w:val="ThinDelim"/>
        <w:spacing w:before="20" w:after="40"/>
        <w:contextualSpacing/>
        <w:jc w:val="both"/>
        <w:rPr>
          <w:b/>
          <w:bCs/>
          <w:i/>
          <w:i/>
          <w:iCs/>
          <w:sz w:val="18"/>
          <w:szCs w:val="18"/>
        </w:rPr>
      </w:pPr>
      <w:r>
        <w:rPr>
          <w:b/>
          <w:bCs/>
          <w:i/>
          <w:iCs/>
          <w:sz w:val="18"/>
          <w:szCs w:val="18"/>
        </w:rPr>
      </w:r>
    </w:p>
    <w:tbl>
      <w:tblPr>
        <w:tblW w:w="9147" w:type="dxa"/>
        <w:jc w:val="left"/>
        <w:tblInd w:w="90" w:type="dxa"/>
        <w:tblLayout w:type="fixed"/>
        <w:tblCellMar>
          <w:top w:w="0" w:type="dxa"/>
          <w:left w:w="72" w:type="dxa"/>
          <w:bottom w:w="0" w:type="dxa"/>
          <w:right w:w="72" w:type="dxa"/>
        </w:tblCellMar>
        <w:tblLook w:noVBand="1" w:val="04a0" w:noHBand="0" w:lastColumn="0" w:firstColumn="1" w:lastRow="0" w:firstRow="1"/>
      </w:tblPr>
      <w:tblGrid>
        <w:gridCol w:w="1260"/>
        <w:gridCol w:w="1259"/>
        <w:gridCol w:w="3106"/>
        <w:gridCol w:w="3521"/>
      </w:tblGrid>
      <w:tr>
        <w:trPr/>
        <w:tc>
          <w:tcPr>
            <w:tcW w:w="2519"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Период</w:t>
            </w:r>
          </w:p>
        </w:tc>
        <w:tc>
          <w:tcPr>
            <w:tcW w:w="310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sz w:val="16"/>
                <w:szCs w:val="16"/>
              </w:rPr>
            </w:pPr>
            <w:r>
              <w:rPr>
                <w:b/>
                <w:bCs/>
                <w:i/>
                <w:iCs/>
                <w:sz w:val="16"/>
                <w:szCs w:val="16"/>
              </w:rPr>
              <w:t>Наименование организации</w:t>
            </w:r>
          </w:p>
        </w:tc>
        <w:tc>
          <w:tcPr>
            <w:tcW w:w="352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sz w:val="16"/>
                <w:szCs w:val="16"/>
              </w:rPr>
            </w:pPr>
            <w:r>
              <w:rPr>
                <w:b/>
                <w:bCs/>
                <w:i/>
                <w:iCs/>
                <w:sz w:val="16"/>
                <w:szCs w:val="16"/>
              </w:rPr>
              <w:t>Должность</w:t>
            </w:r>
          </w:p>
        </w:tc>
      </w:tr>
      <w:tr>
        <w:trPr/>
        <w:tc>
          <w:tcPr>
            <w:tcW w:w="126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с</w:t>
            </w:r>
          </w:p>
        </w:tc>
        <w:tc>
          <w:tcPr>
            <w:tcW w:w="125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w:t>
            </w:r>
          </w:p>
        </w:tc>
        <w:tc>
          <w:tcPr>
            <w:tcW w:w="3106"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b/>
                <w:bCs/>
                <w:i/>
                <w:i/>
                <w:iCs/>
                <w:sz w:val="16"/>
                <w:szCs w:val="16"/>
              </w:rPr>
            </w:pPr>
            <w:r>
              <w:rPr>
                <w:b/>
                <w:bCs/>
                <w:i/>
                <w:iCs/>
                <w:sz w:val="16"/>
                <w:szCs w:val="16"/>
              </w:rPr>
            </w:r>
          </w:p>
        </w:tc>
        <w:tc>
          <w:tcPr>
            <w:tcW w:w="3521"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b/>
                <w:bCs/>
                <w:i/>
                <w:i/>
                <w:iCs/>
                <w:sz w:val="16"/>
                <w:szCs w:val="16"/>
              </w:rPr>
            </w:pPr>
            <w:r>
              <w:rPr>
                <w:b/>
                <w:bCs/>
                <w:i/>
                <w:iCs/>
                <w:sz w:val="16"/>
                <w:szCs w:val="16"/>
              </w:rPr>
            </w:r>
          </w:p>
        </w:tc>
      </w:tr>
      <w:tr>
        <w:trPr/>
        <w:tc>
          <w:tcPr>
            <w:tcW w:w="126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2022</w:t>
            </w:r>
          </w:p>
        </w:tc>
        <w:tc>
          <w:tcPr>
            <w:tcW w:w="125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по н.в.</w:t>
            </w:r>
          </w:p>
        </w:tc>
        <w:tc>
          <w:tcPr>
            <w:tcW w:w="310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ПАО «Камчатскэнерго»</w:t>
            </w:r>
          </w:p>
        </w:tc>
        <w:tc>
          <w:tcPr>
            <w:tcW w:w="352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Заместитель генерального директора –главный инженер</w:t>
            </w:r>
          </w:p>
        </w:tc>
      </w:tr>
      <w:tr>
        <w:trPr/>
        <w:tc>
          <w:tcPr>
            <w:tcW w:w="126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2022</w:t>
            </w:r>
          </w:p>
        </w:tc>
        <w:tc>
          <w:tcPr>
            <w:tcW w:w="125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по н.в.</w:t>
            </w:r>
          </w:p>
        </w:tc>
        <w:tc>
          <w:tcPr>
            <w:tcW w:w="310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ПАО «Камчатскэнерго»</w:t>
            </w:r>
          </w:p>
        </w:tc>
        <w:tc>
          <w:tcPr>
            <w:tcW w:w="352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член Правления</w:t>
            </w:r>
          </w:p>
        </w:tc>
      </w:tr>
    </w:tbl>
    <w:p>
      <w:pPr>
        <w:pStyle w:val="ThinDelim"/>
        <w:spacing w:before="20" w:after="40"/>
        <w:contextualSpacing/>
        <w:jc w:val="both"/>
        <w:rPr>
          <w:b/>
          <w:bCs/>
          <w:i/>
          <w:i/>
          <w:iCs/>
          <w:sz w:val="18"/>
          <w:szCs w:val="18"/>
        </w:rPr>
      </w:pPr>
      <w:r>
        <w:rPr>
          <w:b/>
          <w:bCs/>
          <w:i/>
          <w:iCs/>
          <w:sz w:val="18"/>
          <w:szCs w:val="18"/>
        </w:rPr>
      </w:r>
    </w:p>
    <w:p>
      <w:pPr>
        <w:pStyle w:val="Normal"/>
        <w:jc w:val="both"/>
        <w:rPr/>
      </w:pPr>
      <w:r>
        <w:rPr>
          <w:sz w:val="20"/>
        </w:rPr>
        <w:t xml:space="preserve">Доля участия лица в уставном капитале Эмитента, %: </w:t>
      </w:r>
      <w:r>
        <w:rPr>
          <w:b/>
          <w:i/>
          <w:sz w:val="20"/>
        </w:rPr>
        <w:t xml:space="preserve">не имеет. </w:t>
      </w:r>
    </w:p>
    <w:p>
      <w:pPr>
        <w:pStyle w:val="Normal"/>
        <w:jc w:val="both"/>
        <w:rPr/>
      </w:pPr>
      <w:r>
        <w:rPr>
          <w:sz w:val="20"/>
        </w:rPr>
        <w:t xml:space="preserve">Доля принадлежащих лицу обыкновенных акций Эмитента, %: </w:t>
      </w:r>
      <w:r>
        <w:rPr>
          <w:b/>
          <w:i/>
          <w:sz w:val="20"/>
        </w:rPr>
        <w:t xml:space="preserve">не имеет. </w:t>
      </w:r>
    </w:p>
    <w:p>
      <w:pPr>
        <w:pStyle w:val="Normal"/>
        <w:jc w:val="both"/>
        <w:rPr/>
      </w:pPr>
      <w:r>
        <w:rPr>
          <w:b/>
          <w:i/>
          <w:sz w:val="20"/>
        </w:rPr>
        <w:t>Количе</w:t>
      </w:r>
      <w:r>
        <w:rPr>
          <w:sz w:val="20"/>
        </w:rPr>
        <w:t xml:space="preserve">ство акций Эмитента каждой категории (типа), которые могут быть приобретены лицом в результате конвертации принадлежащих ему ценных бумаг, конвертируемых в акции: </w:t>
      </w:r>
      <w:r>
        <w:rPr>
          <w:b/>
          <w:i/>
          <w:sz w:val="20"/>
        </w:rPr>
        <w:t xml:space="preserve">ценные бумаги, конвертируемые в акции, отсутствуют. </w:t>
      </w:r>
    </w:p>
    <w:p>
      <w:pPr>
        <w:pStyle w:val="Normal"/>
        <w:jc w:val="both"/>
        <w:rPr/>
      </w:pPr>
      <w:r>
        <w:rPr>
          <w:sz w:val="20"/>
        </w:rPr>
        <w:t xml:space="preserve">Доля участия лица в уставном капитале подконтрольных Эмитенту организаций, имеющих для него существенное значение: </w:t>
      </w:r>
      <w:r>
        <w:rPr>
          <w:b/>
          <w:i/>
          <w:sz w:val="20"/>
        </w:rPr>
        <w:t xml:space="preserve">не имеет. </w:t>
      </w:r>
    </w:p>
    <w:p>
      <w:pPr>
        <w:pStyle w:val="Normal"/>
        <w:jc w:val="both"/>
        <w:rPr/>
      </w:pPr>
      <w:r>
        <w:rPr>
          <w:sz w:val="20"/>
        </w:rPr>
        <w:t xml:space="preserve">Доля принадлежащих лицу обыкновенных акций подконтрольных Эмитенту акционерных обществ, имеющих для Эмитента существенное значение: </w:t>
      </w:r>
      <w:r>
        <w:rPr>
          <w:b/>
          <w:i/>
          <w:sz w:val="20"/>
        </w:rPr>
        <w:t xml:space="preserve">не имеет. </w:t>
      </w:r>
    </w:p>
    <w:p>
      <w:pPr>
        <w:pStyle w:val="Normal"/>
        <w:jc w:val="both"/>
        <w:rPr/>
      </w:pPr>
      <w:r>
        <w:rPr>
          <w:sz w:val="20"/>
        </w:rPr>
        <w:t xml:space="preserve">Количество акций каждой категории (типа), подконтрольных Эмитенту акционерных обществ, имеющих для Эмитента существенное значение, которые могут быть приобретены лицом в результате конвертации принадлежащих ему ценных бумаг, конвертируемых в акции: </w:t>
      </w:r>
      <w:r>
        <w:rPr>
          <w:b/>
          <w:i/>
          <w:sz w:val="20"/>
        </w:rPr>
        <w:t xml:space="preserve">не имеет. </w:t>
      </w:r>
    </w:p>
    <w:p>
      <w:pPr>
        <w:pStyle w:val="Normal"/>
        <w:jc w:val="both"/>
        <w:rPr/>
      </w:pPr>
      <w:r>
        <w:rPr>
          <w:sz w:val="20"/>
        </w:rPr>
        <w:t xml:space="preserve">Сведения о характере родственных связей (супруги, родители, дети, усыновители, усыновленные, родные братья и сестры, дедушки, бабушки, внуки) между лицом и членами совета директоров (наблюдательного совета), членами коллегиального исполнительного органа, лицом, занимающим должность (осуществляющим функции) единоличного исполнительного органа Эмитента: </w:t>
      </w:r>
      <w:r>
        <w:rPr>
          <w:b/>
          <w:i/>
          <w:sz w:val="20"/>
        </w:rPr>
        <w:t xml:space="preserve">указанных родственных связей нет. </w:t>
      </w:r>
    </w:p>
    <w:p>
      <w:pPr>
        <w:pStyle w:val="Normal"/>
        <w:jc w:val="both"/>
        <w:rPr/>
      </w:pPr>
      <w:r>
        <w:rPr>
          <w:sz w:val="20"/>
        </w:rPr>
        <w:t xml:space="preserve">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уголовной ответственности (о наличии судимости) за преступления в сфере экономики и (или) за преступления против государственной власти: </w:t>
      </w:r>
      <w:r>
        <w:rPr>
          <w:b/>
          <w:i/>
          <w:sz w:val="20"/>
        </w:rPr>
        <w:t xml:space="preserve">лицо к указанным видам ответственности не привлекалось. </w:t>
      </w:r>
    </w:p>
    <w:p>
      <w:pPr>
        <w:pStyle w:val="Normal"/>
        <w:jc w:val="both"/>
        <w:rPr/>
      </w:pPr>
      <w:r>
        <w:rPr>
          <w:sz w:val="20"/>
        </w:rPr>
        <w:t xml:space="preserve">Сведения о занятии лицом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статьей 27 Федерального закона «О несостоятельности (банкротстве)»: </w:t>
      </w:r>
      <w:r>
        <w:rPr>
          <w:b/>
          <w:i/>
          <w:sz w:val="20"/>
        </w:rPr>
        <w:t>лицо указанных должностей не занимало</w:t>
      </w:r>
      <w:r>
        <w:rPr>
          <w:sz w:val="20"/>
        </w:rPr>
        <w:t xml:space="preserve">. </w:t>
      </w:r>
    </w:p>
    <w:p>
      <w:pPr>
        <w:pStyle w:val="Normal"/>
        <w:spacing w:before="20" w:after="40"/>
        <w:contextualSpacing/>
        <w:jc w:val="both"/>
        <w:rPr>
          <w:highlight w:val="none"/>
          <w:shd w:fill="auto" w:val="clear"/>
        </w:rPr>
      </w:pPr>
      <w:r>
        <w:rPr>
          <w:shd w:fill="auto" w:val="clear"/>
        </w:rPr>
      </w:r>
    </w:p>
    <w:p>
      <w:pPr>
        <w:pStyle w:val="Normal"/>
        <w:spacing w:before="20" w:after="40"/>
        <w:contextualSpacing/>
        <w:jc w:val="both"/>
        <w:rPr>
          <w:highlight w:val="none"/>
          <w:shd w:fill="auto" w:val="clear"/>
        </w:rPr>
      </w:pPr>
      <w:r>
        <w:rPr>
          <w:shd w:fill="auto" w:val="clear"/>
        </w:rPr>
      </w:r>
    </w:p>
    <w:p>
      <w:pPr>
        <w:pStyle w:val="Normal"/>
        <w:spacing w:before="20" w:after="40"/>
        <w:contextualSpacing/>
        <w:jc w:val="both"/>
        <w:rPr>
          <w:highlight w:val="none"/>
          <w:shd w:fill="auto" w:val="clear"/>
        </w:rPr>
      </w:pPr>
      <w:r>
        <w:rPr>
          <w:b w:val="false"/>
          <w:bCs w:val="false"/>
          <w:i/>
          <w:shd w:fill="auto" w:val="clear"/>
        </w:rPr>
        <w:t>Фамилия, имя, отчество (последнее при наличии):</w:t>
      </w:r>
      <w:r>
        <w:rPr>
          <w:b/>
          <w:i/>
          <w:shd w:fill="auto" w:val="clear"/>
        </w:rPr>
        <w:t xml:space="preserve"> </w:t>
      </w:r>
      <w:r>
        <w:rPr>
          <w:b/>
          <w:bCs/>
          <w:i/>
          <w:iCs/>
          <w:shd w:fill="auto" w:val="clear"/>
        </w:rPr>
        <w:t>Гайнуллина Мария Александровна</w:t>
      </w:r>
    </w:p>
    <w:p>
      <w:pPr>
        <w:pStyle w:val="Normal"/>
        <w:spacing w:before="20" w:after="40"/>
        <w:contextualSpacing/>
        <w:jc w:val="both"/>
        <w:rPr>
          <w:highlight w:val="none"/>
          <w:shd w:fill="auto" w:val="clear"/>
        </w:rPr>
      </w:pPr>
      <w:r>
        <w:rPr>
          <w:shd w:fill="auto" w:val="clear"/>
        </w:rPr>
        <w:t>Год рождения:</w:t>
      </w:r>
      <w:r>
        <w:rPr>
          <w:b/>
          <w:i/>
          <w:shd w:fill="auto" w:val="clear"/>
        </w:rPr>
        <w:t xml:space="preserve"> 1977</w:t>
      </w:r>
    </w:p>
    <w:p>
      <w:pPr>
        <w:pStyle w:val="ThinDelim"/>
        <w:spacing w:before="20" w:after="40"/>
        <w:contextualSpacing/>
        <w:jc w:val="both"/>
        <w:rPr>
          <w:highlight w:val="none"/>
          <w:shd w:fill="auto" w:val="clear"/>
        </w:rPr>
      </w:pPr>
      <w:r>
        <w:rPr>
          <w:shd w:fill="auto" w:val="clear"/>
        </w:rPr>
      </w:r>
    </w:p>
    <w:p>
      <w:pPr>
        <w:pStyle w:val="Normal"/>
        <w:spacing w:before="20" w:after="40"/>
        <w:contextualSpacing/>
        <w:jc w:val="both"/>
        <w:rPr>
          <w:highlight w:val="none"/>
          <w:shd w:fill="auto" w:val="clear"/>
        </w:rPr>
      </w:pPr>
      <w:r>
        <w:rPr>
          <w:shd w:fill="auto" w:val="clear"/>
        </w:rPr>
        <w:t>Сведения об уровне образования, квалификации, специальности:</w:t>
      </w:r>
    </w:p>
    <w:p>
      <w:pPr>
        <w:pStyle w:val="Normal"/>
        <w:spacing w:before="20" w:after="40"/>
        <w:contextualSpacing/>
        <w:jc w:val="both"/>
        <w:rPr>
          <w:highlight w:val="none"/>
          <w:shd w:fill="auto" w:val="clear"/>
        </w:rPr>
      </w:pPr>
      <w:r>
        <w:rPr>
          <w:b/>
          <w:i/>
          <w:shd w:fill="auto" w:val="clear"/>
        </w:rPr>
        <w:t>высшее профессиональное, специалист, филология</w:t>
      </w:r>
    </w:p>
    <w:p>
      <w:pPr>
        <w:pStyle w:val="Normal"/>
        <w:spacing w:before="20" w:after="40"/>
        <w:contextualSpacing/>
        <w:jc w:val="both"/>
        <w:rPr>
          <w:highlight w:val="none"/>
          <w:shd w:fill="auto" w:val="clear"/>
        </w:rPr>
      </w:pPr>
      <w:r>
        <w:rPr>
          <w:shd w:fill="auto" w:val="clear"/>
        </w:rPr>
      </w:r>
    </w:p>
    <w:p>
      <w:pPr>
        <w:pStyle w:val="Normal"/>
        <w:spacing w:before="20" w:after="40"/>
        <w:contextualSpacing/>
        <w:jc w:val="both"/>
        <w:rPr>
          <w:highlight w:val="none"/>
          <w:shd w:fill="auto" w:val="clear"/>
        </w:rPr>
      </w:pPr>
      <w:r>
        <w:rPr>
          <w:shd w:fill="auto" w:val="clear"/>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pPr>
        <w:pStyle w:val="ThinDelim"/>
        <w:spacing w:before="20" w:after="40"/>
        <w:contextualSpacing/>
        <w:jc w:val="both"/>
        <w:rPr>
          <w:b/>
          <w:bCs/>
          <w:i/>
          <w:i/>
          <w:iCs/>
          <w:sz w:val="18"/>
          <w:szCs w:val="18"/>
          <w:highlight w:val="none"/>
          <w:shd w:fill="FFFF00" w:val="clear"/>
        </w:rPr>
      </w:pPr>
      <w:r>
        <w:rPr>
          <w:b/>
          <w:bCs/>
          <w:i/>
          <w:iCs/>
          <w:sz w:val="18"/>
          <w:szCs w:val="18"/>
          <w:shd w:fill="FFFF00" w:val="clear"/>
        </w:rPr>
      </w:r>
    </w:p>
    <w:tbl>
      <w:tblPr>
        <w:tblW w:w="9177" w:type="dxa"/>
        <w:jc w:val="left"/>
        <w:tblInd w:w="60" w:type="dxa"/>
        <w:tblLayout w:type="fixed"/>
        <w:tblCellMar>
          <w:top w:w="0" w:type="dxa"/>
          <w:left w:w="72" w:type="dxa"/>
          <w:bottom w:w="0" w:type="dxa"/>
          <w:right w:w="72" w:type="dxa"/>
        </w:tblCellMar>
        <w:tblLook w:noVBand="1" w:val="04a0" w:noHBand="0" w:lastColumn="0" w:firstColumn="1" w:lastRow="0" w:firstRow="1"/>
      </w:tblPr>
      <w:tblGrid>
        <w:gridCol w:w="1215"/>
        <w:gridCol w:w="1064"/>
        <w:gridCol w:w="3181"/>
        <w:gridCol w:w="3716"/>
      </w:tblGrid>
      <w:tr>
        <w:trPr/>
        <w:tc>
          <w:tcPr>
            <w:tcW w:w="2279"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shd w:fill="auto" w:val="clear"/>
              </w:rPr>
              <w:t>Период</w:t>
            </w:r>
          </w:p>
        </w:tc>
        <w:tc>
          <w:tcPr>
            <w:tcW w:w="318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sz w:val="16"/>
                <w:szCs w:val="16"/>
              </w:rPr>
            </w:pPr>
            <w:r>
              <w:rPr>
                <w:b/>
                <w:bCs/>
                <w:i/>
                <w:iCs/>
                <w:sz w:val="16"/>
                <w:szCs w:val="16"/>
                <w:shd w:fill="auto" w:val="clear"/>
              </w:rPr>
              <w:t>Наименование организации</w:t>
            </w:r>
          </w:p>
        </w:tc>
        <w:tc>
          <w:tcPr>
            <w:tcW w:w="371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sz w:val="16"/>
                <w:szCs w:val="16"/>
              </w:rPr>
            </w:pPr>
            <w:r>
              <w:rPr>
                <w:b/>
                <w:bCs/>
                <w:i/>
                <w:iCs/>
                <w:sz w:val="16"/>
                <w:szCs w:val="16"/>
                <w:shd w:fill="auto" w:val="clear"/>
              </w:rPr>
              <w:t>Должность</w:t>
            </w:r>
          </w:p>
        </w:tc>
      </w:tr>
      <w:tr>
        <w:trPr/>
        <w:tc>
          <w:tcPr>
            <w:tcW w:w="121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shd w:fill="auto" w:val="clear"/>
              </w:rPr>
              <w:t>с</w:t>
            </w:r>
          </w:p>
        </w:tc>
        <w:tc>
          <w:tcPr>
            <w:tcW w:w="1064"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shd w:fill="auto" w:val="clear"/>
              </w:rPr>
              <w:t>по</w:t>
            </w:r>
          </w:p>
        </w:tc>
        <w:tc>
          <w:tcPr>
            <w:tcW w:w="3181"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b/>
                <w:bCs/>
                <w:i/>
                <w:i/>
                <w:iCs/>
                <w:sz w:val="16"/>
                <w:szCs w:val="16"/>
                <w:highlight w:val="none"/>
                <w:shd w:fill="auto" w:val="clear"/>
              </w:rPr>
            </w:pPr>
            <w:r>
              <w:rPr>
                <w:b/>
                <w:bCs/>
                <w:i/>
                <w:iCs/>
                <w:sz w:val="16"/>
                <w:szCs w:val="16"/>
                <w:shd w:fill="auto" w:val="clear"/>
              </w:rPr>
            </w:r>
          </w:p>
        </w:tc>
        <w:tc>
          <w:tcPr>
            <w:tcW w:w="3716"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b/>
                <w:bCs/>
                <w:i/>
                <w:i/>
                <w:iCs/>
                <w:sz w:val="16"/>
                <w:szCs w:val="16"/>
                <w:highlight w:val="none"/>
                <w:shd w:fill="auto" w:val="clear"/>
              </w:rPr>
            </w:pPr>
            <w:r>
              <w:rPr>
                <w:b/>
                <w:bCs/>
                <w:i/>
                <w:iCs/>
                <w:sz w:val="16"/>
                <w:szCs w:val="16"/>
                <w:shd w:fill="auto" w:val="clear"/>
              </w:rPr>
            </w:r>
          </w:p>
        </w:tc>
      </w:tr>
      <w:tr>
        <w:trPr/>
        <w:tc>
          <w:tcPr>
            <w:tcW w:w="121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shd w:fill="auto" w:val="clear"/>
              </w:rPr>
              <w:t>2018</w:t>
            </w:r>
          </w:p>
        </w:tc>
        <w:tc>
          <w:tcPr>
            <w:tcW w:w="1064"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shd w:fill="auto" w:val="clear"/>
              </w:rPr>
              <w:t>2022</w:t>
            </w:r>
          </w:p>
        </w:tc>
        <w:tc>
          <w:tcPr>
            <w:tcW w:w="318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shd w:fill="auto" w:val="clear"/>
              </w:rPr>
              <w:t>ПАО «Камчатскэнерго»</w:t>
            </w:r>
          </w:p>
        </w:tc>
        <w:tc>
          <w:tcPr>
            <w:tcW w:w="371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shd w:fill="auto" w:val="clear"/>
              </w:rPr>
              <w:t>Начальник ОМТС УзиМТО</w:t>
            </w:r>
          </w:p>
        </w:tc>
      </w:tr>
      <w:tr>
        <w:trPr/>
        <w:tc>
          <w:tcPr>
            <w:tcW w:w="121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shd w:fill="auto" w:val="clear"/>
              </w:rPr>
              <w:t>2022</w:t>
            </w:r>
          </w:p>
        </w:tc>
        <w:tc>
          <w:tcPr>
            <w:tcW w:w="1064"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shd w:fill="auto" w:val="clear"/>
              </w:rPr>
              <w:t>07.2025</w:t>
            </w:r>
          </w:p>
        </w:tc>
        <w:tc>
          <w:tcPr>
            <w:tcW w:w="318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shd w:fill="auto" w:val="clear"/>
              </w:rPr>
              <w:t>ПАО «Камчатскэнерго»</w:t>
            </w:r>
          </w:p>
        </w:tc>
        <w:tc>
          <w:tcPr>
            <w:tcW w:w="371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shd w:fill="auto" w:val="clear"/>
              </w:rPr>
              <w:t>Начальник УзиМТО</w:t>
            </w:r>
          </w:p>
        </w:tc>
      </w:tr>
      <w:tr>
        <w:trPr/>
        <w:tc>
          <w:tcPr>
            <w:tcW w:w="1215" w:type="dxa"/>
            <w:tcBorders>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rFonts w:eastAsia="0" w:cs="0"/>
                <w:b/>
                <w:bCs/>
                <w:i/>
                <w:iCs/>
                <w:color w:val="000000"/>
                <w:kern w:val="0"/>
                <w:sz w:val="16"/>
                <w:szCs w:val="16"/>
                <w:shd w:fill="auto" w:val="clear"/>
                <w:lang w:val="ru-RU" w:eastAsia="zh-CN" w:bidi="hi-IN"/>
              </w:rPr>
              <w:t>07.2025</w:t>
            </w:r>
          </w:p>
        </w:tc>
        <w:tc>
          <w:tcPr>
            <w:tcW w:w="1064" w:type="dxa"/>
            <w:tcBorders>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rFonts w:eastAsia="0" w:cs="0"/>
                <w:b/>
                <w:bCs/>
                <w:i/>
                <w:iCs/>
                <w:color w:val="000000"/>
                <w:kern w:val="0"/>
                <w:sz w:val="16"/>
                <w:szCs w:val="16"/>
                <w:shd w:fill="auto" w:val="clear"/>
                <w:lang w:val="ru-RU" w:eastAsia="zh-CN" w:bidi="hi-IN"/>
              </w:rPr>
              <w:t>по н.в.</w:t>
            </w:r>
          </w:p>
        </w:tc>
        <w:tc>
          <w:tcPr>
            <w:tcW w:w="3181" w:type="dxa"/>
            <w:tcBorders>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rFonts w:eastAsia="0" w:cs="0"/>
                <w:b/>
                <w:bCs/>
                <w:i/>
                <w:iCs/>
                <w:color w:val="000000"/>
                <w:kern w:val="0"/>
                <w:sz w:val="16"/>
                <w:szCs w:val="16"/>
                <w:shd w:fill="auto" w:val="clear"/>
                <w:lang w:val="ru-RU" w:eastAsia="zh-CN" w:bidi="hi-IN"/>
              </w:rPr>
              <w:t>ПАО «Камчатскэнерго»</w:t>
            </w:r>
          </w:p>
        </w:tc>
        <w:tc>
          <w:tcPr>
            <w:tcW w:w="3716" w:type="dxa"/>
            <w:tcBorders>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shd w:fill="auto" w:val="clear"/>
              </w:rPr>
              <w:t>Заместитель Генерального директора по управлению ресурсами</w:t>
            </w:r>
          </w:p>
        </w:tc>
      </w:tr>
      <w:tr>
        <w:trPr/>
        <w:tc>
          <w:tcPr>
            <w:tcW w:w="121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sz w:val="16"/>
                <w:szCs w:val="16"/>
              </w:rPr>
            </w:pPr>
            <w:r>
              <w:rPr>
                <w:b/>
                <w:bCs/>
                <w:i/>
                <w:iCs/>
                <w:sz w:val="16"/>
                <w:szCs w:val="16"/>
                <w:shd w:fill="auto" w:val="clear"/>
              </w:rPr>
              <w:t>2025</w:t>
            </w:r>
          </w:p>
        </w:tc>
        <w:tc>
          <w:tcPr>
            <w:tcW w:w="1064"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sz w:val="16"/>
                <w:szCs w:val="16"/>
              </w:rPr>
            </w:pPr>
            <w:r>
              <w:rPr>
                <w:b/>
                <w:bCs/>
                <w:i/>
                <w:iCs/>
                <w:sz w:val="16"/>
                <w:szCs w:val="16"/>
                <w:shd w:fill="auto" w:val="clear"/>
              </w:rPr>
              <w:t>по н.в.</w:t>
            </w:r>
          </w:p>
        </w:tc>
        <w:tc>
          <w:tcPr>
            <w:tcW w:w="318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sz w:val="16"/>
                <w:szCs w:val="16"/>
              </w:rPr>
            </w:pPr>
            <w:r>
              <w:rPr>
                <w:b/>
                <w:bCs/>
                <w:i/>
                <w:iCs/>
                <w:sz w:val="16"/>
                <w:szCs w:val="16"/>
                <w:shd w:fill="auto" w:val="clear"/>
              </w:rPr>
              <w:t>ПАО «Камчатскэнерго»</w:t>
            </w:r>
          </w:p>
        </w:tc>
        <w:tc>
          <w:tcPr>
            <w:tcW w:w="371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sz w:val="16"/>
                <w:szCs w:val="16"/>
              </w:rPr>
            </w:pPr>
            <w:r>
              <w:rPr>
                <w:b/>
                <w:bCs/>
                <w:i/>
                <w:iCs/>
                <w:sz w:val="16"/>
                <w:szCs w:val="16"/>
                <w:shd w:fill="auto" w:val="clear"/>
              </w:rPr>
              <w:t>член Правления</w:t>
            </w:r>
          </w:p>
        </w:tc>
      </w:tr>
    </w:tbl>
    <w:p>
      <w:pPr>
        <w:pStyle w:val="ThinDelim"/>
        <w:spacing w:before="20" w:after="40"/>
        <w:contextualSpacing/>
        <w:jc w:val="both"/>
        <w:rPr>
          <w:b/>
          <w:bCs/>
          <w:i/>
          <w:i/>
          <w:iCs/>
          <w:sz w:val="18"/>
          <w:szCs w:val="18"/>
          <w:highlight w:val="none"/>
          <w:shd w:fill="FFFF00" w:val="clear"/>
        </w:rPr>
      </w:pPr>
      <w:r>
        <w:rPr>
          <w:b/>
          <w:bCs/>
          <w:i/>
          <w:iCs/>
          <w:sz w:val="18"/>
          <w:szCs w:val="18"/>
          <w:shd w:fill="FFFF00" w:val="clear"/>
        </w:rPr>
      </w:r>
    </w:p>
    <w:p>
      <w:pPr>
        <w:pStyle w:val="Default"/>
        <w:jc w:val="both"/>
        <w:rPr/>
      </w:pPr>
      <w:r>
        <w:rPr>
          <w:sz w:val="20"/>
        </w:rPr>
        <w:t xml:space="preserve">Доля участия лица в уставном капитале Эмитента, %: </w:t>
      </w:r>
      <w:r>
        <w:rPr>
          <w:b/>
          <w:i/>
          <w:sz w:val="20"/>
        </w:rPr>
        <w:t xml:space="preserve">не имеет. </w:t>
      </w:r>
    </w:p>
    <w:p>
      <w:pPr>
        <w:pStyle w:val="Default"/>
        <w:jc w:val="both"/>
        <w:rPr/>
      </w:pPr>
      <w:r>
        <w:rPr>
          <w:sz w:val="20"/>
        </w:rPr>
        <w:t xml:space="preserve">Доля принадлежащих лицу обыкновенных акций Эмитента, %: </w:t>
      </w:r>
      <w:r>
        <w:rPr>
          <w:b/>
          <w:i/>
          <w:sz w:val="20"/>
        </w:rPr>
        <w:t xml:space="preserve">не имеет. </w:t>
      </w:r>
    </w:p>
    <w:p>
      <w:pPr>
        <w:pStyle w:val="Normal"/>
        <w:jc w:val="both"/>
        <w:rPr/>
      </w:pPr>
      <w:r>
        <w:rPr>
          <w:sz w:val="20"/>
        </w:rPr>
        <w:t xml:space="preserve">Количество акций Эмитента каждой категории (типа), которые могут быть приобретены лицом в результате конвертации принадлежащих ему ценных бумаг, конвертируемых в акции: </w:t>
      </w:r>
      <w:r>
        <w:rPr>
          <w:b/>
          <w:i/>
          <w:sz w:val="20"/>
        </w:rPr>
        <w:t xml:space="preserve">ценные бумаги, конвертируемые в акции, отсутствуют. </w:t>
      </w:r>
    </w:p>
    <w:p>
      <w:pPr>
        <w:pStyle w:val="Normal"/>
        <w:jc w:val="both"/>
        <w:rPr/>
      </w:pPr>
      <w:r>
        <w:rPr>
          <w:sz w:val="20"/>
        </w:rPr>
        <w:t xml:space="preserve">Доля участия лица в уставном капитале подконтрольных Эмитенту организаций, имеющих для него существенное значение: </w:t>
      </w:r>
      <w:r>
        <w:rPr>
          <w:b/>
          <w:i/>
          <w:sz w:val="20"/>
        </w:rPr>
        <w:t xml:space="preserve">не имеет. </w:t>
      </w:r>
    </w:p>
    <w:p>
      <w:pPr>
        <w:pStyle w:val="Normal"/>
        <w:jc w:val="both"/>
        <w:rPr/>
      </w:pPr>
      <w:r>
        <w:rPr>
          <w:sz w:val="20"/>
        </w:rPr>
        <w:t xml:space="preserve">Доля принадлежащих лицу обыкновенных акций подконтрольных Эмитенту акционерных обществ, имеющих для Эмитента существенное значение: </w:t>
      </w:r>
      <w:r>
        <w:rPr>
          <w:b/>
          <w:i/>
          <w:sz w:val="20"/>
        </w:rPr>
        <w:t xml:space="preserve">не имеет. </w:t>
      </w:r>
    </w:p>
    <w:p>
      <w:pPr>
        <w:pStyle w:val="Normal"/>
        <w:jc w:val="both"/>
        <w:rPr/>
      </w:pPr>
      <w:r>
        <w:rPr>
          <w:sz w:val="20"/>
        </w:rPr>
        <w:t xml:space="preserve">Количество акций каждой категории (типа), подконтрольных Эмитенту акционерных обществ, имеющих для Эмитента существенное значение, которые могут быть приобретены лицом в результате конвертации принадлежащих ему ценных бумаг, конвертируемых в акции: </w:t>
      </w:r>
      <w:r>
        <w:rPr>
          <w:b/>
          <w:i/>
          <w:sz w:val="20"/>
        </w:rPr>
        <w:t xml:space="preserve">не имеет. </w:t>
      </w:r>
    </w:p>
    <w:p>
      <w:pPr>
        <w:pStyle w:val="Normal"/>
        <w:jc w:val="both"/>
        <w:rPr/>
      </w:pPr>
      <w:r>
        <w:rPr>
          <w:sz w:val="20"/>
        </w:rPr>
        <w:t xml:space="preserve">Сведения о характере родственных связей (супруги, родители, дети, усыновители, усыновленные, родные братья и сестры, дедушки, бабушки, внуки) между лицом и членами совета директоров (наблюдательного совета), членами коллегиального исполнительного органа, лицом, занимающим должность (осуществляющим функции) единоличного исполнительного органа Эмитента: </w:t>
      </w:r>
      <w:r>
        <w:rPr>
          <w:b/>
          <w:i/>
          <w:sz w:val="20"/>
        </w:rPr>
        <w:t xml:space="preserve">указанных родственных связей нет. </w:t>
      </w:r>
    </w:p>
    <w:p>
      <w:pPr>
        <w:pStyle w:val="Normal"/>
        <w:jc w:val="both"/>
        <w:rPr/>
      </w:pPr>
      <w:r>
        <w:rPr>
          <w:sz w:val="20"/>
        </w:rPr>
        <w:t xml:space="preserve">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уголовной ответственности (о наличии судимости) за преступления в сфере экономики и (или) за преступления против государственной власти: </w:t>
      </w:r>
      <w:r>
        <w:rPr>
          <w:b/>
          <w:i/>
          <w:sz w:val="20"/>
        </w:rPr>
        <w:t xml:space="preserve">лицо к указанным видам ответственности не привлекалось. </w:t>
      </w:r>
    </w:p>
    <w:p>
      <w:pPr>
        <w:pStyle w:val="Normal"/>
        <w:jc w:val="both"/>
        <w:rPr/>
      </w:pPr>
      <w:r>
        <w:rPr>
          <w:sz w:val="20"/>
        </w:rPr>
        <w:t xml:space="preserve">Сведения о занятии лицом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статьей 27 Федерального закона «О несостоятельности (банкротстве)»: </w:t>
      </w:r>
      <w:r>
        <w:rPr>
          <w:b/>
          <w:i/>
          <w:sz w:val="20"/>
        </w:rPr>
        <w:t>лицо указанных должностей не занимало</w:t>
      </w:r>
      <w:r>
        <w:rPr>
          <w:sz w:val="20"/>
        </w:rPr>
        <w:t xml:space="preserve">. </w:t>
      </w:r>
    </w:p>
    <w:p>
      <w:pPr>
        <w:pStyle w:val="Normal"/>
        <w:jc w:val="both"/>
        <w:rPr>
          <w:sz w:val="20"/>
        </w:rPr>
      </w:pPr>
      <w:r>
        <w:rPr>
          <w:sz w:val="20"/>
        </w:rPr>
      </w:r>
    </w:p>
    <w:p>
      <w:pPr>
        <w:pStyle w:val="Normal"/>
        <w:jc w:val="both"/>
        <w:rPr/>
      </w:pPr>
      <w:r>
        <w:rPr>
          <w:b/>
          <w:bCs/>
        </w:rPr>
        <w:t>Члены Правления избраны решением Совета директоров ПАО «Камчатскэнерго» о</w:t>
      </w:r>
      <w:r>
        <w:rPr>
          <w:b/>
          <w:bCs/>
          <w:shd w:fill="auto" w:val="clear"/>
        </w:rPr>
        <w:t>т 26.12.2025 (Протокол №10).</w:t>
      </w:r>
    </w:p>
    <w:p>
      <w:pPr>
        <w:pStyle w:val="Normal"/>
        <w:jc w:val="both"/>
        <w:rPr>
          <w:b/>
          <w:bCs/>
          <w:shd w:fill="auto" w:val="clear"/>
        </w:rPr>
      </w:pPr>
      <w:r>
        <w:rPr>
          <w:b/>
          <w:bCs/>
          <w:shd w:fill="auto" w:val="clear"/>
        </w:rPr>
      </w:r>
    </w:p>
    <w:p>
      <w:pPr>
        <w:pStyle w:val="Normal"/>
        <w:spacing w:before="20" w:after="40"/>
        <w:contextualSpacing/>
        <w:jc w:val="both"/>
        <w:rPr>
          <w:highlight w:val="none"/>
          <w:shd w:fill="auto" w:val="clear"/>
        </w:rPr>
      </w:pPr>
      <w:r>
        <w:rPr>
          <w:b/>
          <w:bCs/>
          <w:i/>
          <w:shd w:fill="auto" w:val="clear"/>
        </w:rPr>
        <w:t>Изменений в составе информации настоящего пункта между отчетной датой и датой раскрытия соответствующей отчётности, на основе которой в отчёте эмитента раскрывается информация о финансово-хозяйственной деятельности эмитента, не происходило</w:t>
      </w:r>
    </w:p>
    <w:p>
      <w:pPr>
        <w:pStyle w:val="Normal"/>
        <w:jc w:val="both"/>
        <w:rPr/>
      </w:pPr>
      <w:r>
        <w:rPr/>
      </w:r>
    </w:p>
    <w:p>
      <w:pPr>
        <w:pStyle w:val="Normal"/>
        <w:rPr/>
      </w:pPr>
      <w:r>
        <w:rPr>
          <w:rFonts w:ascii="Times New Roman" w:hAnsi="Times New Roman"/>
          <w:b/>
          <w:bCs/>
          <w:sz w:val="24"/>
        </w:rPr>
        <w:t>2.2. Сведения о политике в области вознаграждения и (или) компенсации расходов, а также о размере вознаграждения и (или) компенсации расходов по каждому органу управления эмитента</w:t>
      </w:r>
    </w:p>
    <w:p>
      <w:pPr>
        <w:pStyle w:val="Normal"/>
        <w:spacing w:before="20" w:after="40"/>
        <w:contextualSpacing/>
        <w:jc w:val="both"/>
        <w:rPr/>
      </w:pPr>
      <w:r>
        <w:rPr/>
        <w:t xml:space="preserve">Основные положения политики в области вознаграждения и (или) компенсации расходов членов органов управления эмитента. Дополнительно указываются сведения о принятых органами управления эмитента решениях и (или) существующих соглашениях относительно размера вознаграждения, подлежащего выплате, и (или) размера расходов, подлежащих компенсации. По каждому из органов управления эмитента (за исключением физического лица, занимающего должность (осуществляющего функции) единоличного исполнительного органа эмитента, если только таким лицом не является управляющий) описываются с указанием размера все виды вознаграждения, включая заработную плату членов органов управления эмитента, являющихся (являвшихся) его работниками, в том числе работающих (работавших) по совместительству, премии, комиссионные, вознаграждения, отдельно выплачиваемые за участие в работе указанного органа управления, иные виды вознаграждения, которые были выплачены эмитентом в течение соответствующего отчетного периода, а также описываются с указанием размера расходы, связанные с исполнением функций членов органов управления эмитента, компенсированные эмитентом в течение соответствующего отчетного периода. </w:t>
      </w:r>
    </w:p>
    <w:p>
      <w:pPr>
        <w:pStyle w:val="Normal"/>
        <w:spacing w:before="20" w:after="40"/>
        <w:contextualSpacing/>
        <w:jc w:val="both"/>
        <w:rPr/>
      </w:pPr>
      <w:r>
        <w:rPr/>
      </w:r>
    </w:p>
    <w:p>
      <w:pPr>
        <w:pStyle w:val="Normal"/>
        <w:spacing w:before="20" w:after="40"/>
        <w:contextualSpacing/>
        <w:jc w:val="both"/>
        <w:rPr/>
      </w:pPr>
      <w:r>
        <w:rPr>
          <w:u w:val="single"/>
        </w:rPr>
        <w:t>Совет директоров.</w:t>
      </w:r>
    </w:p>
    <w:p>
      <w:pPr>
        <w:pStyle w:val="Normal"/>
        <w:spacing w:before="20" w:after="40"/>
        <w:contextualSpacing/>
        <w:jc w:val="both"/>
        <w:rPr/>
      </w:pPr>
      <w:r>
        <w:rPr>
          <w:b/>
          <w:i/>
        </w:rPr>
        <w:t>В 2024 году действовало Положение о выплате членам Совета директоров ПАО «Камчатскэнерго» вознаграждений и компенсаций утвержденное 20.05.2022 Общим собранием акционеров ПАО «Камчатскэнерго» (Протокол №1 от 24.05.2022):</w:t>
      </w:r>
    </w:p>
    <w:p>
      <w:pPr>
        <w:pStyle w:val="Normal"/>
        <w:spacing w:before="20" w:after="40"/>
        <w:contextualSpacing/>
        <w:jc w:val="both"/>
        <w:rPr/>
      </w:pPr>
      <w:r>
        <w:rPr>
          <w:b/>
          <w:i/>
        </w:rPr>
        <w:t xml:space="preserve">1.  Выплата вознаграждений и компенсаций производится Обществом в денежной форме. </w:t>
      </w:r>
    </w:p>
    <w:p>
      <w:pPr>
        <w:pStyle w:val="Normal"/>
        <w:spacing w:before="20" w:after="40"/>
        <w:contextualSpacing/>
        <w:jc w:val="both"/>
        <w:rPr/>
      </w:pPr>
      <w:r>
        <w:rPr>
          <w:b/>
          <w:i/>
        </w:rPr>
        <w:t>2. За участие в заседании Совета директоров члену Совета директоров выплачивается вознаграждение в размере суммы, эквивалентной 1 (Одной) минимальной месячной тарифной ставке рабочего первого разряда, установленной отраслевым тарифным соглашением в электроэнергетическом комплексе Российской Федерации на день проведения заседания Совета директоров, в течение 30 (Тридцати) дней с даты заседания Совета директоров.</w:t>
      </w:r>
    </w:p>
    <w:p>
      <w:pPr>
        <w:pStyle w:val="Normal"/>
        <w:spacing w:before="20" w:after="40"/>
        <w:contextualSpacing/>
        <w:jc w:val="both"/>
        <w:rPr/>
      </w:pPr>
      <w:r>
        <w:rPr>
          <w:b/>
          <w:i/>
        </w:rPr>
        <w:t>3.   Общий размер вознаграждения каждого члена Совета директоров за период с даты избрания в состав Совета директоров Общим собранием акционеров до даты прекращения полномочий данного состава Совета директоров не должен превышать базовый размер вознаграждения.</w:t>
      </w:r>
    </w:p>
    <w:p>
      <w:pPr>
        <w:pStyle w:val="Normal"/>
        <w:spacing w:before="20" w:after="40"/>
        <w:contextualSpacing/>
        <w:jc w:val="both"/>
        <w:rPr/>
      </w:pPr>
      <w:r>
        <w:rPr>
          <w:b/>
          <w:i/>
        </w:rPr>
        <w:t>4.   Базовый размер вознаграждения составляет 200 000 (двести тысяч) рублей. Базовый размер вознаграждений подлежит ежегодному пересмотру на величину индекса потребительских цен на товары и услуги по РФ    за прошлый год.</w:t>
      </w:r>
    </w:p>
    <w:p>
      <w:pPr>
        <w:pStyle w:val="Normal"/>
        <w:spacing w:before="20" w:after="40"/>
        <w:contextualSpacing/>
        <w:jc w:val="both"/>
        <w:rPr/>
      </w:pPr>
      <w:r>
        <w:rPr>
          <w:b/>
          <w:i/>
        </w:rPr>
        <w:t>5.  Вознаграждение членам Совета директоров Общества не начисляется и не выплачивается за период полномочий членов Совета директоров, в течение которого они являлись: - членами Центральной закупочной комиссии Общества;- лицами, в отношении которых законодательством Российской Федерации предусмотрено ограничение или запрет на получение каких-либо выплат от коммерческих организаций.</w:t>
        <w:br/>
        <w:t>6. Членам Совета директоров компенсируются фактически понесенные ими расходы (проезд, проживание, питание и т.д.), связанные с их участием в очных заседаниях Совета директоров, Общих собраниях акционеров Общества, а также с прочими поездками и мероприятиями, совершаемыми членами Совета директоров в рамках исполнения своих обязанностей, по нормам возмещения командировочных расходов, действующим в Обществе. Если в Обществе предусмотрено несколько норм возмещения командировочных расходов, применяется норма, предусматривающая максимальный размер возмещения командировочных расходов, установленная для соответствующей территории РФ или территории за пределами РФ.</w:t>
      </w:r>
    </w:p>
    <w:p>
      <w:pPr>
        <w:pStyle w:val="Normal"/>
        <w:spacing w:before="20" w:after="40"/>
        <w:contextualSpacing/>
        <w:jc w:val="both"/>
        <w:rPr/>
      </w:pPr>
      <w:r>
        <w:rPr>
          <w:b/>
          <w:i/>
        </w:rPr>
        <w:t>7. Выплата компенсаций, указанных в пункте 6, производится Обществом в течение 3 (Трех) дней с даты представления документов, подтверждающих произведенные расходы.</w:t>
      </w:r>
    </w:p>
    <w:p>
      <w:pPr>
        <w:pStyle w:val="Normal"/>
        <w:spacing w:before="20" w:after="40"/>
        <w:contextualSpacing/>
        <w:jc w:val="both"/>
        <w:rPr/>
      </w:pPr>
      <w:r>
        <w:rPr/>
      </w:r>
    </w:p>
    <w:p>
      <w:pPr>
        <w:pStyle w:val="Normal"/>
        <w:spacing w:before="20" w:after="40"/>
        <w:contextualSpacing/>
        <w:jc w:val="both"/>
        <w:rPr/>
      </w:pPr>
      <w:r>
        <w:rPr>
          <w:u w:val="single"/>
        </w:rPr>
        <w:t>Правление.</w:t>
        <w:br/>
      </w:r>
      <w:r>
        <w:rPr>
          <w:b/>
          <w:i/>
        </w:rPr>
        <w:t>В соответствии с решением Совета директоров Общества (Протокол № 7 от 26.08.2014 г.) вознаграждения за участие в заседаниях Правления Общества членам Правления не выплачиваются. Доходы членов Правления складываются из их доходов, как штатных сотрудников Общества. Членам Правления Общества выплачивается заработная плата и премии, предусмотрены надбавки, доплаты компенсационного и стимулирующего характера и другие выплаты в соответствии с трудовыми договорами, заключенными с ними как с работниками Общества.</w:t>
      </w:r>
    </w:p>
    <w:p>
      <w:pPr>
        <w:pStyle w:val="Normal"/>
        <w:rPr/>
      </w:pPr>
      <w:r>
        <w:rPr/>
      </w:r>
    </w:p>
    <w:p>
      <w:pPr>
        <w:pStyle w:val="Normal"/>
        <w:rPr/>
      </w:pPr>
      <w:r>
        <w:rPr/>
        <w:t>Вознаграждения</w:t>
      </w:r>
    </w:p>
    <w:p>
      <w:pPr>
        <w:pStyle w:val="Normal"/>
        <w:rPr>
          <w:b/>
          <w:bCs/>
        </w:rPr>
      </w:pPr>
      <w:r>
        <w:rPr>
          <w:b/>
          <w:bCs/>
        </w:rPr>
        <w:t>Совет директоров</w:t>
      </w:r>
    </w:p>
    <w:p>
      <w:pPr>
        <w:pStyle w:val="Normal"/>
        <w:rPr/>
      </w:pPr>
      <w:r>
        <w:rPr/>
        <w:t>Единица измерения:</w:t>
      </w:r>
      <w:r>
        <w:rPr>
          <w:b/>
          <w:i/>
        </w:rPr>
        <w:t xml:space="preserve"> тыс. руб.</w:t>
      </w:r>
    </w:p>
    <w:p>
      <w:pPr>
        <w:pStyle w:val="ThinDelim"/>
        <w:ind w:left="0" w:right="0" w:hanging="0"/>
        <w:rPr/>
      </w:pPr>
      <w:r>
        <w:rPr/>
      </w:r>
    </w:p>
    <w:tbl>
      <w:tblPr>
        <w:tblW w:w="9251" w:type="dxa"/>
        <w:jc w:val="left"/>
        <w:tblInd w:w="44" w:type="dxa"/>
        <w:tblLayout w:type="fixed"/>
        <w:tblCellMar>
          <w:top w:w="0" w:type="dxa"/>
          <w:left w:w="72" w:type="dxa"/>
          <w:bottom w:w="0" w:type="dxa"/>
          <w:right w:w="72" w:type="dxa"/>
        </w:tblCellMar>
      </w:tblPr>
      <w:tblGrid>
        <w:gridCol w:w="6492"/>
        <w:gridCol w:w="2758"/>
      </w:tblGrid>
      <w:tr>
        <w:trPr/>
        <w:tc>
          <w:tcPr>
            <w:tcW w:w="6492" w:type="dxa"/>
            <w:tcBorders>
              <w:top w:val="double" w:sz="6" w:space="0" w:color="000000"/>
              <w:left w:val="double" w:sz="6" w:space="0" w:color="000000"/>
              <w:bottom w:val="single" w:sz="6" w:space="0" w:color="000000"/>
              <w:right w:val="single" w:sz="6" w:space="0" w:color="000000"/>
            </w:tcBorders>
          </w:tcPr>
          <w:p>
            <w:pPr>
              <w:pStyle w:val="Normal"/>
              <w:widowControl w:val="false"/>
              <w:tabs>
                <w:tab w:val="clear" w:pos="720"/>
              </w:tabs>
              <w:spacing w:before="20" w:after="40"/>
              <w:ind w:left="0" w:right="0" w:hanging="0"/>
              <w:contextualSpacing w:val="false"/>
              <w:jc w:val="center"/>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Наименование показателя</w:t>
            </w:r>
          </w:p>
        </w:tc>
        <w:tc>
          <w:tcPr>
            <w:tcW w:w="2758" w:type="dxa"/>
            <w:tcBorders>
              <w:top w:val="double" w:sz="6" w:space="0" w:color="000000"/>
              <w:left w:val="single" w:sz="6" w:space="0" w:color="000000"/>
              <w:bottom w:val="single" w:sz="6" w:space="0" w:color="000000"/>
              <w:right w:val="double" w:sz="6" w:space="0" w:color="000000"/>
            </w:tcBorders>
          </w:tcPr>
          <w:p>
            <w:pPr>
              <w:pStyle w:val="Normal"/>
              <w:widowControl w:val="false"/>
              <w:tabs>
                <w:tab w:val="clear" w:pos="720"/>
              </w:tabs>
              <w:spacing w:before="20" w:after="40"/>
              <w:ind w:left="0" w:right="0" w:hanging="0"/>
              <w:contextualSpacing w:val="false"/>
              <w:jc w:val="center"/>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2025, 12 мес.</w:t>
            </w:r>
          </w:p>
        </w:tc>
      </w:tr>
      <w:tr>
        <w:trPr/>
        <w:tc>
          <w:tcPr>
            <w:tcW w:w="6492" w:type="dxa"/>
            <w:tcBorders>
              <w:top w:val="single" w:sz="6" w:space="0" w:color="000000"/>
              <w:left w:val="double" w:sz="6" w:space="0" w:color="000000"/>
              <w:bottom w:val="single" w:sz="6" w:space="0" w:color="000000"/>
              <w:right w:val="single" w:sz="6" w:space="0" w:color="000000"/>
            </w:tcBorders>
          </w:tcPr>
          <w:p>
            <w:pPr>
              <w:pStyle w:val="Normal"/>
              <w:widowControl w:val="false"/>
              <w:tabs>
                <w:tab w:val="clear" w:pos="720"/>
              </w:tabs>
              <w:spacing w:before="20" w:after="40"/>
              <w:ind w:left="0" w:right="0" w:hanging="0"/>
              <w:contextualSpacing w:val="false"/>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Вознаграждение за участие в работе органа управления</w:t>
            </w:r>
          </w:p>
        </w:tc>
        <w:tc>
          <w:tcPr>
            <w:tcW w:w="2758" w:type="dxa"/>
            <w:tcBorders>
              <w:top w:val="single" w:sz="6" w:space="0" w:color="000000"/>
              <w:left w:val="single" w:sz="6" w:space="0" w:color="000000"/>
              <w:bottom w:val="single" w:sz="6" w:space="0" w:color="000000"/>
              <w:right w:val="double" w:sz="6" w:space="0" w:color="000000"/>
            </w:tcBorders>
          </w:tcPr>
          <w:p>
            <w:pPr>
              <w:pStyle w:val="Normal"/>
              <w:widowControl w:val="false"/>
              <w:tabs>
                <w:tab w:val="clear" w:pos="720"/>
              </w:tabs>
              <w:spacing w:before="20" w:after="40"/>
              <w:ind w:left="0" w:right="0" w:hanging="0"/>
              <w:contextualSpacing w:val="false"/>
              <w:jc w:val="right"/>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1 456</w:t>
            </w:r>
          </w:p>
        </w:tc>
      </w:tr>
      <w:tr>
        <w:trPr/>
        <w:tc>
          <w:tcPr>
            <w:tcW w:w="6492" w:type="dxa"/>
            <w:tcBorders>
              <w:top w:val="single" w:sz="6" w:space="0" w:color="000000"/>
              <w:left w:val="double" w:sz="6" w:space="0" w:color="000000"/>
              <w:bottom w:val="single" w:sz="6" w:space="0" w:color="000000"/>
              <w:right w:val="single" w:sz="6" w:space="0" w:color="000000"/>
            </w:tcBorders>
          </w:tcPr>
          <w:p>
            <w:pPr>
              <w:pStyle w:val="Normal"/>
              <w:widowControl w:val="false"/>
              <w:tabs>
                <w:tab w:val="clear" w:pos="720"/>
              </w:tabs>
              <w:spacing w:before="20" w:after="40"/>
              <w:ind w:left="0" w:right="0" w:hanging="0"/>
              <w:contextualSpacing w:val="false"/>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Заработная плата</w:t>
            </w:r>
          </w:p>
        </w:tc>
        <w:tc>
          <w:tcPr>
            <w:tcW w:w="2758" w:type="dxa"/>
            <w:tcBorders>
              <w:top w:val="single" w:sz="6" w:space="0" w:color="000000"/>
              <w:left w:val="single" w:sz="6" w:space="0" w:color="000000"/>
              <w:bottom w:val="single" w:sz="6" w:space="0" w:color="000000"/>
              <w:right w:val="double" w:sz="6" w:space="0" w:color="000000"/>
            </w:tcBorders>
          </w:tcPr>
          <w:p>
            <w:pPr>
              <w:pStyle w:val="Normal"/>
              <w:widowControl w:val="false"/>
              <w:tabs>
                <w:tab w:val="clear" w:pos="720"/>
              </w:tabs>
              <w:spacing w:before="0" w:after="0"/>
              <w:ind w:left="0" w:right="0" w:hanging="0"/>
              <w:contextualSpacing w:val="false"/>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r>
          </w:p>
        </w:tc>
      </w:tr>
      <w:tr>
        <w:trPr/>
        <w:tc>
          <w:tcPr>
            <w:tcW w:w="6492" w:type="dxa"/>
            <w:tcBorders>
              <w:top w:val="single" w:sz="6" w:space="0" w:color="000000"/>
              <w:left w:val="double" w:sz="6" w:space="0" w:color="000000"/>
              <w:bottom w:val="single" w:sz="6" w:space="0" w:color="000000"/>
              <w:right w:val="single" w:sz="6" w:space="0" w:color="000000"/>
            </w:tcBorders>
          </w:tcPr>
          <w:p>
            <w:pPr>
              <w:pStyle w:val="Normal"/>
              <w:widowControl w:val="false"/>
              <w:tabs>
                <w:tab w:val="clear" w:pos="720"/>
              </w:tabs>
              <w:spacing w:before="20" w:after="40"/>
              <w:ind w:left="0" w:right="0" w:hanging="0"/>
              <w:contextualSpacing w:val="false"/>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Премии</w:t>
            </w:r>
          </w:p>
        </w:tc>
        <w:tc>
          <w:tcPr>
            <w:tcW w:w="2758" w:type="dxa"/>
            <w:tcBorders>
              <w:top w:val="single" w:sz="6" w:space="0" w:color="000000"/>
              <w:left w:val="single" w:sz="6" w:space="0" w:color="000000"/>
              <w:bottom w:val="single" w:sz="6" w:space="0" w:color="000000"/>
              <w:right w:val="double" w:sz="6" w:space="0" w:color="000000"/>
            </w:tcBorders>
          </w:tcPr>
          <w:p>
            <w:pPr>
              <w:pStyle w:val="Normal"/>
              <w:widowControl w:val="false"/>
              <w:tabs>
                <w:tab w:val="clear" w:pos="720"/>
              </w:tabs>
              <w:spacing w:before="0" w:after="0"/>
              <w:ind w:left="0" w:right="0" w:hanging="0"/>
              <w:contextualSpacing w:val="false"/>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r>
          </w:p>
        </w:tc>
      </w:tr>
      <w:tr>
        <w:trPr/>
        <w:tc>
          <w:tcPr>
            <w:tcW w:w="6492" w:type="dxa"/>
            <w:tcBorders>
              <w:top w:val="single" w:sz="6" w:space="0" w:color="000000"/>
              <w:left w:val="double" w:sz="6" w:space="0" w:color="000000"/>
              <w:bottom w:val="single" w:sz="6" w:space="0" w:color="000000"/>
              <w:right w:val="single" w:sz="6" w:space="0" w:color="000000"/>
            </w:tcBorders>
          </w:tcPr>
          <w:p>
            <w:pPr>
              <w:pStyle w:val="Normal"/>
              <w:widowControl w:val="false"/>
              <w:tabs>
                <w:tab w:val="clear" w:pos="720"/>
              </w:tabs>
              <w:spacing w:before="20" w:after="40"/>
              <w:ind w:left="0" w:right="0" w:hanging="0"/>
              <w:contextualSpacing w:val="false"/>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Комиссионные</w:t>
            </w:r>
          </w:p>
        </w:tc>
        <w:tc>
          <w:tcPr>
            <w:tcW w:w="2758" w:type="dxa"/>
            <w:tcBorders>
              <w:top w:val="single" w:sz="6" w:space="0" w:color="000000"/>
              <w:left w:val="single" w:sz="6" w:space="0" w:color="000000"/>
              <w:bottom w:val="single" w:sz="6" w:space="0" w:color="000000"/>
              <w:right w:val="double" w:sz="6" w:space="0" w:color="000000"/>
            </w:tcBorders>
          </w:tcPr>
          <w:p>
            <w:pPr>
              <w:pStyle w:val="Normal"/>
              <w:widowControl w:val="false"/>
              <w:tabs>
                <w:tab w:val="clear" w:pos="720"/>
              </w:tabs>
              <w:spacing w:before="0" w:after="0"/>
              <w:ind w:left="0" w:right="0" w:hanging="0"/>
              <w:contextualSpacing w:val="false"/>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r>
          </w:p>
        </w:tc>
      </w:tr>
      <w:tr>
        <w:trPr/>
        <w:tc>
          <w:tcPr>
            <w:tcW w:w="6492" w:type="dxa"/>
            <w:tcBorders>
              <w:top w:val="single" w:sz="6" w:space="0" w:color="000000"/>
              <w:left w:val="double" w:sz="6" w:space="0" w:color="000000"/>
              <w:bottom w:val="single" w:sz="6" w:space="0" w:color="000000"/>
              <w:right w:val="single" w:sz="6" w:space="0" w:color="000000"/>
            </w:tcBorders>
          </w:tcPr>
          <w:p>
            <w:pPr>
              <w:pStyle w:val="Normal"/>
              <w:widowControl w:val="false"/>
              <w:tabs>
                <w:tab w:val="clear" w:pos="720"/>
              </w:tabs>
              <w:spacing w:before="20" w:after="40"/>
              <w:ind w:left="0" w:right="0" w:hanging="0"/>
              <w:contextualSpacing w:val="false"/>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Иные виды вознаграждений</w:t>
            </w:r>
          </w:p>
        </w:tc>
        <w:tc>
          <w:tcPr>
            <w:tcW w:w="2758" w:type="dxa"/>
            <w:tcBorders>
              <w:top w:val="single" w:sz="6" w:space="0" w:color="000000"/>
              <w:left w:val="single" w:sz="6" w:space="0" w:color="000000"/>
              <w:bottom w:val="single" w:sz="6" w:space="0" w:color="000000"/>
              <w:right w:val="double" w:sz="6" w:space="0" w:color="000000"/>
            </w:tcBorders>
          </w:tcPr>
          <w:p>
            <w:pPr>
              <w:pStyle w:val="Normal"/>
              <w:widowControl w:val="false"/>
              <w:tabs>
                <w:tab w:val="clear" w:pos="720"/>
              </w:tabs>
              <w:spacing w:before="0" w:after="0"/>
              <w:ind w:left="0" w:right="0" w:hanging="0"/>
              <w:contextualSpacing w:val="false"/>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r>
          </w:p>
        </w:tc>
      </w:tr>
      <w:tr>
        <w:trPr/>
        <w:tc>
          <w:tcPr>
            <w:tcW w:w="6492" w:type="dxa"/>
            <w:tcBorders>
              <w:top w:val="single" w:sz="6" w:space="0" w:color="000000"/>
              <w:left w:val="double" w:sz="6" w:space="0" w:color="000000"/>
              <w:bottom w:val="double" w:sz="6" w:space="0" w:color="000000"/>
              <w:right w:val="single" w:sz="6" w:space="0" w:color="000000"/>
            </w:tcBorders>
          </w:tcPr>
          <w:p>
            <w:pPr>
              <w:pStyle w:val="Normal"/>
              <w:widowControl w:val="false"/>
              <w:tabs>
                <w:tab w:val="clear" w:pos="720"/>
              </w:tabs>
              <w:spacing w:before="20" w:after="40"/>
              <w:ind w:left="0" w:right="0" w:hanging="0"/>
              <w:contextualSpacing w:val="false"/>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ИТОГО</w:t>
            </w:r>
          </w:p>
        </w:tc>
        <w:tc>
          <w:tcPr>
            <w:tcW w:w="2758" w:type="dxa"/>
            <w:tcBorders>
              <w:top w:val="single" w:sz="6" w:space="0" w:color="000000"/>
              <w:left w:val="single" w:sz="6" w:space="0" w:color="000000"/>
              <w:bottom w:val="double" w:sz="6" w:space="0" w:color="000000"/>
              <w:right w:val="double" w:sz="6" w:space="0" w:color="000000"/>
            </w:tcBorders>
          </w:tcPr>
          <w:p>
            <w:pPr>
              <w:pStyle w:val="Normal"/>
              <w:widowControl w:val="false"/>
              <w:tabs>
                <w:tab w:val="clear" w:pos="720"/>
              </w:tabs>
              <w:spacing w:before="20" w:after="40"/>
              <w:ind w:left="0" w:right="0" w:hanging="0"/>
              <w:contextualSpacing w:val="false"/>
              <w:jc w:val="right"/>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1 456</w:t>
            </w:r>
          </w:p>
        </w:tc>
      </w:tr>
    </w:tbl>
    <w:p>
      <w:pPr>
        <w:pStyle w:val="SubHeading"/>
        <w:spacing w:before="240" w:after="40"/>
        <w:contextualSpacing/>
        <w:jc w:val="both"/>
        <w:rPr>
          <w:b/>
          <w:bCs/>
        </w:rPr>
      </w:pPr>
      <w:r>
        <w:rPr>
          <w:b/>
          <w:bCs/>
        </w:rPr>
        <w:t>Коллегиальный исполнительный орган</w:t>
      </w:r>
    </w:p>
    <w:p>
      <w:pPr>
        <w:pStyle w:val="Normal"/>
        <w:spacing w:before="20" w:after="40"/>
        <w:contextualSpacing/>
        <w:jc w:val="both"/>
        <w:rPr/>
      </w:pPr>
      <w:r>
        <w:rPr/>
        <w:t>Единица измерения:</w:t>
      </w:r>
      <w:r>
        <w:rPr>
          <w:b/>
          <w:i/>
        </w:rPr>
        <w:t xml:space="preserve"> тыс. руб.</w:t>
      </w:r>
    </w:p>
    <w:p>
      <w:pPr>
        <w:pStyle w:val="ThinDelim"/>
        <w:ind w:left="0" w:right="0" w:hanging="0"/>
        <w:rPr/>
      </w:pPr>
      <w:r>
        <w:rPr/>
      </w:r>
    </w:p>
    <w:tbl>
      <w:tblPr>
        <w:tblW w:w="9251" w:type="dxa"/>
        <w:jc w:val="left"/>
        <w:tblInd w:w="44" w:type="dxa"/>
        <w:tblLayout w:type="fixed"/>
        <w:tblCellMar>
          <w:top w:w="0" w:type="dxa"/>
          <w:left w:w="72" w:type="dxa"/>
          <w:bottom w:w="0" w:type="dxa"/>
          <w:right w:w="72" w:type="dxa"/>
        </w:tblCellMar>
      </w:tblPr>
      <w:tblGrid>
        <w:gridCol w:w="6492"/>
        <w:gridCol w:w="2758"/>
      </w:tblGrid>
      <w:tr>
        <w:trPr/>
        <w:tc>
          <w:tcPr>
            <w:tcW w:w="6492" w:type="dxa"/>
            <w:tcBorders>
              <w:top w:val="double" w:sz="6" w:space="0" w:color="000000"/>
              <w:left w:val="double" w:sz="6" w:space="0" w:color="000000"/>
              <w:bottom w:val="single" w:sz="6" w:space="0" w:color="000000"/>
              <w:right w:val="single" w:sz="6" w:space="0" w:color="000000"/>
            </w:tcBorders>
          </w:tcPr>
          <w:p>
            <w:pPr>
              <w:pStyle w:val="Normal"/>
              <w:widowControl w:val="false"/>
              <w:tabs>
                <w:tab w:val="clear" w:pos="720"/>
              </w:tabs>
              <w:spacing w:before="20" w:after="40"/>
              <w:ind w:left="0" w:right="0" w:hanging="0"/>
              <w:contextualSpacing w:val="false"/>
              <w:jc w:val="center"/>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Наименование показателя</w:t>
            </w:r>
          </w:p>
        </w:tc>
        <w:tc>
          <w:tcPr>
            <w:tcW w:w="2758" w:type="dxa"/>
            <w:tcBorders>
              <w:top w:val="double" w:sz="6" w:space="0" w:color="000000"/>
              <w:left w:val="single" w:sz="6" w:space="0" w:color="000000"/>
              <w:bottom w:val="single" w:sz="6" w:space="0" w:color="000000"/>
              <w:right w:val="double" w:sz="6" w:space="0" w:color="000000"/>
            </w:tcBorders>
          </w:tcPr>
          <w:p>
            <w:pPr>
              <w:pStyle w:val="Normal"/>
              <w:widowControl w:val="false"/>
              <w:tabs>
                <w:tab w:val="clear" w:pos="720"/>
              </w:tabs>
              <w:spacing w:before="20" w:after="40"/>
              <w:ind w:left="0" w:right="0" w:hanging="0"/>
              <w:contextualSpacing w:val="false"/>
              <w:jc w:val="center"/>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2025, 12 мес.</w:t>
            </w:r>
          </w:p>
        </w:tc>
      </w:tr>
      <w:tr>
        <w:trPr/>
        <w:tc>
          <w:tcPr>
            <w:tcW w:w="6492" w:type="dxa"/>
            <w:tcBorders>
              <w:top w:val="single" w:sz="6" w:space="0" w:color="000000"/>
              <w:left w:val="double" w:sz="6" w:space="0" w:color="000000"/>
              <w:bottom w:val="single" w:sz="6" w:space="0" w:color="000000"/>
              <w:right w:val="single" w:sz="6" w:space="0" w:color="000000"/>
            </w:tcBorders>
          </w:tcPr>
          <w:p>
            <w:pPr>
              <w:pStyle w:val="Normal"/>
              <w:widowControl w:val="false"/>
              <w:tabs>
                <w:tab w:val="clear" w:pos="720"/>
              </w:tabs>
              <w:spacing w:before="20" w:after="40"/>
              <w:ind w:left="0" w:right="0" w:hanging="0"/>
              <w:contextualSpacing w:val="false"/>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Вознаграждение за участие в работе органа управления</w:t>
            </w:r>
          </w:p>
        </w:tc>
        <w:tc>
          <w:tcPr>
            <w:tcW w:w="2758" w:type="dxa"/>
            <w:tcBorders>
              <w:top w:val="single" w:sz="6" w:space="0" w:color="000000"/>
              <w:left w:val="single" w:sz="6" w:space="0" w:color="000000"/>
              <w:bottom w:val="single" w:sz="6" w:space="0" w:color="000000"/>
              <w:right w:val="double" w:sz="6" w:space="0" w:color="000000"/>
            </w:tcBorders>
          </w:tcPr>
          <w:p>
            <w:pPr>
              <w:pStyle w:val="Normal"/>
              <w:widowControl w:val="false"/>
              <w:tabs>
                <w:tab w:val="clear" w:pos="720"/>
              </w:tabs>
              <w:spacing w:before="0" w:after="0"/>
              <w:ind w:left="0" w:right="0" w:hanging="0"/>
              <w:contextualSpacing w:val="false"/>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r>
          </w:p>
        </w:tc>
      </w:tr>
      <w:tr>
        <w:trPr/>
        <w:tc>
          <w:tcPr>
            <w:tcW w:w="6492" w:type="dxa"/>
            <w:tcBorders>
              <w:top w:val="single" w:sz="6" w:space="0" w:color="000000"/>
              <w:left w:val="double" w:sz="6" w:space="0" w:color="000000"/>
              <w:bottom w:val="single" w:sz="6" w:space="0" w:color="000000"/>
              <w:right w:val="single" w:sz="6" w:space="0" w:color="000000"/>
            </w:tcBorders>
          </w:tcPr>
          <w:p>
            <w:pPr>
              <w:pStyle w:val="Normal"/>
              <w:widowControl w:val="false"/>
              <w:tabs>
                <w:tab w:val="clear" w:pos="720"/>
              </w:tabs>
              <w:spacing w:before="20" w:after="40"/>
              <w:ind w:left="0" w:right="0" w:hanging="0"/>
              <w:contextualSpacing w:val="false"/>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Заработная плата</w:t>
            </w:r>
          </w:p>
        </w:tc>
        <w:tc>
          <w:tcPr>
            <w:tcW w:w="2758" w:type="dxa"/>
            <w:tcBorders>
              <w:top w:val="single" w:sz="6" w:space="0" w:color="000000"/>
              <w:left w:val="single" w:sz="6" w:space="0" w:color="000000"/>
              <w:bottom w:val="single" w:sz="6" w:space="0" w:color="000000"/>
              <w:right w:val="double" w:sz="6" w:space="0" w:color="000000"/>
            </w:tcBorders>
          </w:tcPr>
          <w:p>
            <w:pPr>
              <w:pStyle w:val="Normal"/>
              <w:widowControl w:val="false"/>
              <w:tabs>
                <w:tab w:val="clear" w:pos="720"/>
              </w:tabs>
              <w:spacing w:before="20" w:after="40"/>
              <w:ind w:left="0" w:right="0" w:hanging="0"/>
              <w:contextualSpacing w:val="false"/>
              <w:jc w:val="right"/>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46 191</w:t>
            </w:r>
          </w:p>
        </w:tc>
      </w:tr>
      <w:tr>
        <w:trPr/>
        <w:tc>
          <w:tcPr>
            <w:tcW w:w="6492" w:type="dxa"/>
            <w:tcBorders>
              <w:top w:val="single" w:sz="6" w:space="0" w:color="000000"/>
              <w:left w:val="double" w:sz="6" w:space="0" w:color="000000"/>
              <w:bottom w:val="single" w:sz="6" w:space="0" w:color="000000"/>
              <w:right w:val="single" w:sz="6" w:space="0" w:color="000000"/>
            </w:tcBorders>
          </w:tcPr>
          <w:p>
            <w:pPr>
              <w:pStyle w:val="Normal"/>
              <w:widowControl w:val="false"/>
              <w:tabs>
                <w:tab w:val="clear" w:pos="720"/>
              </w:tabs>
              <w:spacing w:before="20" w:after="40"/>
              <w:ind w:left="0" w:right="0" w:hanging="0"/>
              <w:contextualSpacing w:val="false"/>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Премии</w:t>
            </w:r>
          </w:p>
        </w:tc>
        <w:tc>
          <w:tcPr>
            <w:tcW w:w="2758" w:type="dxa"/>
            <w:tcBorders>
              <w:top w:val="single" w:sz="6" w:space="0" w:color="000000"/>
              <w:left w:val="single" w:sz="6" w:space="0" w:color="000000"/>
              <w:bottom w:val="single" w:sz="6" w:space="0" w:color="000000"/>
              <w:right w:val="double" w:sz="6" w:space="0" w:color="000000"/>
            </w:tcBorders>
          </w:tcPr>
          <w:p>
            <w:pPr>
              <w:pStyle w:val="Normal"/>
              <w:widowControl w:val="false"/>
              <w:tabs>
                <w:tab w:val="clear" w:pos="720"/>
              </w:tabs>
              <w:spacing w:before="20" w:after="40"/>
              <w:ind w:left="0" w:right="0" w:hanging="0"/>
              <w:contextualSpacing w:val="false"/>
              <w:jc w:val="right"/>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41 088</w:t>
            </w:r>
          </w:p>
        </w:tc>
      </w:tr>
      <w:tr>
        <w:trPr/>
        <w:tc>
          <w:tcPr>
            <w:tcW w:w="6492" w:type="dxa"/>
            <w:tcBorders>
              <w:top w:val="single" w:sz="6" w:space="0" w:color="000000"/>
              <w:left w:val="double" w:sz="6" w:space="0" w:color="000000"/>
              <w:bottom w:val="single" w:sz="6" w:space="0" w:color="000000"/>
              <w:right w:val="single" w:sz="6" w:space="0" w:color="000000"/>
            </w:tcBorders>
          </w:tcPr>
          <w:p>
            <w:pPr>
              <w:pStyle w:val="Normal"/>
              <w:widowControl w:val="false"/>
              <w:tabs>
                <w:tab w:val="clear" w:pos="720"/>
              </w:tabs>
              <w:spacing w:before="20" w:after="40"/>
              <w:ind w:left="0" w:right="0" w:hanging="0"/>
              <w:contextualSpacing w:val="false"/>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Комиссионные</w:t>
            </w:r>
          </w:p>
        </w:tc>
        <w:tc>
          <w:tcPr>
            <w:tcW w:w="2758" w:type="dxa"/>
            <w:tcBorders>
              <w:top w:val="single" w:sz="6" w:space="0" w:color="000000"/>
              <w:left w:val="single" w:sz="6" w:space="0" w:color="000000"/>
              <w:bottom w:val="single" w:sz="6" w:space="0" w:color="000000"/>
              <w:right w:val="double" w:sz="6" w:space="0" w:color="000000"/>
            </w:tcBorders>
          </w:tcPr>
          <w:p>
            <w:pPr>
              <w:pStyle w:val="Normal"/>
              <w:widowControl w:val="false"/>
              <w:tabs>
                <w:tab w:val="clear" w:pos="720"/>
              </w:tabs>
              <w:spacing w:before="0" w:after="0"/>
              <w:ind w:left="0" w:right="0" w:hanging="0"/>
              <w:contextualSpacing w:val="false"/>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r>
          </w:p>
        </w:tc>
      </w:tr>
      <w:tr>
        <w:trPr/>
        <w:tc>
          <w:tcPr>
            <w:tcW w:w="6492" w:type="dxa"/>
            <w:tcBorders>
              <w:top w:val="single" w:sz="6" w:space="0" w:color="000000"/>
              <w:left w:val="double" w:sz="6" w:space="0" w:color="000000"/>
              <w:bottom w:val="single" w:sz="6" w:space="0" w:color="000000"/>
              <w:right w:val="single" w:sz="6" w:space="0" w:color="000000"/>
            </w:tcBorders>
          </w:tcPr>
          <w:p>
            <w:pPr>
              <w:pStyle w:val="Normal"/>
              <w:widowControl w:val="false"/>
              <w:tabs>
                <w:tab w:val="clear" w:pos="720"/>
              </w:tabs>
              <w:spacing w:before="20" w:after="40"/>
              <w:ind w:left="0" w:right="0" w:hanging="0"/>
              <w:contextualSpacing w:val="false"/>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Иные виды вознаграждений</w:t>
            </w:r>
          </w:p>
        </w:tc>
        <w:tc>
          <w:tcPr>
            <w:tcW w:w="2758" w:type="dxa"/>
            <w:tcBorders>
              <w:top w:val="single" w:sz="6" w:space="0" w:color="000000"/>
              <w:left w:val="single" w:sz="6" w:space="0" w:color="000000"/>
              <w:bottom w:val="single" w:sz="6" w:space="0" w:color="000000"/>
              <w:right w:val="double" w:sz="6" w:space="0" w:color="000000"/>
            </w:tcBorders>
          </w:tcPr>
          <w:p>
            <w:pPr>
              <w:pStyle w:val="Normal"/>
              <w:widowControl w:val="false"/>
              <w:tabs>
                <w:tab w:val="clear" w:pos="720"/>
              </w:tabs>
              <w:spacing w:before="0" w:after="0"/>
              <w:ind w:left="0" w:right="0" w:hanging="0"/>
              <w:contextualSpacing w:val="false"/>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r>
          </w:p>
        </w:tc>
      </w:tr>
      <w:tr>
        <w:trPr/>
        <w:tc>
          <w:tcPr>
            <w:tcW w:w="6492" w:type="dxa"/>
            <w:tcBorders>
              <w:top w:val="single" w:sz="6" w:space="0" w:color="000000"/>
              <w:left w:val="double" w:sz="6" w:space="0" w:color="000000"/>
              <w:bottom w:val="double" w:sz="6" w:space="0" w:color="000000"/>
              <w:right w:val="single" w:sz="6" w:space="0" w:color="000000"/>
            </w:tcBorders>
          </w:tcPr>
          <w:p>
            <w:pPr>
              <w:pStyle w:val="Normal"/>
              <w:widowControl w:val="false"/>
              <w:tabs>
                <w:tab w:val="clear" w:pos="720"/>
              </w:tabs>
              <w:spacing w:before="20" w:after="40"/>
              <w:ind w:left="0" w:right="0" w:hanging="0"/>
              <w:contextualSpacing w:val="false"/>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ИТОГО</w:t>
            </w:r>
          </w:p>
        </w:tc>
        <w:tc>
          <w:tcPr>
            <w:tcW w:w="2758" w:type="dxa"/>
            <w:tcBorders>
              <w:top w:val="single" w:sz="6" w:space="0" w:color="000000"/>
              <w:left w:val="single" w:sz="6" w:space="0" w:color="000000"/>
              <w:bottom w:val="double" w:sz="6" w:space="0" w:color="000000"/>
              <w:right w:val="double" w:sz="6" w:space="0" w:color="000000"/>
            </w:tcBorders>
          </w:tcPr>
          <w:p>
            <w:pPr>
              <w:pStyle w:val="Normal"/>
              <w:widowControl w:val="false"/>
              <w:tabs>
                <w:tab w:val="clear" w:pos="720"/>
              </w:tabs>
              <w:spacing w:before="20" w:after="40"/>
              <w:ind w:left="0" w:right="0" w:hanging="0"/>
              <w:contextualSpacing w:val="false"/>
              <w:jc w:val="right"/>
              <w:rPr>
                <w:rFonts w:ascii="0" w:hAnsi="0" w:eastAsia="0" w:cs="0"/>
                <w:b/>
                <w:bCs/>
                <w:i/>
                <w:i/>
                <w:iCs/>
                <w:color w:val="000000"/>
                <w:kern w:val="0"/>
                <w:sz w:val="18"/>
                <w:szCs w:val="18"/>
                <w:lang w:val="ru-RU" w:eastAsia="zh-CN" w:bidi="hi-IN"/>
              </w:rPr>
            </w:pPr>
            <w:r>
              <w:rPr>
                <w:rFonts w:eastAsia="0" w:cs="0"/>
                <w:b/>
                <w:bCs/>
                <w:i/>
                <w:iCs/>
                <w:color w:val="000000"/>
                <w:kern w:val="0"/>
                <w:sz w:val="18"/>
                <w:szCs w:val="18"/>
                <w:lang w:val="ru-RU" w:eastAsia="zh-CN" w:bidi="hi-IN"/>
              </w:rPr>
              <w:t>87 279</w:t>
            </w:r>
          </w:p>
        </w:tc>
      </w:tr>
    </w:tbl>
    <w:p>
      <w:pPr>
        <w:pStyle w:val="Normal"/>
        <w:widowControl w:val="false"/>
        <w:ind w:left="0" w:right="0" w:hanging="0"/>
        <w:rPr/>
      </w:pPr>
      <w:r>
        <w:rPr/>
      </w:r>
    </w:p>
    <w:p>
      <w:pPr>
        <w:pStyle w:val="Normal"/>
        <w:spacing w:before="20" w:after="40"/>
        <w:contextualSpacing/>
        <w:jc w:val="both"/>
        <w:rPr/>
      </w:pPr>
      <w:r>
        <w:rPr/>
        <w:t xml:space="preserve">Сведения о принятых органами управления эмитента решениях и (или) существующих соглашениях относительно размера вознаграждения, подлежащего выплате, и (или) размера расходов, подлежащих компенсации: </w:t>
      </w:r>
      <w:r>
        <w:rPr>
          <w:b/>
          <w:i/>
        </w:rPr>
        <w:t>решения и существующие соглашения   относительно размера вознаграждения, подлежащего выплате, и размера расходов, подлежащих компенсации не принимались.</w:t>
        <w:br/>
      </w:r>
    </w:p>
    <w:p>
      <w:pPr>
        <w:pStyle w:val="Normal"/>
        <w:spacing w:before="20" w:after="40"/>
        <w:contextualSpacing/>
        <w:jc w:val="both"/>
        <w:rPr/>
      </w:pPr>
      <w:r>
        <w:rPr>
          <w:b/>
          <w:i/>
        </w:rPr>
        <w:t>Иные решения, принятые органами управления, или соглашения относительно размера вознаграждения, подлежащего выплате, или размера расходов, подлежащих компенсации, отсутствуют.</w:t>
      </w:r>
    </w:p>
    <w:p>
      <w:pPr>
        <w:pStyle w:val="Normal"/>
        <w:spacing w:before="20" w:after="40"/>
        <w:contextualSpacing/>
        <w:jc w:val="both"/>
        <w:rPr/>
      </w:pPr>
      <w:r>
        <w:rPr/>
      </w:r>
    </w:p>
    <w:p>
      <w:pPr>
        <w:pStyle w:val="Normal"/>
        <w:spacing w:before="20" w:after="40"/>
        <w:contextualSpacing/>
        <w:jc w:val="both"/>
        <w:rPr/>
      </w:pPr>
      <w:r>
        <w:rPr/>
      </w:r>
    </w:p>
    <w:p>
      <w:pPr>
        <w:pStyle w:val="Normal"/>
        <w:jc w:val="both"/>
        <w:rPr/>
      </w:pPr>
      <w:r>
        <w:rPr>
          <w:rFonts w:ascii="Times New Roman" w:hAnsi="Times New Roman"/>
          <w:b/>
          <w:bCs/>
          <w:sz w:val="24"/>
        </w:rPr>
        <w:t>2.3. Сведения об организации в эмитенте управления рисками, контроля за финансово-хозяйственной деятельностью, внутреннего контроля и внутреннего аудита</w:t>
      </w:r>
    </w:p>
    <w:p>
      <w:pPr>
        <w:pStyle w:val="Normal"/>
        <w:spacing w:before="20" w:after="40"/>
        <w:contextualSpacing/>
        <w:jc w:val="both"/>
        <w:rPr/>
      </w:pPr>
      <w:r>
        <w:rPr/>
      </w:r>
    </w:p>
    <w:p>
      <w:pPr>
        <w:pStyle w:val="Normal"/>
        <w:spacing w:before="20" w:after="40"/>
        <w:contextualSpacing/>
        <w:jc w:val="both"/>
        <w:rPr/>
      </w:pPr>
      <w:r>
        <w:rPr/>
        <w:t>Описание организации в эмитенте управления рисками, контроля за финансово-хозяйственной деятельностью, внутреннего контроля и внутреннего аудита в соответствии с уставом (учредительным документом) эмитента, внутренними документами эмитента и решениями уполномоченных органов управления эмитента:</w:t>
      </w:r>
    </w:p>
    <w:p>
      <w:pPr>
        <w:pStyle w:val="Normal"/>
        <w:spacing w:before="20" w:after="40"/>
        <w:contextualSpacing/>
        <w:jc w:val="both"/>
        <w:rPr/>
      </w:pPr>
      <w:r>
        <w:rPr>
          <w:b/>
          <w:i/>
        </w:rPr>
        <w:t>Контроль за финансово-хозяйственной деятельностью Общества осуществляют:</w:t>
      </w:r>
    </w:p>
    <w:p>
      <w:pPr>
        <w:pStyle w:val="Normal"/>
        <w:spacing w:before="20" w:after="40"/>
        <w:contextualSpacing/>
        <w:jc w:val="both"/>
        <w:rPr/>
      </w:pPr>
      <w:r>
        <w:rPr>
          <w:b/>
          <w:i/>
        </w:rPr>
        <w:t xml:space="preserve">- Комитет по аудиту при Совете директоров Общества </w:t>
      </w:r>
    </w:p>
    <w:p>
      <w:pPr>
        <w:pStyle w:val="Normal"/>
        <w:spacing w:before="20" w:after="40"/>
        <w:contextualSpacing/>
        <w:jc w:val="both"/>
        <w:rPr/>
      </w:pPr>
      <w:r>
        <w:rPr>
          <w:b/>
          <w:i/>
        </w:rPr>
        <w:t>- Ревизионная комиссия</w:t>
      </w:r>
    </w:p>
    <w:p>
      <w:pPr>
        <w:pStyle w:val="Normal"/>
        <w:spacing w:before="20" w:after="40"/>
        <w:contextualSpacing/>
        <w:jc w:val="both"/>
        <w:rPr/>
      </w:pPr>
      <w:r>
        <w:rPr>
          <w:b/>
          <w:i/>
        </w:rPr>
        <w:t>- Отдел контроля, анализа производственной деятельности и управления рисками</w:t>
      </w:r>
    </w:p>
    <w:p>
      <w:pPr>
        <w:pStyle w:val="Normal"/>
        <w:spacing w:before="20" w:after="40"/>
        <w:contextualSpacing/>
        <w:jc w:val="both"/>
        <w:rPr/>
      </w:pPr>
      <w:r>
        <w:rPr>
          <w:b/>
          <w:i/>
        </w:rPr>
        <w:t>- Внутренний аудитор</w:t>
      </w:r>
    </w:p>
    <w:p>
      <w:pPr>
        <w:pStyle w:val="Normal"/>
        <w:spacing w:before="20" w:after="40"/>
        <w:contextualSpacing/>
        <w:jc w:val="both"/>
        <w:rPr/>
      </w:pPr>
      <w:r>
        <w:rPr/>
      </w:r>
    </w:p>
    <w:p>
      <w:pPr>
        <w:pStyle w:val="Normal"/>
        <w:spacing w:before="20" w:after="40"/>
        <w:contextualSpacing/>
        <w:jc w:val="both"/>
        <w:rPr/>
      </w:pPr>
      <w:r>
        <w:rPr>
          <w:b/>
          <w:i/>
        </w:rPr>
        <w:t>Документы, определяющие принципы, задачи, цели, методы и процессы системы контроля размещены на сайте Эмитента по адресам:</w:t>
      </w:r>
    </w:p>
    <w:p>
      <w:pPr>
        <w:pStyle w:val="Normal"/>
        <w:spacing w:before="20" w:after="40"/>
        <w:contextualSpacing/>
        <w:rPr/>
      </w:pPr>
      <w:hyperlink r:id="rId6" w:tgtFrame="https://kamenergo.ru/invest/raskrytie-informatsii/vnutrennie-dokumenty-podlezhashchie-raskrytiyu">
        <w:r>
          <w:rPr>
            <w:b/>
            <w:i/>
            <w:color w:val="0563C1"/>
            <w:u w:val="single"/>
          </w:rPr>
          <w:t>https://kamenergo.ru/invest/raskrytie-informatsii/vnutrennie-dokumenty-podlezhashchie-raskrytiyu</w:t>
        </w:r>
      </w:hyperlink>
    </w:p>
    <w:p>
      <w:pPr>
        <w:pStyle w:val="Normal"/>
        <w:spacing w:before="20" w:after="40"/>
        <w:contextualSpacing/>
        <w:jc w:val="both"/>
        <w:rPr/>
      </w:pPr>
      <w:hyperlink r:id="rId7" w:tgtFrame="https://emitent.e-disclosure.ru/">
        <w:r>
          <w:rPr>
            <w:b/>
            <w:i/>
            <w:color w:val="0563C1"/>
            <w:u w:val="single"/>
          </w:rPr>
          <w:t>https://emitent.e-disclosure.ru</w:t>
        </w:r>
      </w:hyperlink>
    </w:p>
    <w:p>
      <w:pPr>
        <w:pStyle w:val="Normal"/>
        <w:spacing w:before="20" w:after="40"/>
        <w:contextualSpacing/>
        <w:jc w:val="both"/>
        <w:rPr>
          <w:b/>
          <w:i/>
          <w:i/>
        </w:rPr>
      </w:pPr>
      <w:r>
        <w:rPr>
          <w:b/>
          <w:i/>
        </w:rPr>
      </w:r>
    </w:p>
    <w:p>
      <w:pPr>
        <w:pStyle w:val="Normal"/>
        <w:spacing w:before="20" w:after="40"/>
        <w:contextualSpacing/>
        <w:jc w:val="both"/>
        <w:rPr/>
      </w:pPr>
      <w:r>
        <w:rPr/>
        <w:t xml:space="preserve">Сведения о наличии комитета совета директоров (наблюдательного совета) по аудиту, его функциях, персональном и количественном составе: </w:t>
      </w:r>
      <w:r>
        <w:rPr>
          <w:b/>
          <w:i/>
        </w:rPr>
        <w:t xml:space="preserve"> </w:t>
      </w:r>
    </w:p>
    <w:p>
      <w:pPr>
        <w:pStyle w:val="Normal"/>
        <w:spacing w:before="20" w:after="40"/>
        <w:contextualSpacing/>
        <w:jc w:val="both"/>
        <w:rPr/>
      </w:pPr>
      <w:r>
        <w:rPr/>
      </w:r>
    </w:p>
    <w:p>
      <w:pPr>
        <w:pStyle w:val="Normal"/>
        <w:spacing w:before="20" w:after="40"/>
        <w:contextualSpacing/>
        <w:jc w:val="both"/>
        <w:rPr/>
      </w:pPr>
      <w:r>
        <w:rPr/>
        <w:t>Основный функции комитета по аудиту совета директоров:</w:t>
        <w:tab/>
      </w:r>
    </w:p>
    <w:p>
      <w:pPr>
        <w:pStyle w:val="Normal"/>
        <w:spacing w:before="20" w:after="40"/>
        <w:contextualSpacing/>
        <w:jc w:val="both"/>
        <w:rPr/>
      </w:pPr>
      <w:r>
        <w:rPr>
          <w:b/>
          <w:i/>
        </w:rPr>
        <w:t>В Обществе создан и действует Комитет по аудиту при Совете директоров ПАО «Камчатскэнерго» (далее - Комитет по аудиту).</w:t>
      </w:r>
    </w:p>
    <w:p>
      <w:pPr>
        <w:pStyle w:val="Normal"/>
        <w:spacing w:before="20" w:after="40"/>
        <w:contextualSpacing/>
        <w:jc w:val="both"/>
        <w:rPr/>
      </w:pPr>
      <w:r>
        <w:rPr>
          <w:b/>
          <w:i/>
        </w:rPr>
        <w:t>Комитет по аудиту действует на основании Положения о Комитете по аудиту при Совет директоров (утверждено Советом директоров Общества 20.09.2024 (протокол от 20.09.2024 № 4).</w:t>
      </w:r>
    </w:p>
    <w:p>
      <w:pPr>
        <w:pStyle w:val="ConsPlusNormal"/>
        <w:keepLines/>
        <w:spacing w:before="0" w:after="40"/>
        <w:contextualSpacing/>
        <w:jc w:val="both"/>
        <w:rPr/>
      </w:pPr>
      <w:r>
        <w:rPr>
          <w:b/>
          <w:i/>
          <w:sz w:val="20"/>
        </w:rPr>
        <w:t>Целью создания Комитета является содействие эффективному выполнению функций Совета директоров в части контроля за финансово-хозяйственной деятельностью Общества.</w:t>
      </w:r>
    </w:p>
    <w:p>
      <w:pPr>
        <w:pStyle w:val="ConsPlusNormal"/>
        <w:spacing w:before="0" w:after="40"/>
        <w:contextualSpacing/>
        <w:jc w:val="both"/>
        <w:rPr/>
      </w:pPr>
      <w:r>
        <w:rPr>
          <w:b/>
          <w:i/>
          <w:sz w:val="20"/>
        </w:rPr>
        <w:t>Основной функцией Комитета по аудиту является предварительное рассмотрение вопросов, связанных с контролем за финансово-хозяйственной деятельностью Общества, в том числе связанных с оценкой независимости аудиторской организации Общества и отсутствием у нее конфликта интересов, а также с оценкой качества проведения аудита бухгалтерской (финансовой) отчетности Общества.</w:t>
      </w:r>
    </w:p>
    <w:p>
      <w:pPr>
        <w:pStyle w:val="Normal"/>
        <w:spacing w:before="20" w:after="40"/>
        <w:contextualSpacing/>
        <w:jc w:val="both"/>
        <w:rPr/>
      </w:pPr>
      <w:r>
        <w:rPr/>
      </w:r>
    </w:p>
    <w:p>
      <w:pPr>
        <w:pStyle w:val="Normal"/>
        <w:spacing w:before="20" w:after="40"/>
        <w:contextualSpacing/>
        <w:jc w:val="both"/>
        <w:rPr/>
      </w:pPr>
      <w:r>
        <w:rPr>
          <w:b/>
          <w:i/>
        </w:rPr>
        <w:t>Члены Комитета по аудиту избираются на срок до проведения Общего собрания акционеров Общества, на котором избирается новый состав Совета директоров Общества. В случае, если в новый состав Совета директоров избраны все члены Комитета, то состав Комитета действует до избрания нового состава Комитета. Полномочия Комитета, а также любого члена Комитета могут быть досрочно прекращены решением Совета директоров Общества.</w:t>
      </w:r>
    </w:p>
    <w:p>
      <w:pPr>
        <w:pStyle w:val="ListParagraph"/>
        <w:tabs>
          <w:tab w:val="clear" w:pos="720"/>
          <w:tab w:val="left" w:pos="0" w:leader="none"/>
          <w:tab w:val="left" w:pos="1276" w:leader="none"/>
        </w:tabs>
        <w:spacing w:lineRule="auto" w:line="276"/>
        <w:ind w:left="0" w:hanging="0"/>
        <w:jc w:val="both"/>
        <w:rPr/>
      </w:pPr>
      <w:r>
        <w:rPr>
          <w:rFonts w:ascii="0" w:hAnsi="0"/>
          <w:b/>
          <w:i/>
          <w:color w:val="000000"/>
          <w:sz w:val="20"/>
          <w:szCs w:val="20"/>
        </w:rPr>
        <w:t>Количественный состав Комитета определяется в составе 3 (трех) человек</w:t>
      </w:r>
      <w:r>
        <w:rPr>
          <w:rFonts w:ascii="0" w:hAnsi="0"/>
          <w:b/>
          <w:i/>
          <w:color w:val="000000"/>
          <w:sz w:val="20"/>
        </w:rPr>
        <w:t xml:space="preserve">.  </w:t>
      </w:r>
    </w:p>
    <w:p>
      <w:pPr>
        <w:pStyle w:val="Normal"/>
        <w:spacing w:before="20" w:after="40"/>
        <w:contextualSpacing/>
        <w:jc w:val="both"/>
        <w:rPr/>
      </w:pPr>
      <w:r>
        <w:rPr>
          <w:b/>
          <w:i/>
        </w:rPr>
        <w:t>Действующий состав Комитета по аудиту утвержден решением Совета директоров Общества 21.08.2025 (протокол от 21.08.2025 № 4)</w:t>
      </w:r>
    </w:p>
    <w:p>
      <w:pPr>
        <w:pStyle w:val="Normal"/>
        <w:spacing w:before="20" w:after="40"/>
        <w:contextualSpacing/>
        <w:jc w:val="both"/>
        <w:rPr/>
      </w:pPr>
      <w:r>
        <w:rPr/>
      </w:r>
    </w:p>
    <w:p>
      <w:pPr>
        <w:pStyle w:val="Normal"/>
        <w:spacing w:before="20" w:after="40"/>
        <w:contextualSpacing/>
        <w:jc w:val="both"/>
        <w:rPr/>
      </w:pPr>
      <w:r>
        <w:rPr>
          <w:b/>
          <w:i/>
        </w:rPr>
        <w:t>Члены Комитета по аудиту совета директоров:</w:t>
      </w:r>
    </w:p>
    <w:tbl>
      <w:tblPr>
        <w:tblW w:w="8985" w:type="dxa"/>
        <w:jc w:val="left"/>
        <w:tblInd w:w="153" w:type="dxa"/>
        <w:tblLayout w:type="fixed"/>
        <w:tblCellMar>
          <w:top w:w="28" w:type="dxa"/>
          <w:left w:w="28" w:type="dxa"/>
          <w:bottom w:w="28" w:type="dxa"/>
          <w:right w:w="28" w:type="dxa"/>
        </w:tblCellMar>
        <w:tblLook w:noVBand="1" w:val="04a0" w:noHBand="0" w:lastColumn="0" w:firstColumn="1" w:lastRow="0" w:firstRow="1"/>
      </w:tblPr>
      <w:tblGrid>
        <w:gridCol w:w="6709"/>
        <w:gridCol w:w="2275"/>
      </w:tblGrid>
      <w:tr>
        <w:trPr/>
        <w:tc>
          <w:tcPr>
            <w:tcW w:w="6709" w:type="dxa"/>
            <w:tcBorders>
              <w:top w:val="single" w:sz="6" w:space="0" w:color="000000"/>
              <w:left w:val="single" w:sz="6" w:space="0" w:color="000000"/>
              <w:bottom w:val="single" w:sz="6" w:space="0" w:color="000000"/>
            </w:tcBorders>
          </w:tcPr>
          <w:p>
            <w:pPr>
              <w:pStyle w:val="Style27"/>
              <w:widowControl w:val="false"/>
              <w:spacing w:before="20" w:after="40"/>
              <w:contextualSpacing w:val="false"/>
              <w:jc w:val="center"/>
              <w:rPr>
                <w:sz w:val="16"/>
                <w:szCs w:val="16"/>
              </w:rPr>
            </w:pPr>
            <w:r>
              <w:rPr>
                <w:b/>
                <w:i/>
                <w:sz w:val="16"/>
                <w:szCs w:val="16"/>
              </w:rPr>
              <w:t>ФИО</w:t>
            </w:r>
          </w:p>
        </w:tc>
        <w:tc>
          <w:tcPr>
            <w:tcW w:w="2275" w:type="dxa"/>
            <w:tcBorders>
              <w:top w:val="single" w:sz="6" w:space="0" w:color="000000"/>
              <w:left w:val="single" w:sz="6" w:space="0" w:color="000000"/>
              <w:bottom w:val="single" w:sz="6" w:space="0" w:color="000000"/>
              <w:right w:val="single" w:sz="6" w:space="0" w:color="000000"/>
            </w:tcBorders>
          </w:tcPr>
          <w:p>
            <w:pPr>
              <w:pStyle w:val="Style27"/>
              <w:widowControl w:val="false"/>
              <w:spacing w:before="20" w:after="40"/>
              <w:contextualSpacing w:val="false"/>
              <w:jc w:val="center"/>
              <w:rPr>
                <w:sz w:val="16"/>
                <w:szCs w:val="16"/>
              </w:rPr>
            </w:pPr>
            <w:r>
              <w:rPr>
                <w:b/>
                <w:i/>
                <w:sz w:val="16"/>
                <w:szCs w:val="16"/>
              </w:rPr>
              <w:t>Председатель</w:t>
            </w:r>
          </w:p>
        </w:tc>
      </w:tr>
      <w:tr>
        <w:trPr/>
        <w:tc>
          <w:tcPr>
            <w:tcW w:w="6709" w:type="dxa"/>
            <w:tcBorders>
              <w:left w:val="single" w:sz="6" w:space="0" w:color="000000"/>
              <w:bottom w:val="single" w:sz="6" w:space="0" w:color="000000"/>
            </w:tcBorders>
          </w:tcPr>
          <w:p>
            <w:pPr>
              <w:pStyle w:val="Normal"/>
              <w:widowControl w:val="false"/>
              <w:spacing w:before="20" w:after="40"/>
              <w:contextualSpacing w:val="false"/>
              <w:rPr>
                <w:sz w:val="16"/>
                <w:szCs w:val="16"/>
              </w:rPr>
            </w:pPr>
            <w:r>
              <w:rPr>
                <w:b/>
                <w:i/>
                <w:sz w:val="16"/>
                <w:szCs w:val="16"/>
                <w:shd w:fill="auto" w:val="clear"/>
              </w:rPr>
              <w:t>Ткачева Наталья Николаевна</w:t>
            </w:r>
          </w:p>
        </w:tc>
        <w:tc>
          <w:tcPr>
            <w:tcW w:w="2275" w:type="dxa"/>
            <w:tcBorders>
              <w:left w:val="single" w:sz="6" w:space="0" w:color="000000"/>
              <w:bottom w:val="single" w:sz="6" w:space="0" w:color="000000"/>
              <w:right w:val="single" w:sz="6" w:space="0" w:color="000000"/>
            </w:tcBorders>
          </w:tcPr>
          <w:p>
            <w:pPr>
              <w:pStyle w:val="Style27"/>
              <w:widowControl w:val="false"/>
              <w:spacing w:before="20" w:after="40"/>
              <w:contextualSpacing w:val="false"/>
              <w:jc w:val="center"/>
              <w:rPr>
                <w:sz w:val="16"/>
                <w:szCs w:val="16"/>
              </w:rPr>
            </w:pPr>
            <w:r>
              <w:rPr>
                <w:b/>
                <w:i/>
                <w:sz w:val="16"/>
                <w:szCs w:val="16"/>
              </w:rPr>
              <w:t>Нет</w:t>
            </w:r>
          </w:p>
        </w:tc>
      </w:tr>
      <w:tr>
        <w:trPr/>
        <w:tc>
          <w:tcPr>
            <w:tcW w:w="6709" w:type="dxa"/>
            <w:tcBorders>
              <w:left w:val="single" w:sz="6" w:space="0" w:color="000000"/>
              <w:bottom w:val="single" w:sz="6" w:space="0" w:color="000000"/>
            </w:tcBorders>
          </w:tcPr>
          <w:p>
            <w:pPr>
              <w:pStyle w:val="Normal"/>
              <w:widowControl w:val="false"/>
              <w:spacing w:before="20" w:after="40"/>
              <w:contextualSpacing/>
              <w:jc w:val="both"/>
              <w:rPr>
                <w:sz w:val="16"/>
                <w:szCs w:val="16"/>
              </w:rPr>
            </w:pPr>
            <w:r>
              <w:rPr>
                <w:b/>
                <w:i/>
                <w:sz w:val="16"/>
                <w:szCs w:val="16"/>
                <w:shd w:fill="auto" w:val="clear"/>
              </w:rPr>
              <w:t>Шабаль Наталья Владимировна</w:t>
            </w:r>
          </w:p>
        </w:tc>
        <w:tc>
          <w:tcPr>
            <w:tcW w:w="2275" w:type="dxa"/>
            <w:tcBorders>
              <w:left w:val="single" w:sz="6" w:space="0" w:color="000000"/>
              <w:bottom w:val="single" w:sz="6" w:space="0" w:color="000000"/>
              <w:right w:val="single" w:sz="6" w:space="0" w:color="000000"/>
            </w:tcBorders>
          </w:tcPr>
          <w:p>
            <w:pPr>
              <w:pStyle w:val="Style27"/>
              <w:widowControl w:val="false"/>
              <w:spacing w:before="20" w:after="40"/>
              <w:contextualSpacing w:val="false"/>
              <w:jc w:val="center"/>
              <w:rPr>
                <w:sz w:val="16"/>
                <w:szCs w:val="16"/>
              </w:rPr>
            </w:pPr>
            <w:r>
              <w:rPr>
                <w:b/>
                <w:i/>
                <w:sz w:val="16"/>
                <w:szCs w:val="16"/>
              </w:rPr>
              <w:t>нет</w:t>
            </w:r>
          </w:p>
        </w:tc>
      </w:tr>
      <w:tr>
        <w:trPr/>
        <w:tc>
          <w:tcPr>
            <w:tcW w:w="6709" w:type="dxa"/>
            <w:tcBorders>
              <w:left w:val="single" w:sz="6" w:space="0" w:color="000000"/>
              <w:bottom w:val="single" w:sz="6" w:space="0" w:color="000000"/>
            </w:tcBorders>
          </w:tcPr>
          <w:p>
            <w:pPr>
              <w:pStyle w:val="Normal"/>
              <w:widowControl w:val="false"/>
              <w:spacing w:before="20" w:after="40"/>
              <w:contextualSpacing w:val="false"/>
              <w:rPr>
                <w:sz w:val="16"/>
                <w:szCs w:val="16"/>
              </w:rPr>
            </w:pPr>
            <w:r>
              <w:rPr>
                <w:b/>
                <w:i/>
                <w:sz w:val="16"/>
                <w:szCs w:val="16"/>
                <w:shd w:fill="auto" w:val="clear"/>
              </w:rPr>
              <w:t>Исаков Александр Юрьевич</w:t>
            </w:r>
          </w:p>
        </w:tc>
        <w:tc>
          <w:tcPr>
            <w:tcW w:w="2275" w:type="dxa"/>
            <w:tcBorders>
              <w:left w:val="single" w:sz="6" w:space="0" w:color="000000"/>
              <w:bottom w:val="single" w:sz="6" w:space="0" w:color="000000"/>
              <w:right w:val="single" w:sz="6" w:space="0" w:color="000000"/>
            </w:tcBorders>
          </w:tcPr>
          <w:p>
            <w:pPr>
              <w:pStyle w:val="Style27"/>
              <w:widowControl w:val="false"/>
              <w:spacing w:before="20" w:after="40"/>
              <w:contextualSpacing w:val="false"/>
              <w:jc w:val="center"/>
              <w:rPr>
                <w:sz w:val="16"/>
                <w:szCs w:val="16"/>
              </w:rPr>
            </w:pPr>
            <w:r>
              <w:rPr>
                <w:b/>
                <w:i/>
                <w:sz w:val="16"/>
                <w:szCs w:val="16"/>
              </w:rPr>
              <w:t>да</w:t>
            </w:r>
          </w:p>
        </w:tc>
      </w:tr>
    </w:tbl>
    <w:p>
      <w:pPr>
        <w:pStyle w:val="Normal"/>
        <w:tabs>
          <w:tab w:val="clear" w:pos="720"/>
          <w:tab w:val="left" w:pos="0" w:leader="none"/>
          <w:tab w:val="left" w:pos="1276" w:leader="none"/>
        </w:tabs>
        <w:spacing w:lineRule="auto" w:line="276"/>
        <w:ind w:firstLine="709"/>
        <w:jc w:val="both"/>
        <w:rPr>
          <w:shd w:fill="FFFF00" w:val="clear"/>
        </w:rPr>
      </w:pPr>
      <w:r>
        <w:rPr>
          <w:shd w:fill="FFFF00" w:val="clear"/>
        </w:rPr>
      </w:r>
    </w:p>
    <w:p>
      <w:pPr>
        <w:pStyle w:val="Normal"/>
        <w:spacing w:before="20" w:after="40"/>
        <w:contextualSpacing/>
        <w:jc w:val="both"/>
        <w:rPr/>
      </w:pPr>
      <w:r>
        <w:rPr/>
        <w:t xml:space="preserve">Сведения о наличии отдельного структурного подразделения (подразделений) по управлению рисками и (или) внутреннему контролю, а также задачах и функциях указанного структурного подразделения (подразделений): </w:t>
      </w:r>
    </w:p>
    <w:p>
      <w:pPr>
        <w:pStyle w:val="Normal"/>
        <w:spacing w:before="20" w:after="40"/>
        <w:contextualSpacing/>
        <w:jc w:val="both"/>
        <w:rPr/>
      </w:pPr>
      <w:r>
        <w:rPr/>
      </w:r>
    </w:p>
    <w:p>
      <w:pPr>
        <w:pStyle w:val="Normal"/>
        <w:spacing w:before="20" w:after="40"/>
        <w:contextualSpacing/>
        <w:jc w:val="both"/>
        <w:rPr/>
      </w:pPr>
      <w:r>
        <w:rPr>
          <w:b/>
          <w:i/>
        </w:rPr>
        <w:t>В соответствии с решением Правления ПАО «РусГидро» от 22.01.2018 № 1083пр/1 реализуется Проект по организации в Группе РусГидро централизованной системы внутреннего контроля и управления рисками, системы постконтроля, в связи с чем функции контроля и управления рисками переданы Блоку внутреннего контроля и управления рисками ПАО «РусГидро».</w:t>
      </w:r>
    </w:p>
    <w:p>
      <w:pPr>
        <w:pStyle w:val="Normal"/>
        <w:spacing w:before="20" w:after="40"/>
        <w:contextualSpacing/>
        <w:jc w:val="both"/>
        <w:rPr>
          <w:b/>
          <w:i/>
          <w:i/>
        </w:rPr>
      </w:pPr>
      <w:r>
        <w:rPr>
          <w:b/>
          <w:i/>
        </w:rPr>
      </w:r>
    </w:p>
    <w:p>
      <w:pPr>
        <w:pStyle w:val="Normal"/>
        <w:jc w:val="both"/>
        <w:rPr/>
      </w:pPr>
      <w:r>
        <w:rPr>
          <w:b/>
          <w:i/>
        </w:rPr>
        <w:t>В соответствии с решением Генерального директора координатором по рискам в Обществе определен Отдел контроля, анализа производственной деятельности и управления рисками филиала Возобновляемая энергетика (далее — отдел Контроля). Отдел контроля является ответственным за координацию работы по актуализации рисков, планов мероприятий по управлению рисками и формирование необходимых отчетов по рискам.</w:t>
      </w:r>
    </w:p>
    <w:p>
      <w:pPr>
        <w:pStyle w:val="Normal"/>
        <w:spacing w:before="20" w:after="40"/>
        <w:contextualSpacing/>
        <w:jc w:val="both"/>
        <w:rPr/>
      </w:pPr>
      <w:r>
        <w:rPr/>
      </w:r>
    </w:p>
    <w:p>
      <w:pPr>
        <w:pStyle w:val="Normal"/>
        <w:spacing w:before="20" w:after="40"/>
        <w:contextualSpacing/>
        <w:jc w:val="both"/>
        <w:rPr/>
      </w:pPr>
      <w:r>
        <w:rPr/>
        <w:t>Информация о наличии структурного подразделения (должностного лица), ответственного за организацию и осуществление внутреннего аудита, а также задачах и функциях указанного структурного подразделения (должностного лица):</w:t>
      </w:r>
      <w:r>
        <w:rPr>
          <w:b/>
          <w:i/>
        </w:rPr>
        <w:t xml:space="preserve"> Должностным лицом, ответственным за организацию и осуществление внутреннего аудита в Обществе, является внутренний аудитор ПАО «Камчатскэнерго»</w:t>
      </w:r>
      <w:r>
        <w:rPr/>
        <w:t>.</w:t>
      </w:r>
    </w:p>
    <w:p>
      <w:pPr>
        <w:pStyle w:val="Normal"/>
        <w:spacing w:before="20" w:after="40"/>
        <w:contextualSpacing/>
        <w:jc w:val="both"/>
        <w:rPr/>
      </w:pPr>
      <w:r>
        <w:rPr>
          <w:b/>
          <w:i/>
        </w:rPr>
        <w:t>Внутренний аудитор Общества осуществляет свою деятельность в соответствии с Положением о внутреннем аудите ПАО «Камчатскэнерго», утвержденном решением Совета Директоров (протокол № 2 от 08.07.2021).</w:t>
      </w:r>
    </w:p>
    <w:p>
      <w:pPr>
        <w:pStyle w:val="Normal"/>
        <w:spacing w:before="20" w:after="40"/>
        <w:contextualSpacing/>
        <w:jc w:val="both"/>
        <w:rPr/>
      </w:pPr>
      <w:r>
        <w:rPr/>
      </w:r>
    </w:p>
    <w:p>
      <w:pPr>
        <w:pStyle w:val="Normal"/>
        <w:spacing w:before="20" w:after="40"/>
        <w:contextualSpacing/>
        <w:jc w:val="both"/>
        <w:rPr/>
      </w:pPr>
      <w:r>
        <w:rPr>
          <w:b/>
          <w:i/>
        </w:rPr>
        <w:t>Целью внутреннего аудита является содействие органам управления Общества в повышении эффективности управления Обществом, совершенствовании его деятельности, в том числе путем системного и последовательного подхода к анализу и оценке системы управления рисками, внутреннего контроля.</w:t>
      </w:r>
    </w:p>
    <w:p>
      <w:pPr>
        <w:pStyle w:val="Normal"/>
        <w:spacing w:before="20" w:after="40"/>
        <w:contextualSpacing/>
        <w:jc w:val="both"/>
        <w:rPr/>
      </w:pPr>
      <w:r>
        <w:rPr/>
      </w:r>
    </w:p>
    <w:p>
      <w:pPr>
        <w:pStyle w:val="Normal"/>
        <w:spacing w:before="20" w:after="40"/>
        <w:contextualSpacing/>
        <w:jc w:val="both"/>
        <w:rPr/>
      </w:pPr>
      <w:r>
        <w:rPr>
          <w:b/>
          <w:i/>
        </w:rPr>
        <w:t>Внутренний аудитор функционально подчинен и подотчетен Совету директоров Общества и административно подчинен единоличному исполнительному органу Общества.</w:t>
      </w:r>
    </w:p>
    <w:p>
      <w:pPr>
        <w:pStyle w:val="Normal"/>
        <w:spacing w:before="20" w:after="40"/>
        <w:contextualSpacing/>
        <w:jc w:val="both"/>
        <w:rPr/>
      </w:pPr>
      <w:r>
        <w:rPr>
          <w:b/>
          <w:i/>
        </w:rPr>
        <w:t>Внутренний аудитор осуществляет подготовку заключения по результатам оценки надежности и эффективности управления рисками, системы внутреннего контроля Общества и представление его годовому Общему собранию акционеров Общества</w:t>
      </w:r>
    </w:p>
    <w:p>
      <w:pPr>
        <w:pStyle w:val="Normal"/>
        <w:spacing w:before="20" w:after="40"/>
        <w:contextualSpacing/>
        <w:jc w:val="both"/>
        <w:rPr/>
      </w:pPr>
      <w:r>
        <w:rPr>
          <w:b/>
          <w:i/>
        </w:rPr>
        <w:t>К задачам Внутреннего аудитора относится:</w:t>
      </w:r>
    </w:p>
    <w:p>
      <w:pPr>
        <w:pStyle w:val="Normal"/>
        <w:spacing w:before="20" w:after="40"/>
        <w:contextualSpacing/>
        <w:jc w:val="both"/>
        <w:rPr/>
      </w:pPr>
      <w:r>
        <w:rPr>
          <w:b/>
          <w:i/>
        </w:rPr>
        <w:t>- подготовка и предоставление Совету директоров Общества отчетов по результатам деятельности Внутреннего аудитора, в том числе о результатах оценки фактического состояния, надежности и эффективности системы управления рисками, внутреннего контроля.</w:t>
      </w:r>
    </w:p>
    <w:p>
      <w:pPr>
        <w:pStyle w:val="Normal"/>
        <w:spacing w:before="20" w:after="40"/>
        <w:contextualSpacing/>
        <w:jc w:val="both"/>
        <w:rPr/>
      </w:pPr>
      <w:r>
        <w:rPr>
          <w:b/>
          <w:i/>
        </w:rPr>
        <w:t>- разработка и поддержание в актуальном состоянии локальных нормативных документов (актов) по вопросам внутреннего аудита, требуемые в соответствии с законодательством Российской Федерации.</w:t>
      </w:r>
    </w:p>
    <w:p>
      <w:pPr>
        <w:pStyle w:val="Normal"/>
        <w:spacing w:before="20" w:after="40"/>
        <w:contextualSpacing/>
        <w:jc w:val="both"/>
        <w:rPr>
          <w:b/>
          <w:i/>
          <w:i/>
        </w:rPr>
      </w:pPr>
      <w:r>
        <w:rPr>
          <w:b/>
          <w:i/>
        </w:rPr>
      </w:r>
    </w:p>
    <w:p>
      <w:pPr>
        <w:pStyle w:val="Normal"/>
        <w:spacing w:before="20" w:after="40"/>
        <w:contextualSpacing/>
        <w:jc w:val="both"/>
        <w:rPr/>
      </w:pPr>
      <w:r>
        <w:rPr/>
        <w:t>Сведения о наличии и компетенции ревизионной комиссии:</w:t>
      </w:r>
    </w:p>
    <w:p>
      <w:pPr>
        <w:pStyle w:val="Normal"/>
        <w:spacing w:before="20" w:after="40"/>
        <w:contextualSpacing/>
        <w:jc w:val="both"/>
        <w:rPr/>
      </w:pPr>
      <w:r>
        <w:rPr>
          <w:b/>
          <w:i/>
        </w:rPr>
        <w:t>Порядок деятельности Ревизионной комиссии определяется  Уставом Общества и внутренним документом Общества, утверждаемым Общим собранием акционеров.</w:t>
      </w:r>
    </w:p>
    <w:p>
      <w:pPr>
        <w:pStyle w:val="Normal"/>
        <w:spacing w:before="20" w:after="40"/>
        <w:contextualSpacing/>
        <w:jc w:val="both"/>
        <w:rPr/>
      </w:pPr>
      <w:r>
        <w:rPr>
          <w:b/>
          <w:i/>
        </w:rPr>
        <w:t>Ревизионная комиссия в составе 5 (Пять) человек избирается Общим собранием акционеров на срок до следующего годового Общего собрания акционеров.</w:t>
      </w:r>
    </w:p>
    <w:p>
      <w:pPr>
        <w:pStyle w:val="Normal"/>
        <w:spacing w:before="20" w:after="40"/>
        <w:contextualSpacing/>
        <w:jc w:val="both"/>
        <w:rPr/>
      </w:pPr>
      <w:r>
        <w:rPr>
          <w:b/>
          <w:i/>
        </w:rPr>
        <w:t>Компетенция Ревизионной комиссии определена Уставом Общества.</w:t>
      </w:r>
    </w:p>
    <w:p>
      <w:pPr>
        <w:pStyle w:val="Normal"/>
        <w:spacing w:before="20" w:after="40"/>
        <w:contextualSpacing/>
        <w:jc w:val="both"/>
        <w:rPr/>
      </w:pPr>
      <w:r>
        <w:rPr>
          <w:b/>
          <w:i/>
        </w:rPr>
        <w:t>Ревизионная комиссия Общества независима от должностных лиц, органов управления Общества, руководителей структурных подразделений Общества, действует в интересах акционеров Общества и в своей деятельности подотчетна Общему собранию акционеров Общества. Ревизионная комиссия Общества несет ответственность перед Общим собранием акционеров Общества за достоверность и объективность результатов проведенных проверок.</w:t>
      </w:r>
    </w:p>
    <w:p>
      <w:pPr>
        <w:pStyle w:val="Normal"/>
        <w:spacing w:before="20" w:after="40"/>
        <w:contextualSpacing/>
        <w:jc w:val="both"/>
        <w:rPr/>
      </w:pPr>
      <w:r>
        <w:rPr>
          <w:b/>
          <w:i/>
        </w:rPr>
        <w:t>В соответствии с Уставом Эмитента к компетенции Ревизионной комиссии относится:</w:t>
      </w:r>
    </w:p>
    <w:p>
      <w:pPr>
        <w:pStyle w:val="Normal"/>
        <w:spacing w:before="20" w:after="40"/>
        <w:contextualSpacing/>
        <w:jc w:val="both"/>
        <w:rPr/>
      </w:pPr>
      <w:r>
        <w:rPr>
          <w:b/>
          <w:i/>
        </w:rPr>
        <w:t>1. Подтверждение достоверности данных, содержащихся в годовом отчете, годовой бухгалтерской (финансовой) отчетности, отчете о заключенных Обществом в отчетном году сделках, в совершении которых имеется заинтересованность;</w:t>
      </w:r>
    </w:p>
    <w:p>
      <w:pPr>
        <w:pStyle w:val="Normal"/>
        <w:spacing w:before="20" w:after="40"/>
        <w:contextualSpacing/>
        <w:jc w:val="both"/>
        <w:rPr/>
      </w:pPr>
      <w:r>
        <w:rPr>
          <w:b/>
          <w:i/>
        </w:rPr>
        <w:t>2. Анализ финансового состояния Общества, выявление резервов улучшения финансового состояния Общества и выработка рекомендаций для органов управления Общества;</w:t>
      </w:r>
    </w:p>
    <w:p>
      <w:pPr>
        <w:pStyle w:val="Normal"/>
        <w:spacing w:before="20" w:after="40"/>
        <w:contextualSpacing/>
        <w:jc w:val="both"/>
        <w:rPr/>
      </w:pPr>
      <w:r>
        <w:rPr>
          <w:b/>
          <w:i/>
        </w:rPr>
        <w:t>3. Организация и осуществление проверки (ревизии) финансово-хозяйственной деятельности Общества, в частности:</w:t>
      </w:r>
    </w:p>
    <w:p>
      <w:pPr>
        <w:pStyle w:val="Normal"/>
        <w:spacing w:before="20" w:after="40"/>
        <w:contextualSpacing/>
        <w:jc w:val="both"/>
        <w:rPr/>
      </w:pPr>
      <w:r>
        <w:rPr>
          <w:b/>
          <w:i/>
        </w:rPr>
        <w:t>4. Проверка (ревизия) финансовой, бухгалтерской, платежно-расчетной и иной документации Общества, связанной с осуществлением Обществом финансово-хозяйственной деятельности, на предмет ее соответствия законодательству РФ, настоящему Уставу, внутренним и иным документам Общества;</w:t>
      </w:r>
    </w:p>
    <w:p>
      <w:pPr>
        <w:pStyle w:val="Normal"/>
        <w:spacing w:before="20" w:after="40"/>
        <w:contextualSpacing/>
        <w:jc w:val="both"/>
        <w:rPr/>
      </w:pPr>
      <w:r>
        <w:rPr>
          <w:b/>
          <w:i/>
        </w:rPr>
        <w:t>5. Контроль за сохранностью и использованием основных средств;</w:t>
      </w:r>
    </w:p>
    <w:p>
      <w:pPr>
        <w:pStyle w:val="Normal"/>
        <w:spacing w:before="20" w:after="40"/>
        <w:contextualSpacing/>
        <w:jc w:val="both"/>
        <w:rPr/>
      </w:pPr>
      <w:r>
        <w:rPr>
          <w:b/>
          <w:i/>
        </w:rPr>
        <w:t>6. Контроль за соблюдением установленного порядка списания на убытки Общества задолженности неплатежеспособных дебиторов;</w:t>
      </w:r>
    </w:p>
    <w:p>
      <w:pPr>
        <w:pStyle w:val="Normal"/>
        <w:spacing w:before="20" w:after="40"/>
        <w:contextualSpacing/>
        <w:jc w:val="both"/>
        <w:rPr/>
      </w:pPr>
      <w:r>
        <w:rPr>
          <w:b/>
          <w:i/>
        </w:rPr>
        <w:t>7. Контроль за расходованием денежных средств Общества в соответствии с утвержденными бизнес-планом и бюджетом Общества;</w:t>
      </w:r>
    </w:p>
    <w:p>
      <w:pPr>
        <w:pStyle w:val="Normal"/>
        <w:spacing w:before="20" w:after="40"/>
        <w:contextualSpacing/>
        <w:jc w:val="both"/>
        <w:rPr/>
      </w:pPr>
      <w:r>
        <w:rPr>
          <w:b/>
          <w:i/>
        </w:rPr>
        <w:t>8. Контроль за формированием и использованием резервного и иных специальных фондов Общества;</w:t>
      </w:r>
    </w:p>
    <w:p>
      <w:pPr>
        <w:pStyle w:val="Normal"/>
        <w:spacing w:before="20" w:after="40"/>
        <w:contextualSpacing/>
        <w:jc w:val="both"/>
        <w:rPr/>
      </w:pPr>
      <w:r>
        <w:rPr>
          <w:b/>
          <w:i/>
        </w:rPr>
        <w:t>9. Проверка правильности и своевременности начисления и выплаты дивидендов по акциям Общества, процентов по облигациям, доходов по иным ценным бумагам;</w:t>
      </w:r>
    </w:p>
    <w:p>
      <w:pPr>
        <w:pStyle w:val="Normal"/>
        <w:spacing w:before="20" w:after="40"/>
        <w:contextualSpacing/>
        <w:jc w:val="both"/>
        <w:rPr/>
      </w:pPr>
      <w:r>
        <w:rPr>
          <w:b/>
          <w:i/>
        </w:rPr>
        <w:t>10. Проверка выполнения ранее выданных предписаний по устранению нарушений и недостатков, выявленных предыдущими проверками (ревизиями);</w:t>
      </w:r>
    </w:p>
    <w:p>
      <w:pPr>
        <w:pStyle w:val="Normal"/>
        <w:spacing w:before="20" w:after="40"/>
        <w:contextualSpacing/>
        <w:jc w:val="both"/>
        <w:rPr/>
      </w:pPr>
      <w:r>
        <w:rPr>
          <w:b/>
          <w:i/>
        </w:rPr>
        <w:t>11. Осуществление иных действий (мероприятий), связанных с проверкой финансово-хозяйственной деятельности Общества.</w:t>
      </w:r>
    </w:p>
    <w:p>
      <w:pPr>
        <w:pStyle w:val="Normal"/>
        <w:spacing w:before="20" w:after="40"/>
        <w:contextualSpacing/>
        <w:jc w:val="both"/>
        <w:rPr/>
      </w:pPr>
      <w:r>
        <w:rPr/>
      </w:r>
    </w:p>
    <w:p>
      <w:pPr>
        <w:pStyle w:val="Normal"/>
        <w:spacing w:before="20" w:after="40"/>
        <w:contextualSpacing/>
        <w:jc w:val="both"/>
        <w:rPr/>
      </w:pPr>
      <w:r>
        <w:rPr/>
        <w:t>Сведения о политике эмитента в области управления рисками, внутреннего контроля и внутреннего аудита:</w:t>
      </w:r>
    </w:p>
    <w:p>
      <w:pPr>
        <w:pStyle w:val="Normal"/>
        <w:spacing w:before="20" w:after="40"/>
        <w:contextualSpacing/>
        <w:jc w:val="both"/>
        <w:rPr/>
      </w:pPr>
      <w:r>
        <w:rPr/>
      </w:r>
    </w:p>
    <w:p>
      <w:pPr>
        <w:pStyle w:val="Normal"/>
        <w:spacing w:before="20" w:after="40"/>
        <w:contextualSpacing/>
        <w:jc w:val="both"/>
        <w:rPr/>
      </w:pPr>
      <w:r>
        <w:rPr>
          <w:b/>
          <w:i/>
        </w:rPr>
        <w:t>Решением Совета Директоров от 22.05.2020 (протокол № 24) Общество присоединилось к следующим внутренним документам ПАО «РусГидро», регулирующим деятельность в области внутреннего контроля и управления рисками (с учетом последующих изменений к ним):</w:t>
      </w:r>
    </w:p>
    <w:p>
      <w:pPr>
        <w:pStyle w:val="Normal"/>
        <w:spacing w:before="20" w:after="40"/>
        <w:contextualSpacing/>
        <w:jc w:val="both"/>
        <w:rPr/>
      </w:pPr>
      <w:r>
        <w:rPr>
          <w:b/>
          <w:i/>
        </w:rPr>
        <w:t xml:space="preserve">• </w:t>
      </w:r>
      <w:r>
        <w:rPr>
          <w:b/>
          <w:i/>
        </w:rPr>
        <w:t xml:space="preserve">Политике в области внутреннего контроля и управления рисками Группы РусГидро, утверждена решением Совета директоров ПАО «РусГидро» 21.06.2019 (протокол № 291) </w:t>
      </w:r>
      <w:r>
        <w:rPr>
          <w:b/>
          <w:i/>
          <w:sz w:val="20"/>
          <w:szCs w:val="20"/>
        </w:rPr>
        <w:t>с изменениями, утвержденными решением Совета директоров ПАО «РусГидро» от 31.10.2024 №379;</w:t>
      </w:r>
    </w:p>
    <w:p>
      <w:pPr>
        <w:pStyle w:val="Normal"/>
        <w:spacing w:before="20" w:after="40"/>
        <w:contextualSpacing/>
        <w:jc w:val="both"/>
        <w:rPr/>
      </w:pPr>
      <w:r>
        <w:rPr>
          <w:b/>
          <w:i/>
        </w:rPr>
        <w:t xml:space="preserve">• </w:t>
      </w:r>
      <w:r>
        <w:rPr>
          <w:b/>
          <w:i/>
        </w:rPr>
        <w:t>Положению о системе внутреннего контроля Группы РусГидро, утверждено приказом ПАО «РусГидро» от 11.11.2019 № 921;</w:t>
      </w:r>
    </w:p>
    <w:p>
      <w:pPr>
        <w:pStyle w:val="Normal"/>
        <w:spacing w:before="20" w:after="40"/>
        <w:contextualSpacing/>
        <w:jc w:val="both"/>
        <w:rPr/>
      </w:pPr>
      <w:r>
        <w:rPr>
          <w:b/>
          <w:i/>
        </w:rPr>
        <w:t xml:space="preserve">• </w:t>
      </w:r>
      <w:r>
        <w:rPr>
          <w:b/>
          <w:i/>
        </w:rPr>
        <w:t>Положению об управлении рисками Группы РусГидро, утверждено приказом ПАО «РусГидро» от 27.03.2020 № 251.</w:t>
      </w:r>
    </w:p>
    <w:p>
      <w:pPr>
        <w:pStyle w:val="Normal"/>
        <w:spacing w:before="20" w:after="0"/>
        <w:contextualSpacing w:val="false"/>
        <w:jc w:val="both"/>
        <w:rPr/>
      </w:pPr>
      <w:r>
        <w:rPr>
          <w:b/>
          <w:i/>
        </w:rPr>
        <w:t>Данные локальные нормативные акты с момента присоединения являются внутренними документами ПАО «Камчатскэнерго», а их требования - обязательными для Общества.</w:t>
      </w:r>
    </w:p>
    <w:p>
      <w:pPr>
        <w:pStyle w:val="Normal"/>
        <w:spacing w:before="20" w:after="0"/>
        <w:contextualSpacing w:val="false"/>
        <w:jc w:val="both"/>
        <w:rPr/>
      </w:pPr>
      <w:r>
        <w:rPr>
          <w:b/>
          <w:i/>
        </w:rPr>
        <w:t>Решением Совета Директоров Общества от 08.07.2021 (протокол № 2) утверждено Положение</w:t>
      </w:r>
      <w:r>
        <w:rPr>
          <w:i/>
        </w:rPr>
        <w:t xml:space="preserve"> </w:t>
      </w:r>
      <w:r>
        <w:rPr>
          <w:b/>
          <w:i/>
        </w:rPr>
        <w:t>о внутреннем аудите ПАО «Камчатскэнерго».</w:t>
      </w:r>
    </w:p>
    <w:p>
      <w:pPr>
        <w:pStyle w:val="Normal"/>
        <w:spacing w:before="20" w:after="0"/>
        <w:contextualSpacing w:val="false"/>
        <w:jc w:val="both"/>
        <w:rPr/>
      </w:pPr>
      <w:r>
        <w:rPr/>
      </w:r>
    </w:p>
    <w:p>
      <w:pPr>
        <w:pStyle w:val="Normal"/>
        <w:spacing w:before="20" w:after="40"/>
        <w:contextualSpacing/>
        <w:jc w:val="both"/>
        <w:rPr/>
      </w:pPr>
      <w:r>
        <w:rPr>
          <w:b/>
          <w:i/>
        </w:rPr>
        <w:t xml:space="preserve">Документы размещены на сайте: </w:t>
      </w:r>
    </w:p>
    <w:p>
      <w:pPr>
        <w:pStyle w:val="Normal"/>
        <w:spacing w:before="20" w:after="40"/>
        <w:contextualSpacing/>
        <w:rPr/>
      </w:pPr>
      <w:hyperlink r:id="rId8" w:tgtFrame="https://kamenergo.ru/invest/raskrytie-informatsii/vnutrennie-dokumenty-podlezhashchie-raskrytiyu">
        <w:r>
          <w:rPr>
            <w:b/>
            <w:i/>
            <w:color w:val="0563C1"/>
            <w:u w:val="single"/>
          </w:rPr>
          <w:t>https://kamenergo.ru/invest/raskrytie-informatsii/vnutrennie-dokumenty-podlezhashchie-raskrytiyu</w:t>
        </w:r>
      </w:hyperlink>
      <w:r>
        <w:rPr/>
        <w:t>;</w:t>
      </w:r>
    </w:p>
    <w:p>
      <w:pPr>
        <w:pStyle w:val="Normal"/>
        <w:spacing w:before="20" w:after="40"/>
        <w:contextualSpacing/>
        <w:rPr/>
      </w:pPr>
      <w:hyperlink r:id="rId9" w:tgtFrame="https://www.e-disclosure.ru/portal/files.aspx?id=1409&amp;type=1">
        <w:r>
          <w:rPr>
            <w:b/>
            <w:i/>
            <w:color w:val="0563C1"/>
            <w:u w:val="single"/>
          </w:rPr>
          <w:t>https://www.e-disclosure.ru/portal/files.aspx?id=1409&amp;type=1</w:t>
        </w:r>
      </w:hyperlink>
    </w:p>
    <w:p>
      <w:pPr>
        <w:pStyle w:val="Normal"/>
        <w:spacing w:before="20" w:after="40"/>
        <w:contextualSpacing/>
        <w:jc w:val="both"/>
        <w:rPr/>
      </w:pPr>
      <w:r>
        <w:rPr/>
      </w:r>
    </w:p>
    <w:p>
      <w:pPr>
        <w:pStyle w:val="Normal"/>
        <w:keepLines/>
        <w:spacing w:before="20" w:after="0"/>
        <w:contextualSpacing w:val="false"/>
        <w:jc w:val="both"/>
        <w:rPr/>
      </w:pPr>
      <w:r>
        <w:rPr>
          <w:b/>
          <w:i/>
        </w:rPr>
        <w:t>Системы внутреннего контроля и управления рисками, внутреннего аудита построены в Обществе с учетом международных стандартов, а также действующих в Российской Федерации нормативных требований и рекомендаций, общие принципы и подходы которых зафиксированы в Политике в области внутреннего контроля и управления рисками и Положению</w:t>
      </w:r>
      <w:r>
        <w:rPr>
          <w:i/>
        </w:rPr>
        <w:t xml:space="preserve"> </w:t>
      </w:r>
      <w:r>
        <w:rPr>
          <w:b/>
          <w:i/>
        </w:rPr>
        <w:t>о внутреннем аудите.</w:t>
      </w:r>
    </w:p>
    <w:p>
      <w:pPr>
        <w:pStyle w:val="Normal"/>
        <w:numPr>
          <w:ilvl w:val="0"/>
          <w:numId w:val="1"/>
        </w:numPr>
        <w:tabs>
          <w:tab w:val="clear" w:pos="720"/>
          <w:tab w:val="left" w:pos="567" w:leader="none"/>
        </w:tabs>
        <w:spacing w:before="20" w:after="40"/>
        <w:ind w:firstLine="57"/>
        <w:contextualSpacing/>
        <w:jc w:val="both"/>
        <w:rPr/>
      </w:pPr>
      <w:r>
        <w:rPr>
          <w:b/>
          <w:i/>
        </w:rPr>
        <w:t xml:space="preserve">В соответствии с указанной Политикой функционирование системы внутреннего контроля и управления рисками направлено на обеспечение разумной уверенности в достижении стоящих перед Группой следующих категорий целей: </w:t>
      </w:r>
    </w:p>
    <w:p>
      <w:pPr>
        <w:pStyle w:val="Normal"/>
        <w:spacing w:before="20" w:after="40"/>
        <w:contextualSpacing/>
        <w:jc w:val="both"/>
        <w:rPr/>
      </w:pPr>
      <w:r>
        <w:rPr>
          <w:b/>
          <w:i/>
        </w:rPr>
        <w:t>- миссии Группы;</w:t>
      </w:r>
    </w:p>
    <w:p>
      <w:pPr>
        <w:pStyle w:val="Normal"/>
        <w:spacing w:before="20" w:after="40"/>
        <w:contextualSpacing/>
        <w:jc w:val="both"/>
        <w:rPr/>
      </w:pPr>
      <w:r>
        <w:rPr>
          <w:b/>
          <w:i/>
        </w:rPr>
        <w:t>- стратегические цели;</w:t>
      </w:r>
    </w:p>
    <w:p>
      <w:pPr>
        <w:pStyle w:val="Normal"/>
        <w:spacing w:before="20" w:after="40"/>
        <w:contextualSpacing/>
        <w:jc w:val="both"/>
        <w:rPr/>
      </w:pPr>
      <w:r>
        <w:rPr>
          <w:b/>
          <w:i/>
        </w:rPr>
        <w:t xml:space="preserve">- операционные цели, касающиеся вопросов эффективности финансово-хозяйственной деятельности Группы, а также обеспечения сохранности активов;    </w:t>
      </w:r>
    </w:p>
    <w:p>
      <w:pPr>
        <w:pStyle w:val="Normal"/>
        <w:spacing w:before="20" w:after="40"/>
        <w:contextualSpacing/>
        <w:jc w:val="both"/>
        <w:rPr/>
      </w:pPr>
      <w:r>
        <w:rPr>
          <w:b/>
          <w:i/>
        </w:rPr>
        <w:t xml:space="preserve">- цели в области соответствия деятельности Группы применимому законодательству и требованиям локальных нормативных документов Общества и подконтрольных организаций;    </w:t>
      </w:r>
    </w:p>
    <w:p>
      <w:pPr>
        <w:pStyle w:val="Normal"/>
        <w:spacing w:before="20" w:after="40"/>
        <w:contextualSpacing/>
        <w:jc w:val="both"/>
        <w:rPr/>
      </w:pPr>
      <w:r>
        <w:rPr>
          <w:b/>
          <w:i/>
        </w:rPr>
        <w:t>- цели в области своевременной подготовки достоверной финансовой и нефинансовой отчетности, внутренней и/или внешней отчетности.</w:t>
      </w:r>
    </w:p>
    <w:p>
      <w:pPr>
        <w:pStyle w:val="Normal"/>
        <w:spacing w:before="20" w:after="40"/>
        <w:contextualSpacing/>
        <w:jc w:val="both"/>
        <w:rPr/>
      </w:pPr>
      <w:r>
        <w:rPr>
          <w:b/>
          <w:i/>
        </w:rPr>
        <w:t xml:space="preserve">Задачами системы внутреннего контроля и управления рисками для достижения ее целей являются:    </w:t>
      </w:r>
    </w:p>
    <w:p>
      <w:pPr>
        <w:pStyle w:val="Normal"/>
        <w:spacing w:before="20" w:after="40"/>
        <w:contextualSpacing/>
        <w:jc w:val="both"/>
        <w:rPr/>
      </w:pPr>
      <w:r>
        <w:rPr>
          <w:b/>
          <w:bCs/>
        </w:rPr>
        <w:t xml:space="preserve">- </w:t>
      </w:r>
      <w:r>
        <w:rPr>
          <w:b/>
          <w:i/>
        </w:rPr>
        <w:t>обеспечение эффективности и результативности финансово-хозяйственной деятельности с помощью механизмов внутреннего контроля, направленных на эффективное функционирование бизнес-процессов и реализацию проектов, посредством снижения рисков бизнес-процессов;</w:t>
      </w:r>
    </w:p>
    <w:p>
      <w:pPr>
        <w:pStyle w:val="Normal"/>
        <w:spacing w:before="20" w:after="40"/>
        <w:contextualSpacing/>
        <w:jc w:val="both"/>
        <w:rPr/>
      </w:pPr>
      <w:r>
        <w:rPr>
          <w:b/>
          <w:i/>
        </w:rPr>
        <w:t>- выявление, анализ, оценка рисков и управление ими на всех организационных уровнях Группы;</w:t>
      </w:r>
    </w:p>
    <w:p>
      <w:pPr>
        <w:pStyle w:val="Normal"/>
        <w:spacing w:before="20" w:after="40"/>
        <w:contextualSpacing/>
        <w:jc w:val="both"/>
        <w:rPr/>
      </w:pPr>
      <w:r>
        <w:rPr>
          <w:b/>
          <w:i/>
        </w:rPr>
        <w:t xml:space="preserve">- информационное, методологическое и аналитическое обеспечение для планирования деятельности и принятия взвешенных (с учетом рисков) управленческих решений, процесса принятия решений по выбору мер управления рисками, решений по структуре портфеля активов и обязательств Группы; </w:t>
      </w:r>
    </w:p>
    <w:p>
      <w:pPr>
        <w:pStyle w:val="Normal"/>
        <w:spacing w:before="20" w:after="40"/>
        <w:contextualSpacing/>
        <w:jc w:val="both"/>
        <w:rPr/>
      </w:pPr>
      <w:r>
        <w:rPr>
          <w:b/>
          <w:i/>
        </w:rPr>
        <w:t>- обеспечение сохранности активов и экономичного использования ресурсов;</w:t>
      </w:r>
    </w:p>
    <w:p>
      <w:pPr>
        <w:pStyle w:val="Normal"/>
        <w:spacing w:before="20" w:after="40"/>
        <w:contextualSpacing/>
        <w:jc w:val="both"/>
        <w:rPr/>
      </w:pPr>
      <w:r>
        <w:rPr>
          <w:b/>
          <w:i/>
        </w:rPr>
        <w:t xml:space="preserve">- обеспечение соблюдения Группой применимого законодательства, локальных нормативных документов Общества и подконтрольных организаций;    </w:t>
      </w:r>
    </w:p>
    <w:p>
      <w:pPr>
        <w:pStyle w:val="Normal"/>
        <w:spacing w:before="20" w:after="40"/>
        <w:contextualSpacing/>
        <w:jc w:val="both"/>
        <w:rPr/>
      </w:pPr>
      <w:r>
        <w:rPr>
          <w:b/>
          <w:i/>
        </w:rPr>
        <w:t xml:space="preserve">- создание условий для обеспечения достоверности и полноты финансовой и нефинансовой отчетности, внутренней и/или внешней отчетности;    </w:t>
      </w:r>
    </w:p>
    <w:p>
      <w:pPr>
        <w:pStyle w:val="Normal"/>
        <w:spacing w:before="20" w:after="40"/>
        <w:contextualSpacing/>
        <w:jc w:val="both"/>
        <w:rPr/>
      </w:pPr>
      <w:r>
        <w:rPr>
          <w:b/>
          <w:bCs/>
        </w:rPr>
        <w:t>-</w:t>
      </w:r>
      <w:r>
        <w:rPr/>
        <w:t xml:space="preserve"> </w:t>
      </w:r>
      <w:r>
        <w:rPr>
          <w:b/>
          <w:i/>
        </w:rPr>
        <w:t>стандартизация и регламентирование процедур в области управления рисками и внутреннего контроля.</w:t>
      </w:r>
    </w:p>
    <w:p>
      <w:pPr>
        <w:pStyle w:val="Normal"/>
        <w:tabs>
          <w:tab w:val="clear" w:pos="720"/>
          <w:tab w:val="left" w:pos="567" w:leader="none"/>
        </w:tabs>
        <w:spacing w:before="20" w:after="40"/>
        <w:contextualSpacing/>
        <w:jc w:val="both"/>
        <w:rPr>
          <w:b/>
          <w:i/>
          <w:i/>
        </w:rPr>
      </w:pPr>
      <w:r>
        <w:rPr>
          <w:b/>
          <w:i/>
        </w:rPr>
      </w:r>
    </w:p>
    <w:p>
      <w:pPr>
        <w:pStyle w:val="Normal"/>
        <w:numPr>
          <w:ilvl w:val="0"/>
          <w:numId w:val="1"/>
        </w:numPr>
        <w:tabs>
          <w:tab w:val="clear" w:pos="720"/>
          <w:tab w:val="left" w:pos="567" w:leader="none"/>
        </w:tabs>
        <w:spacing w:before="20" w:after="40"/>
        <w:ind w:hanging="0"/>
        <w:contextualSpacing/>
        <w:jc w:val="both"/>
        <w:rPr/>
      </w:pPr>
      <w:r>
        <w:rPr>
          <w:b/>
          <w:i/>
        </w:rPr>
        <w:t xml:space="preserve">В соответствии с Положением о внутреннем аудите миссией внутреннего аудита является сохранение и повышение стоимости Общества, содействие выполнению миссии Общества, посредством осуществления объективных внутренних аудиторских заданий на основе риск-ориентированного подхода, предоставления рекомендаций и обмена знаниями. </w:t>
      </w:r>
    </w:p>
    <w:p>
      <w:pPr>
        <w:pStyle w:val="Normal"/>
        <w:spacing w:before="20" w:after="40"/>
        <w:contextualSpacing/>
        <w:jc w:val="both"/>
        <w:rPr/>
      </w:pPr>
      <w:r>
        <w:rPr>
          <w:b/>
          <w:i/>
        </w:rPr>
        <w:t xml:space="preserve">Целью внутреннего аудита является содействие органам Общества в повышении эффективности управления Общества, совершенствовании ее деятельности, в том числе путем системного и последовательного подхода к анализу и оценке системы управления рисками, внутреннего контроля и корпоративного управления. </w:t>
      </w:r>
    </w:p>
    <w:p>
      <w:pPr>
        <w:pStyle w:val="Normal"/>
        <w:spacing w:before="20" w:after="40"/>
        <w:ind w:left="720" w:hanging="0"/>
        <w:contextualSpacing/>
        <w:jc w:val="both"/>
        <w:rPr/>
      </w:pPr>
      <w:r>
        <w:rPr/>
      </w:r>
    </w:p>
    <w:p>
      <w:pPr>
        <w:pStyle w:val="Normal"/>
        <w:spacing w:before="20" w:after="40"/>
        <w:contextualSpacing/>
        <w:jc w:val="both"/>
        <w:rPr/>
      </w:pPr>
      <w:r>
        <w:rPr/>
        <w:t>Сведения о наличии внутреннего документа эмитента, устанавливающего правила по предотвращению неправомерного использования конфиденциальной и инсайдерской информации:</w:t>
      </w:r>
    </w:p>
    <w:p>
      <w:pPr>
        <w:pStyle w:val="Normal"/>
        <w:spacing w:before="20" w:after="40"/>
        <w:contextualSpacing/>
        <w:jc w:val="both"/>
        <w:rPr/>
      </w:pPr>
      <w:r>
        <w:rPr/>
      </w:r>
    </w:p>
    <w:p>
      <w:pPr>
        <w:pStyle w:val="Normal"/>
        <w:spacing w:before="20" w:after="40"/>
        <w:contextualSpacing/>
        <w:jc w:val="both"/>
        <w:rPr>
          <w:highlight w:val="none"/>
          <w:shd w:fill="auto" w:val="clear"/>
        </w:rPr>
      </w:pPr>
      <w:r>
        <w:rPr>
          <w:b/>
          <w:i/>
          <w:shd w:fill="auto" w:val="clear"/>
        </w:rPr>
        <w:t xml:space="preserve">С целью исполнения требований Федерального закона от 27.07.2010 № 224- 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утверждены документы: </w:t>
      </w:r>
    </w:p>
    <w:p>
      <w:pPr>
        <w:pStyle w:val="Normal"/>
        <w:spacing w:before="20" w:after="40"/>
        <w:contextualSpacing/>
        <w:jc w:val="both"/>
        <w:rPr>
          <w:b/>
          <w:i/>
          <w:i/>
          <w:highlight w:val="none"/>
          <w:shd w:fill="auto" w:val="clear"/>
        </w:rPr>
      </w:pPr>
      <w:r>
        <w:rPr>
          <w:b/>
          <w:i/>
          <w:shd w:fill="auto" w:val="clear"/>
        </w:rPr>
      </w:r>
    </w:p>
    <w:p>
      <w:pPr>
        <w:pStyle w:val="Normal"/>
        <w:spacing w:before="20" w:after="40"/>
        <w:contextualSpacing/>
        <w:jc w:val="both"/>
        <w:rPr>
          <w:highlight w:val="none"/>
          <w:shd w:fill="auto" w:val="clear"/>
        </w:rPr>
      </w:pPr>
      <w:r>
        <w:rPr>
          <w:b/>
          <w:i/>
          <w:shd w:fill="auto" w:val="clear"/>
        </w:rPr>
        <w:t>Советом директоров Общества (протокол заседания № 6 от 30.10.2025) утверждено «</w:t>
      </w:r>
      <w:r>
        <w:rPr>
          <w:rFonts w:eastAsia="0" w:cs="0"/>
          <w:b/>
          <w:i/>
          <w:color w:val="000000"/>
          <w:kern w:val="0"/>
          <w:sz w:val="20"/>
          <w:szCs w:val="24"/>
          <w:shd w:fill="auto" w:val="clear"/>
          <w:lang w:val="ru-RU" w:eastAsia="zh-CN" w:bidi="hi-IN"/>
        </w:rPr>
        <w:t xml:space="preserve">Положение </w:t>
      </w:r>
      <w:bookmarkStart w:id="1" w:name="_Hlk212395826_Копия_1"/>
      <w:bookmarkStart w:id="2" w:name="_Hlk212391734_Копия_1"/>
      <w:r>
        <w:rPr>
          <w:rFonts w:eastAsia="0" w:cs="0"/>
          <w:b/>
          <w:i/>
          <w:color w:val="000000"/>
          <w:kern w:val="0"/>
          <w:sz w:val="20"/>
          <w:szCs w:val="24"/>
          <w:shd w:fill="auto" w:val="clear"/>
          <w:lang w:val="ru-RU" w:eastAsia="zh-CN" w:bidi="hi-IN"/>
        </w:rPr>
        <w:t>о порядке доступа к инсайдерской информации ПАО «Камчатскэнерго», правилах охраны ее конфиденциальности</w:t>
      </w:r>
      <w:bookmarkEnd w:id="1"/>
      <w:bookmarkEnd w:id="2"/>
      <w:r>
        <w:rPr>
          <w:rFonts w:eastAsia="0" w:cs="0"/>
          <w:b/>
          <w:i/>
          <w:color w:val="000000"/>
          <w:kern w:val="0"/>
          <w:sz w:val="20"/>
          <w:szCs w:val="24"/>
          <w:shd w:fill="auto" w:val="clear"/>
          <w:lang w:val="ru-RU" w:eastAsia="zh-CN" w:bidi="hi-IN"/>
        </w:rPr>
        <w:t xml:space="preserve"> (новая редакция)».</w:t>
      </w:r>
    </w:p>
    <w:p>
      <w:pPr>
        <w:pStyle w:val="Normal"/>
        <w:spacing w:before="20" w:after="40"/>
        <w:contextualSpacing/>
        <w:jc w:val="both"/>
        <w:rPr>
          <w:rFonts w:ascii="0" w:hAnsi="0" w:eastAsia="0" w:cs="0"/>
          <w:b/>
          <w:i/>
          <w:i/>
          <w:color w:val="000000"/>
          <w:kern w:val="0"/>
          <w:sz w:val="20"/>
          <w:szCs w:val="24"/>
          <w:highlight w:val="none"/>
          <w:shd w:fill="auto" w:val="clear"/>
          <w:lang w:val="ru-RU" w:eastAsia="zh-CN" w:bidi="hi-IN"/>
        </w:rPr>
      </w:pPr>
      <w:r>
        <w:rPr>
          <w:rFonts w:eastAsia="0" w:cs="0"/>
          <w:b/>
          <w:i/>
          <w:color w:val="000000"/>
          <w:kern w:val="0"/>
          <w:sz w:val="20"/>
          <w:szCs w:val="24"/>
          <w:shd w:fill="auto" w:val="clear"/>
          <w:lang w:val="ru-RU" w:eastAsia="zh-CN" w:bidi="hi-IN"/>
        </w:rPr>
      </w:r>
    </w:p>
    <w:p>
      <w:pPr>
        <w:pStyle w:val="Normal"/>
        <w:spacing w:before="20" w:after="40"/>
        <w:contextualSpacing/>
        <w:jc w:val="both"/>
        <w:rPr>
          <w:highlight w:val="none"/>
          <w:shd w:fill="auto" w:val="clear"/>
        </w:rPr>
      </w:pPr>
      <w:r>
        <w:rPr>
          <w:rFonts w:eastAsia="0" w:cs="0"/>
          <w:b/>
          <w:i/>
          <w:color w:val="000000"/>
          <w:kern w:val="0"/>
          <w:sz w:val="20"/>
          <w:szCs w:val="24"/>
          <w:shd w:fill="auto" w:val="clear"/>
          <w:lang w:val="ru-RU" w:eastAsia="zh-CN" w:bidi="hi-IN"/>
        </w:rPr>
        <w:t xml:space="preserve">Приказом Общества №121А от 10.03.2025 утверждены </w:t>
      </w:r>
      <w:r>
        <w:rPr>
          <w:rFonts w:eastAsia="0" w:cs="0"/>
          <w:b/>
          <w:bCs/>
          <w:i/>
          <w:color w:val="000000"/>
          <w:kern w:val="0"/>
          <w:sz w:val="20"/>
          <w:szCs w:val="20"/>
          <w:shd w:fill="auto" w:val="clear"/>
          <w:lang w:val="ru-RU" w:eastAsia="zh-CN" w:bidi="hi-IN"/>
        </w:rPr>
        <w:t>Правила внутреннего контроля по предотвращению, выявлению и пресечению неправомерного использования инсайдерской информации и (или) манипулирования рынком ПАО «Камчатскэнерго».</w:t>
      </w:r>
    </w:p>
    <w:p>
      <w:pPr>
        <w:pStyle w:val="Normal"/>
        <w:spacing w:before="20" w:after="40"/>
        <w:contextualSpacing/>
        <w:jc w:val="both"/>
        <w:rPr>
          <w:rFonts w:ascii="0" w:hAnsi="0" w:eastAsia="0" w:cs="0"/>
          <w:b/>
          <w:i/>
          <w:i/>
          <w:color w:val="000000"/>
          <w:kern w:val="0"/>
          <w:sz w:val="20"/>
          <w:szCs w:val="24"/>
          <w:highlight w:val="none"/>
          <w:shd w:fill="auto" w:val="clear"/>
          <w:lang w:val="ru-RU" w:eastAsia="zh-CN" w:bidi="hi-IN"/>
        </w:rPr>
      </w:pPr>
      <w:r>
        <w:rPr>
          <w:rFonts w:eastAsia="0" w:cs="0"/>
          <w:b/>
          <w:i/>
          <w:color w:val="000000"/>
          <w:kern w:val="0"/>
          <w:sz w:val="20"/>
          <w:szCs w:val="24"/>
          <w:shd w:fill="auto" w:val="clear"/>
          <w:lang w:val="ru-RU" w:eastAsia="zh-CN" w:bidi="hi-IN"/>
        </w:rPr>
      </w:r>
    </w:p>
    <w:p>
      <w:pPr>
        <w:pStyle w:val="Normal"/>
        <w:spacing w:before="20" w:after="40"/>
        <w:contextualSpacing/>
        <w:jc w:val="both"/>
        <w:rPr>
          <w:highlight w:val="none"/>
          <w:shd w:fill="auto" w:val="clear"/>
        </w:rPr>
      </w:pPr>
      <w:r>
        <w:rPr>
          <w:rFonts w:eastAsia="0" w:cs="0"/>
          <w:b/>
          <w:i/>
          <w:color w:val="000000"/>
          <w:kern w:val="0"/>
          <w:sz w:val="20"/>
          <w:szCs w:val="24"/>
          <w:shd w:fill="auto" w:val="clear"/>
          <w:lang w:val="ru-RU" w:eastAsia="zh-CN" w:bidi="hi-IN"/>
        </w:rPr>
        <w:t xml:space="preserve">Приказом Общества №А695 от 30.10.2025 утвержден </w:t>
      </w:r>
      <w:r>
        <w:rPr>
          <w:rFonts w:eastAsia="Times New Roman"/>
          <w:b/>
          <w:bCs/>
          <w:i/>
          <w:szCs w:val="20"/>
          <w:shd w:fill="auto" w:val="clear"/>
        </w:rPr>
        <w:t>Перечень инсайдерской информации ПАО «Камчатскэнерго»</w:t>
      </w:r>
      <w:r>
        <w:rPr>
          <w:b/>
          <w:bCs/>
          <w:i/>
          <w:szCs w:val="20"/>
          <w:shd w:fill="auto" w:val="clear"/>
        </w:rPr>
        <w:t xml:space="preserve"> в новой редакции;</w:t>
      </w:r>
    </w:p>
    <w:p>
      <w:pPr>
        <w:pStyle w:val="Normal"/>
        <w:jc w:val="both"/>
        <w:rPr>
          <w:b/>
          <w:bCs/>
          <w:szCs w:val="20"/>
          <w:highlight w:val="none"/>
          <w:shd w:fill="auto" w:val="clear"/>
        </w:rPr>
      </w:pPr>
      <w:r>
        <w:rPr>
          <w:b/>
          <w:bCs/>
          <w:szCs w:val="20"/>
          <w:shd w:fill="auto" w:val="clear"/>
        </w:rPr>
      </w:r>
    </w:p>
    <w:p>
      <w:pPr>
        <w:pStyle w:val="Normal"/>
        <w:spacing w:before="20" w:after="40"/>
        <w:contextualSpacing/>
        <w:jc w:val="both"/>
        <w:rPr/>
      </w:pPr>
      <w:r>
        <w:rPr>
          <w:b/>
          <w:i/>
          <w:shd w:fill="auto" w:val="clear"/>
        </w:rPr>
        <w:t>Документы размещены в свободном доступе в сети Интернет на корпоративном сайте Эмитента в разделе «Раскрытие информации»</w:t>
      </w:r>
      <w:r>
        <w:rPr>
          <w:b/>
          <w:i/>
        </w:rPr>
        <w:t xml:space="preserve"> (подраздел «Инсайдерская информация»), а также на сайте информационного агентства Интерфакс.</w:t>
      </w:r>
    </w:p>
    <w:p>
      <w:pPr>
        <w:pStyle w:val="Normal"/>
        <w:spacing w:before="20" w:after="40"/>
        <w:contextualSpacing/>
        <w:jc w:val="both"/>
        <w:rPr/>
      </w:pPr>
      <w:r>
        <w:rPr>
          <w:b/>
          <w:i/>
        </w:rPr>
        <w:t xml:space="preserve">Адрес страницы в сети Интернет, на которой в свободном доступе размещен его полный текст: </w:t>
      </w:r>
    </w:p>
    <w:p>
      <w:pPr>
        <w:pStyle w:val="Normal"/>
        <w:spacing w:before="20" w:after="40"/>
        <w:contextualSpacing/>
        <w:jc w:val="both"/>
        <w:rPr/>
      </w:pPr>
      <w:r>
        <w:rPr>
          <w:b/>
          <w:i/>
        </w:rPr>
        <w:t xml:space="preserve">http://kamenergo.ru/570b.php, </w:t>
      </w:r>
    </w:p>
    <w:p>
      <w:pPr>
        <w:pStyle w:val="Normal"/>
        <w:spacing w:before="20" w:after="40"/>
        <w:contextualSpacing/>
        <w:jc w:val="both"/>
        <w:rPr/>
      </w:pPr>
      <w:r>
        <w:rPr>
          <w:rFonts w:eastAsia="0" w:cs="0"/>
          <w:b/>
          <w:bCs/>
          <w:i/>
          <w:color w:val="000000"/>
          <w:kern w:val="0"/>
          <w:sz w:val="20"/>
          <w:szCs w:val="24"/>
          <w:lang w:val="ru-RU" w:eastAsia="zh-CN" w:bidi="hi-IN"/>
        </w:rPr>
        <w:t>http://www.e-disclosure.ru/portal/company.aspx?id=1409.</w:t>
      </w:r>
    </w:p>
    <w:p>
      <w:pPr>
        <w:pStyle w:val="Normal"/>
        <w:spacing w:before="20" w:after="40"/>
        <w:contextualSpacing/>
        <w:jc w:val="both"/>
        <w:rPr/>
      </w:pPr>
      <w:r>
        <w:rPr>
          <w:b/>
          <w:i/>
          <w:shd w:fill="auto" w:val="clear"/>
        </w:rPr>
        <w:t>В составе информации настоящего пункта между отчетной датой и датой раскрытия соответствующей отчётности, на основе которой в отчёте эмитента раскрывается информация о финансово-хозяйственной деятельности эмитента произошли изменения.</w:t>
      </w:r>
    </w:p>
    <w:p>
      <w:pPr>
        <w:pStyle w:val="Normal"/>
        <w:spacing w:before="20" w:after="40"/>
        <w:contextualSpacing/>
        <w:jc w:val="both"/>
        <w:rPr/>
      </w:pPr>
      <w:r>
        <w:rPr/>
      </w:r>
    </w:p>
    <w:p>
      <w:pPr>
        <w:pStyle w:val="Normal"/>
        <w:spacing w:before="20" w:after="40"/>
        <w:contextualSpacing/>
        <w:jc w:val="both"/>
        <w:rPr/>
      </w:pPr>
      <w:r>
        <w:rPr>
          <w:i/>
        </w:rPr>
        <w:t xml:space="preserve">Изменения в составе    информации настоящего пункта отчета эмитента произошедшие в период между датой окончания отчетного периода и датой раскрытия консолидированной финансовой отчетности:     </w:t>
      </w:r>
    </w:p>
    <w:p>
      <w:pPr>
        <w:pStyle w:val="Normal"/>
        <w:jc w:val="both"/>
        <w:rPr>
          <w:highlight w:val="none"/>
          <w:shd w:fill="auto" w:val="clear"/>
        </w:rPr>
      </w:pPr>
      <w:r>
        <w:rPr>
          <w:rFonts w:eastAsia="0" w:cs="0"/>
          <w:b/>
          <w:bCs/>
          <w:i/>
          <w:color w:val="000000"/>
          <w:kern w:val="0"/>
          <w:sz w:val="20"/>
          <w:szCs w:val="20"/>
          <w:shd w:fill="auto" w:val="clear"/>
          <w:lang w:val="ru-RU" w:eastAsia="zh-CN" w:bidi="hi-IN"/>
        </w:rPr>
        <w:t xml:space="preserve">Приказом Общества №А144 от 05.03.2026 утверждены </w:t>
      </w:r>
      <w:r>
        <w:rPr>
          <w:rFonts w:eastAsia="Times New Roman" w:cs="0"/>
          <w:b/>
          <w:bCs/>
          <w:i/>
          <w:color w:val="000000"/>
          <w:kern w:val="0"/>
          <w:sz w:val="20"/>
          <w:szCs w:val="20"/>
          <w:shd w:fill="auto" w:val="clear"/>
          <w:lang w:val="ru-RU" w:eastAsia="zh-CN" w:bidi="hi-IN"/>
        </w:rPr>
        <w:t xml:space="preserve">Правила внутреннего контроля ПАО «Камчатскэнерго» по предотвращению, выявлению и пресечению неправомерного использования инсайдерской информации и (или) манипулирования рынком в новой редакции. </w:t>
      </w:r>
    </w:p>
    <w:p>
      <w:pPr>
        <w:pStyle w:val="Normal"/>
        <w:spacing w:before="20" w:after="40"/>
        <w:contextualSpacing/>
        <w:jc w:val="both"/>
        <w:rPr>
          <w:highlight w:val="none"/>
          <w:shd w:fill="auto" w:val="clear"/>
        </w:rPr>
      </w:pPr>
      <w:r>
        <w:rPr>
          <w:b/>
          <w:i/>
          <w:shd w:fill="auto" w:val="clear"/>
        </w:rPr>
        <w:t xml:space="preserve">Адрес страницы в сети Интернет, на которой в свободном доступе размещен документ: </w:t>
      </w:r>
    </w:p>
    <w:p>
      <w:pPr>
        <w:pStyle w:val="Normal"/>
        <w:spacing w:before="20" w:after="40"/>
        <w:contextualSpacing/>
        <w:jc w:val="both"/>
        <w:rPr/>
      </w:pPr>
      <w:r>
        <w:rPr>
          <w:b/>
          <w:i/>
        </w:rPr>
        <w:t>https://kamenergo.ru/investors/raskrytie/insayderskaya-informatsiya/</w:t>
      </w:r>
    </w:p>
    <w:p>
      <w:pPr>
        <w:pStyle w:val="Normal"/>
        <w:spacing w:before="20" w:after="40"/>
        <w:contextualSpacing/>
        <w:jc w:val="both"/>
        <w:rPr>
          <w:b/>
          <w:bCs/>
          <w:i/>
          <w:i/>
          <w:highlight w:val="none"/>
          <w:shd w:fill="auto" w:val="clear"/>
        </w:rPr>
      </w:pPr>
      <w:r>
        <w:rPr>
          <w:b/>
          <w:bCs/>
          <w:i/>
          <w:shd w:fill="auto" w:val="clear"/>
        </w:rPr>
      </w:r>
    </w:p>
    <w:p>
      <w:pPr>
        <w:pStyle w:val="Normal"/>
        <w:spacing w:before="20" w:after="40"/>
        <w:contextualSpacing/>
        <w:jc w:val="both"/>
        <w:rPr>
          <w:b/>
          <w:bCs/>
          <w:i/>
          <w:i/>
          <w:highlight w:val="none"/>
          <w:shd w:fill="auto" w:val="clear"/>
        </w:rPr>
      </w:pPr>
      <w:r>
        <w:rPr>
          <w:b/>
          <w:bCs/>
          <w:i/>
          <w:shd w:fill="auto" w:val="clear"/>
        </w:rPr>
        <w:t>Иных изменений в составе информации настоящего пункта между отчетной датой и датой раскрытия соответствующей отчётности, на основе которой в отчёте эмитента раскрывается информация о финансово-хозяйственной деятельности эмитента не происходили.</w:t>
      </w:r>
    </w:p>
    <w:p>
      <w:pPr>
        <w:pStyle w:val="2"/>
        <w:jc w:val="both"/>
        <w:rPr/>
      </w:pPr>
      <w:r>
        <w:rPr/>
        <w:t>2.4. Информация о лицах, ответственных в эмитенте за организацию и осуществление управления рисками, контроля за финансово-хозяйственной деятельностью и внутреннего контроля, внутреннего аудита</w:t>
      </w:r>
    </w:p>
    <w:p>
      <w:pPr>
        <w:pStyle w:val="Normal"/>
        <w:jc w:val="both"/>
        <w:rPr>
          <w:b/>
          <w:bCs/>
          <w:sz w:val="24"/>
        </w:rPr>
      </w:pPr>
      <w:r>
        <w:rPr>
          <w:b/>
          <w:bCs/>
          <w:sz w:val="24"/>
        </w:rPr>
      </w:r>
    </w:p>
    <w:p>
      <w:pPr>
        <w:pStyle w:val="Normal"/>
        <w:jc w:val="both"/>
        <w:rPr/>
      </w:pPr>
      <w:r>
        <w:rPr/>
        <w:t>Информация о ревизионной комиссии (ревизоре) эмитента</w:t>
      </w:r>
    </w:p>
    <w:p>
      <w:pPr>
        <w:pStyle w:val="Normal"/>
        <w:jc w:val="both"/>
        <w:rPr/>
      </w:pPr>
      <w:r>
        <w:rPr/>
        <w:t>Наименование органа контроля за финансово-хозяйственной деятельностью эмитента:</w:t>
      </w:r>
      <w:r>
        <w:rPr>
          <w:b/>
          <w:i/>
        </w:rPr>
        <w:t xml:space="preserve"> Ревизионная комиссия</w:t>
      </w:r>
    </w:p>
    <w:p>
      <w:pPr>
        <w:pStyle w:val="SubHeading"/>
        <w:spacing w:before="240" w:after="40"/>
        <w:contextualSpacing/>
        <w:jc w:val="both"/>
        <w:rPr/>
      </w:pPr>
      <w:r>
        <w:rPr/>
        <w:t>Ревизионная комиссия</w:t>
      </w:r>
    </w:p>
    <w:p>
      <w:pPr>
        <w:pStyle w:val="Normal"/>
        <w:spacing w:before="20" w:after="40"/>
        <w:contextualSpacing/>
        <w:jc w:val="both"/>
        <w:rPr/>
      </w:pPr>
      <w:r>
        <w:rPr/>
      </w:r>
    </w:p>
    <w:p>
      <w:pPr>
        <w:pStyle w:val="Normal"/>
        <w:spacing w:before="20" w:after="40"/>
        <w:contextualSpacing/>
        <w:jc w:val="both"/>
        <w:rPr/>
      </w:pPr>
      <w:r>
        <w:rPr/>
        <w:t>Фамилия, имя, отчество (последнее при наличии):</w:t>
      </w:r>
      <w:r>
        <w:rPr>
          <w:b/>
          <w:i/>
        </w:rPr>
        <w:t xml:space="preserve"> Новикова Юлия Викторовна</w:t>
      </w:r>
    </w:p>
    <w:p>
      <w:pPr>
        <w:pStyle w:val="Normal"/>
        <w:spacing w:before="20" w:after="40"/>
        <w:contextualSpacing/>
        <w:jc w:val="both"/>
        <w:rPr/>
      </w:pPr>
      <w:r>
        <w:rPr/>
        <w:t>Председатель:</w:t>
      </w:r>
      <w:r>
        <w:rPr>
          <w:b/>
          <w:i/>
        </w:rPr>
        <w:t xml:space="preserve"> Да</w:t>
      </w:r>
    </w:p>
    <w:p>
      <w:pPr>
        <w:pStyle w:val="Normal"/>
        <w:spacing w:before="20" w:after="40"/>
        <w:contextualSpacing/>
        <w:jc w:val="both"/>
        <w:rPr/>
      </w:pPr>
      <w:r>
        <w:rPr/>
        <w:t>Год рождения:</w:t>
      </w:r>
      <w:r>
        <w:rPr>
          <w:b/>
          <w:i/>
        </w:rPr>
        <w:t xml:space="preserve"> 1983</w:t>
      </w:r>
    </w:p>
    <w:p>
      <w:pPr>
        <w:pStyle w:val="ThinDelim"/>
        <w:spacing w:before="20" w:after="40"/>
        <w:contextualSpacing/>
        <w:jc w:val="both"/>
        <w:rPr/>
      </w:pPr>
      <w:r>
        <w:rPr/>
      </w:r>
    </w:p>
    <w:p>
      <w:pPr>
        <w:pStyle w:val="Normal"/>
        <w:spacing w:before="20" w:after="40"/>
        <w:contextualSpacing/>
        <w:jc w:val="both"/>
        <w:rPr/>
      </w:pPr>
      <w:r>
        <w:rPr/>
        <w:t>Cведения об уровне образования, квалификации, специальности:</w:t>
      </w:r>
    </w:p>
    <w:p>
      <w:pPr>
        <w:pStyle w:val="Normal"/>
        <w:spacing w:before="20" w:after="40"/>
        <w:contextualSpacing/>
        <w:jc w:val="both"/>
        <w:rPr/>
      </w:pPr>
      <w:r>
        <w:rPr>
          <w:b/>
          <w:i/>
        </w:rPr>
        <w:t>высшее профессиональное, специалист, экономика: дополнительное высшее Бакалавр экономики, Экономика: дополнительное профессиональное, специалист, Менеджмент организации</w:t>
      </w:r>
    </w:p>
    <w:p>
      <w:pPr>
        <w:pStyle w:val="Normal"/>
        <w:spacing w:before="20" w:after="40"/>
        <w:contextualSpacing/>
        <w:jc w:val="both"/>
        <w:rPr/>
      </w:pPr>
      <w:r>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w:t>
      </w:r>
    </w:p>
    <w:p>
      <w:pPr>
        <w:pStyle w:val="ThinDelim"/>
        <w:spacing w:before="20" w:after="40"/>
        <w:contextualSpacing/>
        <w:jc w:val="both"/>
        <w:rPr>
          <w:b/>
          <w:bCs/>
          <w:i/>
          <w:i/>
          <w:iCs/>
          <w:sz w:val="18"/>
          <w:szCs w:val="18"/>
        </w:rPr>
      </w:pPr>
      <w:r>
        <w:rPr>
          <w:b/>
          <w:bCs/>
          <w:i/>
          <w:iCs/>
          <w:sz w:val="18"/>
          <w:szCs w:val="18"/>
        </w:rPr>
      </w:r>
    </w:p>
    <w:tbl>
      <w:tblPr>
        <w:tblW w:w="9133" w:type="dxa"/>
        <w:jc w:val="left"/>
        <w:tblInd w:w="60" w:type="dxa"/>
        <w:tblLayout w:type="fixed"/>
        <w:tblCellMar>
          <w:top w:w="0" w:type="dxa"/>
          <w:left w:w="72" w:type="dxa"/>
          <w:bottom w:w="0" w:type="dxa"/>
          <w:right w:w="72" w:type="dxa"/>
        </w:tblCellMar>
        <w:tblLook w:noVBand="1" w:val="04a0" w:noHBand="0" w:lastColumn="0" w:firstColumn="1" w:lastRow="0" w:firstRow="1"/>
      </w:tblPr>
      <w:tblGrid>
        <w:gridCol w:w="1316"/>
        <w:gridCol w:w="1219"/>
        <w:gridCol w:w="2805"/>
        <w:gridCol w:w="3792"/>
      </w:tblGrid>
      <w:tr>
        <w:trPr/>
        <w:tc>
          <w:tcPr>
            <w:tcW w:w="2535"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Период</w:t>
            </w:r>
          </w:p>
        </w:tc>
        <w:tc>
          <w:tcPr>
            <w:tcW w:w="2805"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sz w:val="16"/>
                <w:szCs w:val="16"/>
              </w:rPr>
            </w:pPr>
            <w:r>
              <w:rPr>
                <w:b/>
                <w:bCs/>
                <w:i/>
                <w:iCs/>
                <w:sz w:val="16"/>
                <w:szCs w:val="16"/>
              </w:rPr>
              <w:t>Наименование организации</w:t>
            </w:r>
          </w:p>
        </w:tc>
        <w:tc>
          <w:tcPr>
            <w:tcW w:w="3792"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sz w:val="16"/>
                <w:szCs w:val="16"/>
              </w:rPr>
            </w:pPr>
            <w:r>
              <w:rPr>
                <w:b/>
                <w:bCs/>
                <w:i/>
                <w:iCs/>
                <w:sz w:val="16"/>
                <w:szCs w:val="16"/>
              </w:rPr>
              <w:t>Должность</w:t>
            </w:r>
          </w:p>
        </w:tc>
      </w:tr>
      <w:tr>
        <w:trPr/>
        <w:tc>
          <w:tcPr>
            <w:tcW w:w="131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с</w:t>
            </w:r>
          </w:p>
        </w:tc>
        <w:tc>
          <w:tcPr>
            <w:tcW w:w="121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w:t>
            </w:r>
          </w:p>
        </w:tc>
        <w:tc>
          <w:tcPr>
            <w:tcW w:w="2805"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b/>
                <w:bCs/>
                <w:i/>
                <w:i/>
                <w:iCs/>
                <w:sz w:val="16"/>
                <w:szCs w:val="16"/>
              </w:rPr>
            </w:pPr>
            <w:r>
              <w:rPr>
                <w:b/>
                <w:bCs/>
                <w:i/>
                <w:iCs/>
                <w:sz w:val="16"/>
                <w:szCs w:val="16"/>
              </w:rPr>
            </w:r>
          </w:p>
        </w:tc>
        <w:tc>
          <w:tcPr>
            <w:tcW w:w="3792"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b/>
                <w:bCs/>
                <w:i/>
                <w:i/>
                <w:iCs/>
                <w:sz w:val="16"/>
                <w:szCs w:val="16"/>
              </w:rPr>
            </w:pPr>
            <w:r>
              <w:rPr>
                <w:b/>
                <w:bCs/>
                <w:i/>
                <w:iCs/>
                <w:sz w:val="16"/>
                <w:szCs w:val="16"/>
              </w:rPr>
            </w:r>
          </w:p>
        </w:tc>
      </w:tr>
      <w:tr>
        <w:trPr/>
        <w:tc>
          <w:tcPr>
            <w:tcW w:w="131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2018</w:t>
            </w:r>
          </w:p>
        </w:tc>
        <w:tc>
          <w:tcPr>
            <w:tcW w:w="121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по н.в.</w:t>
            </w:r>
          </w:p>
        </w:tc>
        <w:tc>
          <w:tcPr>
            <w:tcW w:w="280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 xml:space="preserve"> </w:t>
            </w:r>
            <w:r>
              <w:rPr>
                <w:b/>
                <w:bCs/>
                <w:i/>
                <w:iCs/>
                <w:sz w:val="16"/>
                <w:szCs w:val="16"/>
              </w:rPr>
              <w:t>ПАО «РусГидро»</w:t>
            </w:r>
          </w:p>
        </w:tc>
        <w:tc>
          <w:tcPr>
            <w:tcW w:w="3792"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Начальник управления антикоррупционной деятельности департамента контроля и управления рисками</w:t>
            </w:r>
          </w:p>
        </w:tc>
      </w:tr>
      <w:tr>
        <w:trPr/>
        <w:tc>
          <w:tcPr>
            <w:tcW w:w="131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2020</w:t>
            </w:r>
          </w:p>
        </w:tc>
        <w:tc>
          <w:tcPr>
            <w:tcW w:w="121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по н.в.</w:t>
            </w:r>
          </w:p>
        </w:tc>
        <w:tc>
          <w:tcPr>
            <w:tcW w:w="280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ПАО «Камчатскэнерго»</w:t>
            </w:r>
          </w:p>
        </w:tc>
        <w:tc>
          <w:tcPr>
            <w:tcW w:w="3792"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член Ревизионной комиссии</w:t>
            </w:r>
          </w:p>
        </w:tc>
      </w:tr>
    </w:tbl>
    <w:p>
      <w:pPr>
        <w:pStyle w:val="ThinDelim"/>
        <w:spacing w:before="20" w:after="40"/>
        <w:contextualSpacing/>
        <w:jc w:val="both"/>
        <w:rPr>
          <w:b/>
          <w:bCs/>
          <w:i/>
          <w:i/>
          <w:iCs/>
          <w:sz w:val="18"/>
          <w:szCs w:val="18"/>
        </w:rPr>
      </w:pPr>
      <w:r>
        <w:rPr>
          <w:b/>
          <w:bCs/>
          <w:i/>
          <w:iCs/>
          <w:sz w:val="18"/>
          <w:szCs w:val="18"/>
        </w:rPr>
      </w:r>
    </w:p>
    <w:p>
      <w:pPr>
        <w:pStyle w:val="Normal"/>
        <w:jc w:val="both"/>
        <w:rPr/>
      </w:pPr>
      <w:r>
        <w:rPr>
          <w:sz w:val="20"/>
        </w:rPr>
        <w:t xml:space="preserve">Доля участия лица в уставном капитале Эмитента, %: </w:t>
      </w:r>
      <w:r>
        <w:rPr>
          <w:b/>
          <w:i/>
          <w:sz w:val="20"/>
        </w:rPr>
        <w:t xml:space="preserve">не имеет. </w:t>
      </w:r>
    </w:p>
    <w:p>
      <w:pPr>
        <w:pStyle w:val="Normal"/>
        <w:jc w:val="both"/>
        <w:rPr/>
      </w:pPr>
      <w:r>
        <w:rPr>
          <w:sz w:val="20"/>
        </w:rPr>
        <w:t xml:space="preserve">Доля принадлежащих лицу обыкновенных акций Эмитента, %: </w:t>
      </w:r>
      <w:r>
        <w:rPr>
          <w:b/>
          <w:i/>
          <w:sz w:val="20"/>
        </w:rPr>
        <w:t xml:space="preserve">не имеет. </w:t>
      </w:r>
    </w:p>
    <w:p>
      <w:pPr>
        <w:pStyle w:val="Normal"/>
        <w:jc w:val="both"/>
        <w:rPr/>
      </w:pPr>
      <w:r>
        <w:rPr>
          <w:sz w:val="20"/>
        </w:rPr>
        <w:t xml:space="preserve">Количество акций Эмитента каждой категории (типа), которые могут быть приобретены лицом в результате конвертации принадлежащих ему ценных бумаг, конвертируемых в акции: </w:t>
      </w:r>
      <w:r>
        <w:rPr>
          <w:b/>
          <w:i/>
          <w:sz w:val="20"/>
        </w:rPr>
        <w:t xml:space="preserve">ценные бумаги, конвертируемые в акции, отсутствуют. </w:t>
      </w:r>
    </w:p>
    <w:p>
      <w:pPr>
        <w:pStyle w:val="Normal"/>
        <w:jc w:val="both"/>
        <w:rPr/>
      </w:pPr>
      <w:r>
        <w:rPr>
          <w:sz w:val="20"/>
        </w:rPr>
        <w:t xml:space="preserve">Доля участия лица в уставном капитале подконтрольных Эмитенту организаций, имеющих для него существенное значение: </w:t>
      </w:r>
      <w:r>
        <w:rPr>
          <w:b/>
          <w:i/>
          <w:sz w:val="20"/>
        </w:rPr>
        <w:t xml:space="preserve">не имеет. </w:t>
      </w:r>
    </w:p>
    <w:p>
      <w:pPr>
        <w:pStyle w:val="Normal"/>
        <w:jc w:val="both"/>
        <w:rPr/>
      </w:pPr>
      <w:r>
        <w:rPr>
          <w:sz w:val="20"/>
        </w:rPr>
        <w:t xml:space="preserve">Доля принадлежащих лицу обыкновенных акций подконтрольных Эмитенту акционерных обществ, имеющих для Эмитента существенное значение: </w:t>
      </w:r>
      <w:r>
        <w:rPr>
          <w:b/>
          <w:i/>
          <w:sz w:val="20"/>
        </w:rPr>
        <w:t xml:space="preserve">не имеет. </w:t>
      </w:r>
    </w:p>
    <w:p>
      <w:pPr>
        <w:pStyle w:val="Normal"/>
        <w:jc w:val="both"/>
        <w:rPr/>
      </w:pPr>
      <w:r>
        <w:rPr>
          <w:sz w:val="20"/>
        </w:rPr>
        <w:t xml:space="preserve">Количество акций каждой категории (типа), подконтрольных Эмитенту акционерных обществ, имеющих для Эмитента существенное значение, которые могут быть приобретены лицом в результате конвертации принадлежащих ему ценных бумаг, конвертируемых в акции: </w:t>
      </w:r>
      <w:r>
        <w:rPr>
          <w:b/>
          <w:i/>
          <w:sz w:val="20"/>
        </w:rPr>
        <w:t xml:space="preserve">не имеет. </w:t>
      </w:r>
    </w:p>
    <w:p>
      <w:pPr>
        <w:pStyle w:val="Normal"/>
        <w:jc w:val="both"/>
        <w:rPr/>
      </w:pPr>
      <w:r>
        <w:rPr>
          <w:sz w:val="20"/>
        </w:rPr>
        <w:t xml:space="preserve">Сведения о характере родственных связей (супруги, родители, дети, усыновители, усыновленные, родные братья и сестры, дедушки, бабушки, внуки) между лицом и членами совета директоров (наблюдательного совета), членами коллегиального исполнительного органа, лицом, занимающим должность (осуществляющим функции) единоличного исполнительного органа Эмитента: </w:t>
      </w:r>
      <w:r>
        <w:rPr>
          <w:b/>
          <w:i/>
          <w:sz w:val="20"/>
        </w:rPr>
        <w:t xml:space="preserve">указанных родственных связей нет. </w:t>
      </w:r>
    </w:p>
    <w:p>
      <w:pPr>
        <w:pStyle w:val="Normal"/>
        <w:jc w:val="both"/>
        <w:rPr/>
      </w:pPr>
      <w:r>
        <w:rPr>
          <w:sz w:val="20"/>
        </w:rPr>
        <w:t xml:space="preserve">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уголовной ответственности (о наличии судимости) за преступления в сфере экономики и (или) за преступления против государственной власти: </w:t>
      </w:r>
      <w:r>
        <w:rPr>
          <w:b/>
          <w:i/>
          <w:sz w:val="20"/>
        </w:rPr>
        <w:t xml:space="preserve">лицо к указанным видам ответственности не привлекалось. </w:t>
      </w:r>
    </w:p>
    <w:p>
      <w:pPr>
        <w:pStyle w:val="Normal"/>
        <w:jc w:val="both"/>
        <w:rPr/>
      </w:pPr>
      <w:r>
        <w:rPr>
          <w:sz w:val="20"/>
        </w:rPr>
        <w:t xml:space="preserve">Сведения о занятии лицом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статьей 27 Федерального закона «О несостоятельности (банкротстве)»: </w:t>
      </w:r>
      <w:r>
        <w:rPr>
          <w:b/>
          <w:i/>
          <w:sz w:val="20"/>
        </w:rPr>
        <w:t>лицо указанных должностей не занимало</w:t>
      </w:r>
      <w:r>
        <w:rPr>
          <w:sz w:val="20"/>
        </w:rPr>
        <w:t xml:space="preserve">. </w:t>
      </w:r>
    </w:p>
    <w:p>
      <w:pPr>
        <w:pStyle w:val="ThinDelim"/>
        <w:spacing w:before="20" w:after="40"/>
        <w:contextualSpacing/>
        <w:jc w:val="both"/>
        <w:rPr>
          <w:shd w:fill="FFFF00" w:val="clear"/>
        </w:rPr>
      </w:pPr>
      <w:r>
        <w:rPr>
          <w:shd w:fill="FFFF00" w:val="clear"/>
        </w:rPr>
      </w:r>
    </w:p>
    <w:p>
      <w:pPr>
        <w:pStyle w:val="Normal"/>
        <w:spacing w:before="20" w:after="40"/>
        <w:contextualSpacing/>
        <w:jc w:val="both"/>
        <w:rPr/>
      </w:pPr>
      <w:r>
        <w:rPr/>
      </w:r>
    </w:p>
    <w:p>
      <w:pPr>
        <w:pStyle w:val="Normal"/>
        <w:spacing w:before="20" w:after="40"/>
        <w:contextualSpacing/>
        <w:jc w:val="both"/>
        <w:rPr/>
      </w:pPr>
      <w:r>
        <w:rPr/>
        <w:t>Фамилия, имя, отчество (последнее при наличии):</w:t>
      </w:r>
      <w:r>
        <w:rPr>
          <w:b/>
          <w:i/>
        </w:rPr>
        <w:t xml:space="preserve"> Пиевский Сергей Александрович</w:t>
      </w:r>
    </w:p>
    <w:p>
      <w:pPr>
        <w:pStyle w:val="Normal"/>
        <w:spacing w:before="20" w:after="40"/>
        <w:contextualSpacing/>
        <w:jc w:val="both"/>
        <w:rPr/>
      </w:pPr>
      <w:r>
        <w:rPr/>
        <w:t>Председатель:</w:t>
      </w:r>
      <w:r>
        <w:rPr>
          <w:b/>
          <w:i/>
        </w:rPr>
        <w:t xml:space="preserve"> Нет</w:t>
      </w:r>
    </w:p>
    <w:p>
      <w:pPr>
        <w:pStyle w:val="Normal"/>
        <w:spacing w:before="20" w:after="40"/>
        <w:contextualSpacing/>
        <w:jc w:val="both"/>
        <w:rPr/>
      </w:pPr>
      <w:r>
        <w:rPr/>
        <w:t>Год рождения:</w:t>
      </w:r>
      <w:r>
        <w:rPr>
          <w:b/>
          <w:i/>
        </w:rPr>
        <w:t xml:space="preserve"> 1988</w:t>
      </w:r>
    </w:p>
    <w:p>
      <w:pPr>
        <w:pStyle w:val="ThinDelim"/>
        <w:spacing w:before="20" w:after="40"/>
        <w:contextualSpacing/>
        <w:jc w:val="both"/>
        <w:rPr/>
      </w:pPr>
      <w:r>
        <w:rPr/>
      </w:r>
    </w:p>
    <w:p>
      <w:pPr>
        <w:pStyle w:val="Normal"/>
        <w:spacing w:before="20" w:after="40"/>
        <w:contextualSpacing/>
        <w:jc w:val="both"/>
        <w:rPr/>
      </w:pPr>
      <w:r>
        <w:rPr/>
        <w:t>Cведения об уровне образования, квалификации, специальности:</w:t>
      </w:r>
    </w:p>
    <w:p>
      <w:pPr>
        <w:pStyle w:val="Normal"/>
        <w:spacing w:before="20" w:after="40"/>
        <w:contextualSpacing/>
        <w:jc w:val="both"/>
        <w:rPr/>
      </w:pPr>
      <w:r>
        <w:rPr>
          <w:b/>
          <w:i/>
        </w:rPr>
        <w:t>высшее профессиональное, специалист, инженер путей сообщения по специальности «Мосты и транспортные тоннели»</w:t>
      </w:r>
    </w:p>
    <w:p>
      <w:pPr>
        <w:pStyle w:val="Normal"/>
        <w:spacing w:before="20" w:after="40"/>
        <w:contextualSpacing/>
        <w:jc w:val="both"/>
        <w:rPr/>
      </w:pPr>
      <w:r>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w:t>
      </w:r>
    </w:p>
    <w:p>
      <w:pPr>
        <w:pStyle w:val="ThinDelim"/>
        <w:spacing w:before="20" w:after="40"/>
        <w:contextualSpacing/>
        <w:jc w:val="both"/>
        <w:rPr>
          <w:b/>
          <w:bCs/>
          <w:i/>
          <w:i/>
          <w:iCs/>
          <w:sz w:val="18"/>
          <w:szCs w:val="18"/>
        </w:rPr>
      </w:pPr>
      <w:r>
        <w:rPr>
          <w:b/>
          <w:bCs/>
          <w:i/>
          <w:iCs/>
          <w:sz w:val="18"/>
          <w:szCs w:val="18"/>
        </w:rPr>
      </w:r>
    </w:p>
    <w:tbl>
      <w:tblPr>
        <w:tblW w:w="9196" w:type="dxa"/>
        <w:jc w:val="left"/>
        <w:tblInd w:w="60" w:type="dxa"/>
        <w:tblLayout w:type="fixed"/>
        <w:tblCellMar>
          <w:top w:w="0" w:type="dxa"/>
          <w:left w:w="72" w:type="dxa"/>
          <w:bottom w:w="0" w:type="dxa"/>
          <w:right w:w="72" w:type="dxa"/>
        </w:tblCellMar>
        <w:tblLook w:noVBand="1" w:val="04a0" w:noHBand="0" w:lastColumn="0" w:firstColumn="1" w:lastRow="0" w:firstRow="1"/>
      </w:tblPr>
      <w:tblGrid>
        <w:gridCol w:w="1212"/>
        <w:gridCol w:w="1188"/>
        <w:gridCol w:w="3120"/>
        <w:gridCol w:w="3675"/>
      </w:tblGrid>
      <w:tr>
        <w:trPr/>
        <w:tc>
          <w:tcPr>
            <w:tcW w:w="2400"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Период</w:t>
            </w:r>
          </w:p>
        </w:tc>
        <w:tc>
          <w:tcPr>
            <w:tcW w:w="312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sz w:val="16"/>
                <w:szCs w:val="16"/>
              </w:rPr>
            </w:pPr>
            <w:r>
              <w:rPr>
                <w:b/>
                <w:bCs/>
                <w:i/>
                <w:iCs/>
                <w:sz w:val="16"/>
                <w:szCs w:val="16"/>
              </w:rPr>
              <w:t>Наименование организации</w:t>
            </w:r>
          </w:p>
        </w:tc>
        <w:tc>
          <w:tcPr>
            <w:tcW w:w="3675"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sz w:val="16"/>
                <w:szCs w:val="16"/>
              </w:rPr>
            </w:pPr>
            <w:r>
              <w:rPr>
                <w:b/>
                <w:bCs/>
                <w:i/>
                <w:iCs/>
                <w:sz w:val="16"/>
                <w:szCs w:val="16"/>
              </w:rPr>
              <w:t>Должность</w:t>
            </w:r>
          </w:p>
        </w:tc>
      </w:tr>
      <w:tr>
        <w:trPr/>
        <w:tc>
          <w:tcPr>
            <w:tcW w:w="1212"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с</w:t>
            </w:r>
          </w:p>
        </w:tc>
        <w:tc>
          <w:tcPr>
            <w:tcW w:w="1188"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w:t>
            </w:r>
          </w:p>
        </w:tc>
        <w:tc>
          <w:tcPr>
            <w:tcW w:w="3120"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b/>
                <w:bCs/>
                <w:i/>
                <w:i/>
                <w:iCs/>
                <w:sz w:val="16"/>
                <w:szCs w:val="16"/>
              </w:rPr>
            </w:pPr>
            <w:r>
              <w:rPr>
                <w:b/>
                <w:bCs/>
                <w:i/>
                <w:iCs/>
                <w:sz w:val="16"/>
                <w:szCs w:val="16"/>
              </w:rPr>
            </w:r>
          </w:p>
        </w:tc>
        <w:tc>
          <w:tcPr>
            <w:tcW w:w="3675"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both"/>
              <w:rPr>
                <w:b/>
                <w:bCs/>
                <w:i/>
                <w:i/>
                <w:iCs/>
                <w:sz w:val="16"/>
                <w:szCs w:val="16"/>
              </w:rPr>
            </w:pPr>
            <w:r>
              <w:rPr>
                <w:b/>
                <w:bCs/>
                <w:i/>
                <w:iCs/>
                <w:sz w:val="16"/>
                <w:szCs w:val="16"/>
              </w:rPr>
            </w:r>
          </w:p>
        </w:tc>
      </w:tr>
      <w:tr>
        <w:trPr/>
        <w:tc>
          <w:tcPr>
            <w:tcW w:w="1212"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2019</w:t>
            </w:r>
          </w:p>
        </w:tc>
        <w:tc>
          <w:tcPr>
            <w:tcW w:w="1188"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по 2022.</w:t>
            </w:r>
          </w:p>
        </w:tc>
        <w:tc>
          <w:tcPr>
            <w:tcW w:w="312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ПАО «РусГидро»</w:t>
            </w:r>
          </w:p>
        </w:tc>
        <w:tc>
          <w:tcPr>
            <w:tcW w:w="367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Главный специалист Контрольно-ревизионного управления «Дальний Восток» Департамента контроля и управления рисками</w:t>
            </w:r>
          </w:p>
        </w:tc>
      </w:tr>
      <w:tr>
        <w:trPr/>
        <w:tc>
          <w:tcPr>
            <w:tcW w:w="1212"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2020</w:t>
            </w:r>
          </w:p>
        </w:tc>
        <w:tc>
          <w:tcPr>
            <w:tcW w:w="1188"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по н.в.</w:t>
            </w:r>
          </w:p>
        </w:tc>
        <w:tc>
          <w:tcPr>
            <w:tcW w:w="312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ПАО «Камчатскэнерго»</w:t>
            </w:r>
          </w:p>
        </w:tc>
        <w:tc>
          <w:tcPr>
            <w:tcW w:w="367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член Ревизионной комиссии</w:t>
            </w:r>
          </w:p>
        </w:tc>
      </w:tr>
      <w:tr>
        <w:trPr/>
        <w:tc>
          <w:tcPr>
            <w:tcW w:w="1212" w:type="dxa"/>
            <w:tcBorders>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2022</w:t>
            </w:r>
          </w:p>
        </w:tc>
        <w:tc>
          <w:tcPr>
            <w:tcW w:w="1188" w:type="dxa"/>
            <w:tcBorders>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по н.в.</w:t>
            </w:r>
          </w:p>
        </w:tc>
        <w:tc>
          <w:tcPr>
            <w:tcW w:w="3120" w:type="dxa"/>
            <w:tcBorders>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ПАО «РусГидро»</w:t>
            </w:r>
          </w:p>
        </w:tc>
        <w:tc>
          <w:tcPr>
            <w:tcW w:w="3675" w:type="dxa"/>
            <w:tcBorders>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Главный эксперт   Контрольно-ревизионного управления «Дальний Восток» Департамента контроля и управления рисками</w:t>
            </w:r>
          </w:p>
        </w:tc>
      </w:tr>
    </w:tbl>
    <w:p>
      <w:pPr>
        <w:pStyle w:val="ThinDelim"/>
        <w:spacing w:before="20" w:after="40"/>
        <w:contextualSpacing/>
        <w:jc w:val="both"/>
        <w:rPr>
          <w:b/>
          <w:bCs/>
          <w:i/>
          <w:i/>
          <w:iCs/>
          <w:sz w:val="18"/>
          <w:szCs w:val="18"/>
        </w:rPr>
      </w:pPr>
      <w:r>
        <w:rPr>
          <w:b/>
          <w:bCs/>
          <w:i/>
          <w:iCs/>
          <w:sz w:val="18"/>
          <w:szCs w:val="18"/>
        </w:rPr>
      </w:r>
    </w:p>
    <w:p>
      <w:pPr>
        <w:pStyle w:val="Normal"/>
        <w:jc w:val="both"/>
        <w:rPr/>
      </w:pPr>
      <w:r>
        <w:rPr>
          <w:sz w:val="20"/>
        </w:rPr>
        <w:t xml:space="preserve">Доля участия лица в уставном капитале Эмитента, %: </w:t>
      </w:r>
      <w:r>
        <w:rPr>
          <w:b/>
          <w:i/>
          <w:sz w:val="20"/>
        </w:rPr>
        <w:t xml:space="preserve">не имеет. </w:t>
      </w:r>
    </w:p>
    <w:p>
      <w:pPr>
        <w:pStyle w:val="Normal"/>
        <w:jc w:val="both"/>
        <w:rPr/>
      </w:pPr>
      <w:r>
        <w:rPr>
          <w:sz w:val="20"/>
        </w:rPr>
        <w:t xml:space="preserve">Доля принадлежащих лицу обыкновенных акций Эмитента, %: </w:t>
      </w:r>
      <w:r>
        <w:rPr>
          <w:b/>
          <w:i/>
          <w:sz w:val="20"/>
        </w:rPr>
        <w:t xml:space="preserve">не имеет. </w:t>
      </w:r>
    </w:p>
    <w:p>
      <w:pPr>
        <w:pStyle w:val="Normal"/>
        <w:jc w:val="both"/>
        <w:rPr/>
      </w:pPr>
      <w:r>
        <w:rPr>
          <w:sz w:val="20"/>
        </w:rPr>
        <w:t xml:space="preserve">Количество акций Эмитента каждой категории (типа), которые могут быть приобретены лицом в результате конвертации принадлежащих ему ценных бумаг, конвертируемых в акции: </w:t>
      </w:r>
      <w:r>
        <w:rPr>
          <w:b/>
          <w:i/>
          <w:sz w:val="20"/>
        </w:rPr>
        <w:t xml:space="preserve">ценные бумаги, конвертируемые в акции, отсутствуют. </w:t>
      </w:r>
    </w:p>
    <w:p>
      <w:pPr>
        <w:pStyle w:val="Normal"/>
        <w:jc w:val="both"/>
        <w:rPr/>
      </w:pPr>
      <w:r>
        <w:rPr>
          <w:sz w:val="20"/>
        </w:rPr>
        <w:t xml:space="preserve">Доля участия лица в уставном капитале подконтрольных Эмитенту организаций, имеющих для него существенное значение: </w:t>
      </w:r>
      <w:r>
        <w:rPr>
          <w:b/>
          <w:i/>
          <w:sz w:val="20"/>
        </w:rPr>
        <w:t xml:space="preserve">не имеет. </w:t>
      </w:r>
    </w:p>
    <w:p>
      <w:pPr>
        <w:pStyle w:val="Normal"/>
        <w:jc w:val="both"/>
        <w:rPr/>
      </w:pPr>
      <w:r>
        <w:rPr>
          <w:sz w:val="20"/>
        </w:rPr>
        <w:t xml:space="preserve">Доля принадлежащих лицу обыкновенных акций подконтрольных Эмитенту акционерных обществ, имеющих для Эмитента существенное значение: </w:t>
      </w:r>
      <w:r>
        <w:rPr>
          <w:b/>
          <w:i/>
          <w:sz w:val="20"/>
        </w:rPr>
        <w:t xml:space="preserve">не имеет. </w:t>
      </w:r>
    </w:p>
    <w:p>
      <w:pPr>
        <w:pStyle w:val="Normal"/>
        <w:jc w:val="both"/>
        <w:rPr/>
      </w:pPr>
      <w:r>
        <w:rPr>
          <w:sz w:val="20"/>
        </w:rPr>
        <w:t xml:space="preserve">Количество акций каждой категории (типа), подконтрольных Эмитенту акционерных обществ, имеющих для Эмитента существенное значение, которые могут быть приобретены лицом в результате конвертации принадлежащих ему ценных бумаг, конвертируемых в акции: </w:t>
      </w:r>
      <w:r>
        <w:rPr>
          <w:b/>
          <w:i/>
          <w:sz w:val="20"/>
        </w:rPr>
        <w:t xml:space="preserve">не имеет. </w:t>
      </w:r>
    </w:p>
    <w:p>
      <w:pPr>
        <w:pStyle w:val="Normal"/>
        <w:jc w:val="both"/>
        <w:rPr/>
      </w:pPr>
      <w:r>
        <w:rPr>
          <w:sz w:val="20"/>
        </w:rPr>
        <w:t xml:space="preserve">Сведения о характере родственных связей (супруги, родители, дети, усыновители, усыновленные, родные братья и сестры, дедушки, бабушки, внуки) между лицом и членами совета директоров (наблюдательного совета), членами коллегиального исполнительного органа, лицом, занимающим должность (осуществляющим функции) единоличного исполнительного органа Эмитента: </w:t>
      </w:r>
      <w:r>
        <w:rPr>
          <w:b/>
          <w:i/>
          <w:sz w:val="20"/>
        </w:rPr>
        <w:t xml:space="preserve">указанных родственных связей нет. </w:t>
      </w:r>
    </w:p>
    <w:p>
      <w:pPr>
        <w:pStyle w:val="Normal"/>
        <w:jc w:val="both"/>
        <w:rPr/>
      </w:pPr>
      <w:r>
        <w:rPr>
          <w:sz w:val="20"/>
        </w:rPr>
        <w:t xml:space="preserve">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уголовной ответственности (о наличии судимости) за преступления в сфере экономики и (или) за преступления против государственной власти: </w:t>
      </w:r>
      <w:r>
        <w:rPr>
          <w:b/>
          <w:i/>
          <w:sz w:val="20"/>
        </w:rPr>
        <w:t xml:space="preserve">лицо к указанным видам ответственности не привлекалось. </w:t>
      </w:r>
    </w:p>
    <w:p>
      <w:pPr>
        <w:pStyle w:val="Normal"/>
        <w:jc w:val="both"/>
        <w:rPr/>
      </w:pPr>
      <w:r>
        <w:rPr/>
        <w:t xml:space="preserve">Сведения о занятии лицом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статьей 27 Федерального закона «О несостоятельности (банкротстве)»: </w:t>
      </w:r>
      <w:r>
        <w:rPr>
          <w:b/>
          <w:i/>
        </w:rPr>
        <w:t>лицо указанных должностей не занимало</w:t>
      </w:r>
      <w:r>
        <w:rPr/>
        <w:t>.</w:t>
      </w:r>
    </w:p>
    <w:p>
      <w:pPr>
        <w:pStyle w:val="Normal"/>
        <w:spacing w:before="20" w:after="40"/>
        <w:contextualSpacing/>
        <w:jc w:val="both"/>
        <w:rPr/>
      </w:pPr>
      <w:r>
        <w:rPr/>
      </w:r>
    </w:p>
    <w:p>
      <w:pPr>
        <w:pStyle w:val="Normal"/>
        <w:spacing w:before="20" w:after="40"/>
        <w:contextualSpacing/>
        <w:jc w:val="both"/>
        <w:rPr/>
      </w:pPr>
      <w:r>
        <w:rPr/>
        <w:t>Фамилия, имя, отчество (последнее при наличии):</w:t>
      </w:r>
      <w:r>
        <w:rPr>
          <w:b/>
          <w:i/>
        </w:rPr>
        <w:t xml:space="preserve"> Войкусова Тамара Юрьевна</w:t>
      </w:r>
    </w:p>
    <w:p>
      <w:pPr>
        <w:pStyle w:val="Normal"/>
        <w:spacing w:before="20" w:after="40"/>
        <w:contextualSpacing/>
        <w:jc w:val="both"/>
        <w:rPr/>
      </w:pPr>
      <w:r>
        <w:rPr/>
        <w:t>Председатель:</w:t>
      </w:r>
      <w:r>
        <w:rPr>
          <w:b/>
          <w:i/>
        </w:rPr>
        <w:t xml:space="preserve"> Нет</w:t>
      </w:r>
    </w:p>
    <w:p>
      <w:pPr>
        <w:pStyle w:val="Normal"/>
        <w:spacing w:before="20" w:after="40"/>
        <w:contextualSpacing/>
        <w:jc w:val="both"/>
        <w:rPr/>
      </w:pPr>
      <w:r>
        <w:rPr/>
        <w:t>Год рождения:</w:t>
      </w:r>
      <w:r>
        <w:rPr>
          <w:b/>
          <w:i/>
        </w:rPr>
        <w:t xml:space="preserve"> 1975</w:t>
      </w:r>
    </w:p>
    <w:p>
      <w:pPr>
        <w:pStyle w:val="ThinDelim"/>
        <w:spacing w:before="20" w:after="40"/>
        <w:contextualSpacing/>
        <w:jc w:val="both"/>
        <w:rPr/>
      </w:pPr>
      <w:r>
        <w:rPr/>
      </w:r>
    </w:p>
    <w:p>
      <w:pPr>
        <w:pStyle w:val="Normal"/>
        <w:spacing w:before="20" w:after="40"/>
        <w:contextualSpacing/>
        <w:jc w:val="both"/>
        <w:rPr/>
      </w:pPr>
      <w:r>
        <w:rPr/>
        <w:t>Cведения об уровне образования, квалификации, специальности:</w:t>
      </w:r>
    </w:p>
    <w:p>
      <w:pPr>
        <w:pStyle w:val="Normal"/>
        <w:spacing w:before="20" w:after="40"/>
        <w:contextualSpacing/>
        <w:jc w:val="both"/>
        <w:rPr/>
      </w:pPr>
      <w:r>
        <w:rPr>
          <w:b/>
          <w:i/>
        </w:rPr>
        <w:t>высшее професс</w:t>
      </w:r>
      <w:r>
        <w:rPr>
          <w:b/>
          <w:i/>
          <w:shd w:fill="auto" w:val="clear"/>
        </w:rPr>
        <w:t>иональное, специалист; дополнительное высшее профессиональное, специалист, экономика</w:t>
      </w:r>
    </w:p>
    <w:p>
      <w:pPr>
        <w:pStyle w:val="Normal"/>
        <w:spacing w:before="20" w:after="40"/>
        <w:contextualSpacing/>
        <w:jc w:val="both"/>
        <w:rPr/>
      </w:pPr>
      <w:r>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w:t>
      </w:r>
    </w:p>
    <w:p>
      <w:pPr>
        <w:pStyle w:val="ThinDelim"/>
        <w:spacing w:before="20" w:after="40"/>
        <w:contextualSpacing/>
        <w:jc w:val="both"/>
        <w:rPr>
          <w:b/>
          <w:bCs/>
          <w:i/>
          <w:i/>
          <w:iCs/>
          <w:sz w:val="18"/>
          <w:szCs w:val="18"/>
        </w:rPr>
      </w:pPr>
      <w:r>
        <w:rPr>
          <w:b/>
          <w:bCs/>
          <w:i/>
          <w:iCs/>
          <w:sz w:val="18"/>
          <w:szCs w:val="18"/>
        </w:rPr>
      </w:r>
    </w:p>
    <w:tbl>
      <w:tblPr>
        <w:tblW w:w="9147" w:type="dxa"/>
        <w:jc w:val="left"/>
        <w:tblInd w:w="60" w:type="dxa"/>
        <w:tblLayout w:type="fixed"/>
        <w:tblCellMar>
          <w:top w:w="0" w:type="dxa"/>
          <w:left w:w="72" w:type="dxa"/>
          <w:bottom w:w="0" w:type="dxa"/>
          <w:right w:w="72" w:type="dxa"/>
        </w:tblCellMar>
        <w:tblLook w:noVBand="1" w:val="04a0" w:noHBand="0" w:lastColumn="0" w:firstColumn="1" w:lastRow="0" w:firstRow="1"/>
      </w:tblPr>
      <w:tblGrid>
        <w:gridCol w:w="1260"/>
        <w:gridCol w:w="1320"/>
        <w:gridCol w:w="2654"/>
        <w:gridCol w:w="3912"/>
      </w:tblGrid>
      <w:tr>
        <w:trPr/>
        <w:tc>
          <w:tcPr>
            <w:tcW w:w="2580"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Период</w:t>
            </w:r>
          </w:p>
        </w:tc>
        <w:tc>
          <w:tcPr>
            <w:tcW w:w="2654"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sz w:val="16"/>
                <w:szCs w:val="16"/>
              </w:rPr>
            </w:pPr>
            <w:r>
              <w:rPr>
                <w:b/>
                <w:bCs/>
                <w:i/>
                <w:iCs/>
                <w:sz w:val="16"/>
                <w:szCs w:val="16"/>
              </w:rPr>
              <w:t>Наименование организации</w:t>
            </w:r>
          </w:p>
        </w:tc>
        <w:tc>
          <w:tcPr>
            <w:tcW w:w="3912"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sz w:val="16"/>
                <w:szCs w:val="16"/>
              </w:rPr>
            </w:pPr>
            <w:r>
              <w:rPr>
                <w:b/>
                <w:bCs/>
                <w:i/>
                <w:iCs/>
                <w:sz w:val="16"/>
                <w:szCs w:val="16"/>
              </w:rPr>
              <w:t>Должность</w:t>
            </w:r>
          </w:p>
        </w:tc>
      </w:tr>
      <w:tr>
        <w:trPr/>
        <w:tc>
          <w:tcPr>
            <w:tcW w:w="126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с</w:t>
            </w:r>
          </w:p>
        </w:tc>
        <w:tc>
          <w:tcPr>
            <w:tcW w:w="132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w:t>
            </w:r>
          </w:p>
        </w:tc>
        <w:tc>
          <w:tcPr>
            <w:tcW w:w="2654"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b/>
                <w:bCs/>
                <w:i/>
                <w:i/>
                <w:iCs/>
                <w:sz w:val="16"/>
                <w:szCs w:val="16"/>
              </w:rPr>
            </w:pPr>
            <w:r>
              <w:rPr>
                <w:b/>
                <w:bCs/>
                <w:i/>
                <w:iCs/>
                <w:sz w:val="16"/>
                <w:szCs w:val="16"/>
              </w:rPr>
            </w:r>
          </w:p>
        </w:tc>
        <w:tc>
          <w:tcPr>
            <w:tcW w:w="3912"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b/>
                <w:bCs/>
                <w:i/>
                <w:i/>
                <w:iCs/>
                <w:sz w:val="16"/>
                <w:szCs w:val="16"/>
              </w:rPr>
            </w:pPr>
            <w:r>
              <w:rPr>
                <w:b/>
                <w:bCs/>
                <w:i/>
                <w:iCs/>
                <w:sz w:val="16"/>
                <w:szCs w:val="16"/>
              </w:rPr>
            </w:r>
          </w:p>
        </w:tc>
      </w:tr>
      <w:tr>
        <w:trPr/>
        <w:tc>
          <w:tcPr>
            <w:tcW w:w="126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2020</w:t>
            </w:r>
          </w:p>
        </w:tc>
        <w:tc>
          <w:tcPr>
            <w:tcW w:w="132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2023</w:t>
            </w:r>
          </w:p>
        </w:tc>
        <w:tc>
          <w:tcPr>
            <w:tcW w:w="2654"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ПАО «РусГидро»</w:t>
            </w:r>
          </w:p>
        </w:tc>
        <w:tc>
          <w:tcPr>
            <w:tcW w:w="3912"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Главный специалист КРУ «Дальний Восток» Департамента контроля и управления рисками</w:t>
            </w:r>
          </w:p>
        </w:tc>
      </w:tr>
      <w:tr>
        <w:trPr/>
        <w:tc>
          <w:tcPr>
            <w:tcW w:w="126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2019</w:t>
            </w:r>
          </w:p>
        </w:tc>
        <w:tc>
          <w:tcPr>
            <w:tcW w:w="132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по н.в.</w:t>
            </w:r>
          </w:p>
        </w:tc>
        <w:tc>
          <w:tcPr>
            <w:tcW w:w="2654"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ПАО «Камчатскэнерго»</w:t>
            </w:r>
          </w:p>
        </w:tc>
        <w:tc>
          <w:tcPr>
            <w:tcW w:w="3912"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член Ревизионной комиссии</w:t>
            </w:r>
          </w:p>
        </w:tc>
      </w:tr>
      <w:tr>
        <w:trPr/>
        <w:tc>
          <w:tcPr>
            <w:tcW w:w="1260" w:type="dxa"/>
            <w:tcBorders>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2023</w:t>
            </w:r>
          </w:p>
        </w:tc>
        <w:tc>
          <w:tcPr>
            <w:tcW w:w="1320" w:type="dxa"/>
            <w:tcBorders>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по н.в</w:t>
            </w:r>
          </w:p>
        </w:tc>
        <w:tc>
          <w:tcPr>
            <w:tcW w:w="2654" w:type="dxa"/>
            <w:tcBorders>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ПАО «РусГидро»</w:t>
            </w:r>
          </w:p>
        </w:tc>
        <w:tc>
          <w:tcPr>
            <w:tcW w:w="3912" w:type="dxa"/>
            <w:tcBorders>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Главный эксперт КРУ «Дальний Восток» Департамента контроля и управления рисками</w:t>
            </w:r>
          </w:p>
        </w:tc>
      </w:tr>
    </w:tbl>
    <w:p>
      <w:pPr>
        <w:pStyle w:val="ThinDelim"/>
        <w:spacing w:before="20" w:after="40"/>
        <w:contextualSpacing/>
        <w:jc w:val="both"/>
        <w:rPr>
          <w:b/>
          <w:bCs/>
          <w:i/>
          <w:i/>
          <w:iCs/>
          <w:sz w:val="18"/>
          <w:szCs w:val="18"/>
        </w:rPr>
      </w:pPr>
      <w:r>
        <w:rPr>
          <w:b/>
          <w:bCs/>
          <w:i/>
          <w:iCs/>
          <w:sz w:val="18"/>
          <w:szCs w:val="18"/>
        </w:rPr>
      </w:r>
    </w:p>
    <w:p>
      <w:pPr>
        <w:pStyle w:val="Normal"/>
        <w:jc w:val="both"/>
        <w:rPr/>
      </w:pPr>
      <w:r>
        <w:rPr>
          <w:sz w:val="20"/>
        </w:rPr>
        <w:t xml:space="preserve">Доля участия лица в уставном капитале Эмитента, %: </w:t>
      </w:r>
      <w:r>
        <w:rPr>
          <w:b/>
          <w:i/>
          <w:sz w:val="20"/>
        </w:rPr>
        <w:t xml:space="preserve">не имеет. </w:t>
      </w:r>
    </w:p>
    <w:p>
      <w:pPr>
        <w:pStyle w:val="Normal"/>
        <w:jc w:val="both"/>
        <w:rPr/>
      </w:pPr>
      <w:r>
        <w:rPr>
          <w:sz w:val="20"/>
        </w:rPr>
        <w:t xml:space="preserve">Доля принадлежащих лицу обыкновенных акций Эмитента, %: </w:t>
      </w:r>
      <w:r>
        <w:rPr>
          <w:b/>
          <w:i/>
          <w:sz w:val="20"/>
        </w:rPr>
        <w:t xml:space="preserve">не имеет. </w:t>
      </w:r>
    </w:p>
    <w:p>
      <w:pPr>
        <w:pStyle w:val="Normal"/>
        <w:jc w:val="both"/>
        <w:rPr/>
      </w:pPr>
      <w:r>
        <w:rPr>
          <w:sz w:val="20"/>
        </w:rPr>
        <w:t xml:space="preserve">Количество акций Эмитента каждой категории (типа), которые могут быть приобретены лицом в результате конвертации принадлежащих ему ценных бумаг, конвертируемых в акции: </w:t>
      </w:r>
      <w:r>
        <w:rPr>
          <w:b/>
          <w:i/>
          <w:sz w:val="20"/>
        </w:rPr>
        <w:t xml:space="preserve">ценные бумаги, конвертируемые в акции, отсутствуют. </w:t>
      </w:r>
    </w:p>
    <w:p>
      <w:pPr>
        <w:pStyle w:val="Normal"/>
        <w:jc w:val="both"/>
        <w:rPr/>
      </w:pPr>
      <w:r>
        <w:rPr>
          <w:sz w:val="20"/>
        </w:rPr>
        <w:t xml:space="preserve">Доля участия лица в уставном капитале подконтрольных Эмитенту организаций, имеющих для него существенное значение: </w:t>
      </w:r>
      <w:r>
        <w:rPr>
          <w:b/>
          <w:i/>
          <w:sz w:val="20"/>
        </w:rPr>
        <w:t xml:space="preserve">не имеет. </w:t>
      </w:r>
    </w:p>
    <w:p>
      <w:pPr>
        <w:pStyle w:val="Normal"/>
        <w:jc w:val="both"/>
        <w:rPr/>
      </w:pPr>
      <w:r>
        <w:rPr>
          <w:sz w:val="20"/>
        </w:rPr>
        <w:t xml:space="preserve">Доля принадлежащих лицу обыкновенных акций подконтрольных Эмитенту акционерных обществ, имеющих для Эмитента существенное значение: </w:t>
      </w:r>
      <w:r>
        <w:rPr>
          <w:b/>
          <w:i/>
          <w:sz w:val="20"/>
        </w:rPr>
        <w:t xml:space="preserve">не имеет. </w:t>
      </w:r>
    </w:p>
    <w:p>
      <w:pPr>
        <w:pStyle w:val="Normal"/>
        <w:jc w:val="both"/>
        <w:rPr/>
      </w:pPr>
      <w:r>
        <w:rPr>
          <w:sz w:val="20"/>
        </w:rPr>
        <w:t xml:space="preserve">Количество акций каждой категории (типа), подконтрольных Эмитенту акционерных обществ, имеющих для Эмитента существенное значение, которые могут быть приобретены лицом в результате конвертации принадлежащих ему ценных бумаг, конвертируемых в акции: </w:t>
      </w:r>
      <w:r>
        <w:rPr>
          <w:b/>
          <w:i/>
          <w:sz w:val="20"/>
        </w:rPr>
        <w:t xml:space="preserve">не имеет. </w:t>
      </w:r>
    </w:p>
    <w:p>
      <w:pPr>
        <w:pStyle w:val="Normal"/>
        <w:jc w:val="both"/>
        <w:rPr/>
      </w:pPr>
      <w:r>
        <w:rPr>
          <w:sz w:val="20"/>
        </w:rPr>
        <w:t xml:space="preserve">Сведения о характере родственных связей (супруги, родители, дети, усыновители, усыновленные, родные братья и сестры, дедушки, бабушки, внуки) между лицом и членами совета директоров (наблюдательного совета), членами коллегиального исполнительного органа, лицом, занимающим должность (осуществляющим функции) единоличного исполнительного органа Эмитента: </w:t>
      </w:r>
      <w:r>
        <w:rPr>
          <w:b/>
          <w:i/>
          <w:sz w:val="20"/>
        </w:rPr>
        <w:t xml:space="preserve">указанных родственных связей нет. </w:t>
      </w:r>
    </w:p>
    <w:p>
      <w:pPr>
        <w:pStyle w:val="Normal"/>
        <w:jc w:val="both"/>
        <w:rPr/>
      </w:pPr>
      <w:r>
        <w:rPr>
          <w:sz w:val="20"/>
        </w:rPr>
        <w:t xml:space="preserve">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уголовной ответственности (о наличии судимости) за преступления в сфере экономики и (или) за преступления против государственной власти: </w:t>
      </w:r>
      <w:r>
        <w:rPr>
          <w:b/>
          <w:i/>
          <w:sz w:val="20"/>
        </w:rPr>
        <w:t xml:space="preserve">лицо к указанным видам ответственности не привлекалось. </w:t>
      </w:r>
    </w:p>
    <w:p>
      <w:pPr>
        <w:pStyle w:val="Normal"/>
        <w:spacing w:before="20" w:after="40"/>
        <w:contextualSpacing/>
        <w:jc w:val="both"/>
        <w:rPr/>
      </w:pPr>
      <w:r>
        <w:rPr/>
        <w:t xml:space="preserve">Сведения о занятии лицом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статьей 27 Федерального закона «О несостоятельности (банкротстве)»: </w:t>
      </w:r>
      <w:r>
        <w:rPr>
          <w:b/>
          <w:i/>
        </w:rPr>
        <w:t>лицо указанных должностей не занимало</w:t>
      </w:r>
      <w:r>
        <w:rPr/>
        <w:t>.</w:t>
      </w:r>
    </w:p>
    <w:p>
      <w:pPr>
        <w:pStyle w:val="Normal"/>
        <w:spacing w:before="20" w:after="40"/>
        <w:contextualSpacing/>
        <w:jc w:val="both"/>
        <w:rPr/>
      </w:pPr>
      <w:r>
        <w:rPr/>
      </w:r>
    </w:p>
    <w:p>
      <w:pPr>
        <w:pStyle w:val="Normal"/>
        <w:spacing w:before="20" w:after="40"/>
        <w:contextualSpacing/>
        <w:jc w:val="both"/>
        <w:rPr/>
      </w:pPr>
      <w:r>
        <w:rPr/>
      </w:r>
    </w:p>
    <w:p>
      <w:pPr>
        <w:pStyle w:val="Normal"/>
        <w:spacing w:before="20" w:after="40"/>
        <w:contextualSpacing/>
        <w:jc w:val="both"/>
        <w:rPr/>
      </w:pPr>
      <w:r>
        <w:rPr/>
        <w:t>Фамилия, имя, отчество (последнее при наличии):</w:t>
      </w:r>
      <w:r>
        <w:rPr>
          <w:b/>
          <w:i/>
        </w:rPr>
        <w:t xml:space="preserve"> Слободин Алексей Исаакович</w:t>
      </w:r>
    </w:p>
    <w:p>
      <w:pPr>
        <w:pStyle w:val="Normal"/>
        <w:spacing w:before="20" w:after="40"/>
        <w:contextualSpacing/>
        <w:jc w:val="both"/>
        <w:rPr/>
      </w:pPr>
      <w:r>
        <w:rPr/>
        <w:t>Председатель:</w:t>
      </w:r>
      <w:r>
        <w:rPr>
          <w:b/>
          <w:i/>
        </w:rPr>
        <w:t xml:space="preserve"> Нет</w:t>
      </w:r>
    </w:p>
    <w:p>
      <w:pPr>
        <w:pStyle w:val="Normal"/>
        <w:spacing w:before="20" w:after="40"/>
        <w:contextualSpacing/>
        <w:jc w:val="both"/>
        <w:rPr/>
      </w:pPr>
      <w:r>
        <w:rPr/>
        <w:t>Год рождения:</w:t>
      </w:r>
      <w:r>
        <w:rPr>
          <w:b/>
          <w:i/>
        </w:rPr>
        <w:t xml:space="preserve"> 1981</w:t>
      </w:r>
    </w:p>
    <w:p>
      <w:pPr>
        <w:pStyle w:val="ThinDelim"/>
        <w:spacing w:before="20" w:after="40"/>
        <w:contextualSpacing/>
        <w:jc w:val="both"/>
        <w:rPr/>
      </w:pPr>
      <w:r>
        <w:rPr/>
      </w:r>
    </w:p>
    <w:p>
      <w:pPr>
        <w:pStyle w:val="Normal"/>
        <w:spacing w:before="20" w:after="40"/>
        <w:contextualSpacing/>
        <w:jc w:val="both"/>
        <w:rPr/>
      </w:pPr>
      <w:r>
        <w:rPr/>
        <w:t>Cведения об уровне образования, квалификации, специальности:</w:t>
      </w:r>
    </w:p>
    <w:p>
      <w:pPr>
        <w:pStyle w:val="Normal"/>
        <w:spacing w:before="20" w:after="40"/>
        <w:contextualSpacing/>
        <w:jc w:val="both"/>
        <w:rPr/>
      </w:pPr>
      <w:r>
        <w:rPr>
          <w:b/>
          <w:i/>
        </w:rPr>
        <w:t>высшее профессиональное, специалист, экономика</w:t>
      </w:r>
    </w:p>
    <w:p>
      <w:pPr>
        <w:pStyle w:val="Normal"/>
        <w:spacing w:before="20" w:after="40"/>
        <w:contextualSpacing/>
        <w:jc w:val="both"/>
        <w:rPr/>
      </w:pPr>
      <w:r>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w:t>
      </w:r>
    </w:p>
    <w:p>
      <w:pPr>
        <w:pStyle w:val="ThinDelim"/>
        <w:spacing w:before="20" w:after="40"/>
        <w:contextualSpacing/>
        <w:jc w:val="both"/>
        <w:rPr>
          <w:b/>
          <w:bCs/>
          <w:i/>
          <w:i/>
          <w:iCs/>
          <w:sz w:val="18"/>
          <w:szCs w:val="18"/>
        </w:rPr>
      </w:pPr>
      <w:r>
        <w:rPr>
          <w:b/>
          <w:bCs/>
          <w:i/>
          <w:iCs/>
          <w:sz w:val="18"/>
          <w:szCs w:val="18"/>
        </w:rPr>
      </w:r>
    </w:p>
    <w:tbl>
      <w:tblPr>
        <w:tblW w:w="9196" w:type="dxa"/>
        <w:jc w:val="left"/>
        <w:tblInd w:w="60" w:type="dxa"/>
        <w:tblLayout w:type="fixed"/>
        <w:tblCellMar>
          <w:top w:w="0" w:type="dxa"/>
          <w:left w:w="72" w:type="dxa"/>
          <w:bottom w:w="0" w:type="dxa"/>
          <w:right w:w="72" w:type="dxa"/>
        </w:tblCellMar>
        <w:tblLook w:noVBand="1" w:val="04a0" w:noHBand="0" w:lastColumn="0" w:firstColumn="1" w:lastRow="0" w:firstRow="1"/>
      </w:tblPr>
      <w:tblGrid>
        <w:gridCol w:w="1315"/>
        <w:gridCol w:w="1475"/>
        <w:gridCol w:w="3015"/>
        <w:gridCol w:w="3390"/>
      </w:tblGrid>
      <w:tr>
        <w:trPr/>
        <w:tc>
          <w:tcPr>
            <w:tcW w:w="2790"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Период</w:t>
            </w:r>
          </w:p>
        </w:tc>
        <w:tc>
          <w:tcPr>
            <w:tcW w:w="3015"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sz w:val="16"/>
                <w:szCs w:val="16"/>
              </w:rPr>
            </w:pPr>
            <w:r>
              <w:rPr>
                <w:b/>
                <w:bCs/>
                <w:i/>
                <w:iCs/>
                <w:sz w:val="16"/>
                <w:szCs w:val="16"/>
              </w:rPr>
              <w:t>Наименование организации</w:t>
            </w:r>
          </w:p>
        </w:tc>
        <w:tc>
          <w:tcPr>
            <w:tcW w:w="339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sz w:val="16"/>
                <w:szCs w:val="16"/>
              </w:rPr>
            </w:pPr>
            <w:r>
              <w:rPr>
                <w:b/>
                <w:bCs/>
                <w:i/>
                <w:iCs/>
                <w:sz w:val="16"/>
                <w:szCs w:val="16"/>
              </w:rPr>
              <w:t>Должность</w:t>
            </w:r>
          </w:p>
        </w:tc>
      </w:tr>
      <w:tr>
        <w:trPr/>
        <w:tc>
          <w:tcPr>
            <w:tcW w:w="131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с</w:t>
            </w:r>
          </w:p>
        </w:tc>
        <w:tc>
          <w:tcPr>
            <w:tcW w:w="147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w:t>
            </w:r>
          </w:p>
        </w:tc>
        <w:tc>
          <w:tcPr>
            <w:tcW w:w="3015"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b/>
                <w:bCs/>
                <w:i/>
                <w:i/>
                <w:iCs/>
                <w:sz w:val="16"/>
                <w:szCs w:val="16"/>
              </w:rPr>
            </w:pPr>
            <w:r>
              <w:rPr>
                <w:b/>
                <w:bCs/>
                <w:i/>
                <w:iCs/>
                <w:sz w:val="16"/>
                <w:szCs w:val="16"/>
              </w:rPr>
            </w:r>
          </w:p>
        </w:tc>
        <w:tc>
          <w:tcPr>
            <w:tcW w:w="3390"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b/>
                <w:bCs/>
                <w:i/>
                <w:i/>
                <w:iCs/>
                <w:sz w:val="16"/>
                <w:szCs w:val="16"/>
              </w:rPr>
            </w:pPr>
            <w:r>
              <w:rPr>
                <w:b/>
                <w:bCs/>
                <w:i/>
                <w:iCs/>
                <w:sz w:val="16"/>
                <w:szCs w:val="16"/>
              </w:rPr>
            </w:r>
          </w:p>
        </w:tc>
      </w:tr>
      <w:tr>
        <w:trPr/>
        <w:tc>
          <w:tcPr>
            <w:tcW w:w="131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2014</w:t>
            </w:r>
          </w:p>
        </w:tc>
        <w:tc>
          <w:tcPr>
            <w:tcW w:w="147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по наст.время</w:t>
            </w:r>
          </w:p>
        </w:tc>
        <w:tc>
          <w:tcPr>
            <w:tcW w:w="301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ПАО «РусГидро»</w:t>
            </w:r>
          </w:p>
        </w:tc>
        <w:tc>
          <w:tcPr>
            <w:tcW w:w="339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Начальник отдела финансового надзора. Начальник управления внутреннего аудита.</w:t>
            </w:r>
          </w:p>
          <w:p>
            <w:pPr>
              <w:pStyle w:val="Normal"/>
              <w:widowControl w:val="false"/>
              <w:spacing w:before="20" w:after="40"/>
              <w:contextualSpacing/>
              <w:jc w:val="both"/>
              <w:rPr>
                <w:sz w:val="16"/>
                <w:szCs w:val="16"/>
              </w:rPr>
            </w:pPr>
            <w:r>
              <w:rPr>
                <w:b/>
                <w:bCs/>
                <w:i/>
                <w:iCs/>
                <w:sz w:val="16"/>
                <w:szCs w:val="16"/>
              </w:rPr>
              <w:t>Начальник контрольно-ревизионного управления.</w:t>
            </w:r>
          </w:p>
        </w:tc>
      </w:tr>
      <w:tr>
        <w:trPr/>
        <w:tc>
          <w:tcPr>
            <w:tcW w:w="131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2019</w:t>
            </w:r>
          </w:p>
        </w:tc>
        <w:tc>
          <w:tcPr>
            <w:tcW w:w="147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по н.в.</w:t>
            </w:r>
          </w:p>
        </w:tc>
        <w:tc>
          <w:tcPr>
            <w:tcW w:w="301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ПАО «Камчатскэнерго»</w:t>
            </w:r>
          </w:p>
        </w:tc>
        <w:tc>
          <w:tcPr>
            <w:tcW w:w="339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член Ревизионной комиссии</w:t>
            </w:r>
          </w:p>
        </w:tc>
      </w:tr>
    </w:tbl>
    <w:p>
      <w:pPr>
        <w:pStyle w:val="ThinDelim"/>
        <w:spacing w:before="20" w:after="40"/>
        <w:contextualSpacing/>
        <w:jc w:val="both"/>
        <w:rPr>
          <w:b/>
          <w:bCs/>
          <w:i/>
          <w:i/>
          <w:iCs/>
          <w:sz w:val="18"/>
          <w:szCs w:val="18"/>
        </w:rPr>
      </w:pPr>
      <w:r>
        <w:rPr>
          <w:b/>
          <w:bCs/>
          <w:i/>
          <w:iCs/>
          <w:sz w:val="18"/>
          <w:szCs w:val="18"/>
        </w:rPr>
      </w:r>
    </w:p>
    <w:p>
      <w:pPr>
        <w:pStyle w:val="Normal"/>
        <w:jc w:val="both"/>
        <w:rPr/>
      </w:pPr>
      <w:r>
        <w:rPr>
          <w:sz w:val="20"/>
        </w:rPr>
        <w:t xml:space="preserve">Доля участия лица в уставном капитале Эмитента, %: </w:t>
      </w:r>
      <w:r>
        <w:rPr>
          <w:b/>
          <w:i/>
          <w:sz w:val="20"/>
        </w:rPr>
        <w:t xml:space="preserve">не имеет. </w:t>
      </w:r>
    </w:p>
    <w:p>
      <w:pPr>
        <w:pStyle w:val="Normal"/>
        <w:jc w:val="both"/>
        <w:rPr/>
      </w:pPr>
      <w:r>
        <w:rPr>
          <w:sz w:val="20"/>
        </w:rPr>
        <w:t xml:space="preserve">Доля принадлежащих лицу обыкновенных акций Эмитента, %: </w:t>
      </w:r>
      <w:r>
        <w:rPr>
          <w:b/>
          <w:i/>
          <w:sz w:val="20"/>
        </w:rPr>
        <w:t xml:space="preserve">не имеет. </w:t>
      </w:r>
    </w:p>
    <w:p>
      <w:pPr>
        <w:pStyle w:val="Normal"/>
        <w:jc w:val="both"/>
        <w:rPr/>
      </w:pPr>
      <w:r>
        <w:rPr>
          <w:sz w:val="20"/>
        </w:rPr>
        <w:t xml:space="preserve">Количество акций Эмитента каждой категории (типа), которые могут быть приобретены лицом в результате конвертации принадлежащих ему ценных бумаг, конвертируемых в акции: </w:t>
      </w:r>
      <w:r>
        <w:rPr>
          <w:b/>
          <w:i/>
          <w:sz w:val="20"/>
        </w:rPr>
        <w:t xml:space="preserve">ценные бумаги, конвертируемые в акции, отсутствуют. </w:t>
      </w:r>
    </w:p>
    <w:p>
      <w:pPr>
        <w:pStyle w:val="Normal"/>
        <w:jc w:val="both"/>
        <w:rPr/>
      </w:pPr>
      <w:r>
        <w:rPr>
          <w:sz w:val="20"/>
        </w:rPr>
        <w:t xml:space="preserve">Доля участия лица в уставном капитале подконтрольных Эмитенту организаций, имеющих для него существенное значение: </w:t>
      </w:r>
      <w:r>
        <w:rPr>
          <w:b/>
          <w:i/>
          <w:sz w:val="20"/>
        </w:rPr>
        <w:t xml:space="preserve">не имеет. </w:t>
      </w:r>
    </w:p>
    <w:p>
      <w:pPr>
        <w:pStyle w:val="Normal"/>
        <w:jc w:val="both"/>
        <w:rPr/>
      </w:pPr>
      <w:r>
        <w:rPr>
          <w:sz w:val="20"/>
        </w:rPr>
        <w:t xml:space="preserve">Доля принадлежащих лицу обыкновенных акций подконтрольных Эмитенту акционерных обществ, имеющих для Эмитента существенное значение: </w:t>
      </w:r>
      <w:r>
        <w:rPr>
          <w:b/>
          <w:i/>
          <w:sz w:val="20"/>
        </w:rPr>
        <w:t xml:space="preserve">не имеет. </w:t>
      </w:r>
    </w:p>
    <w:p>
      <w:pPr>
        <w:pStyle w:val="Normal"/>
        <w:jc w:val="both"/>
        <w:rPr/>
      </w:pPr>
      <w:r>
        <w:rPr>
          <w:sz w:val="20"/>
        </w:rPr>
        <w:t xml:space="preserve">Количество акций каждой категории (типа), подконтрольных Эмитенту акционерных обществ, имеющих для Эмитента существенное значение, которые могут быть приобретены лицом в результате конвертации принадлежащих ему ценных бумаг, конвертируемых в акции: </w:t>
      </w:r>
      <w:r>
        <w:rPr>
          <w:b/>
          <w:i/>
          <w:sz w:val="20"/>
        </w:rPr>
        <w:t xml:space="preserve">не имеет. </w:t>
      </w:r>
    </w:p>
    <w:p>
      <w:pPr>
        <w:pStyle w:val="Normal"/>
        <w:jc w:val="both"/>
        <w:rPr/>
      </w:pPr>
      <w:r>
        <w:rPr>
          <w:sz w:val="20"/>
        </w:rPr>
        <w:t xml:space="preserve">Сведения о характере родственных связей (супруги, родители, дети, усыновители, усыновленные, родные братья и сестры, дедушки, бабушки, внуки) между лицом и членами совета директоров (наблюдательного совета), членами коллегиального исполнительного органа, лицом, занимающим должность (осуществляющим функции) единоличного исполнительного органа Эмитента: </w:t>
      </w:r>
      <w:r>
        <w:rPr>
          <w:b/>
          <w:i/>
          <w:sz w:val="20"/>
        </w:rPr>
        <w:t xml:space="preserve">указанных родственных связей нет. </w:t>
      </w:r>
    </w:p>
    <w:p>
      <w:pPr>
        <w:pStyle w:val="Normal"/>
        <w:jc w:val="both"/>
        <w:rPr/>
      </w:pPr>
      <w:r>
        <w:rPr>
          <w:sz w:val="20"/>
        </w:rPr>
        <w:t xml:space="preserve">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уголовной ответственности (о наличии судимости) за преступления в сфере экономики и (или) за преступления против государственной власти: </w:t>
      </w:r>
      <w:r>
        <w:rPr>
          <w:b/>
          <w:i/>
          <w:sz w:val="20"/>
        </w:rPr>
        <w:t xml:space="preserve">лицо к указанным видам ответственности не привлекалось. </w:t>
      </w:r>
    </w:p>
    <w:p>
      <w:pPr>
        <w:pStyle w:val="Normal"/>
        <w:jc w:val="both"/>
        <w:rPr/>
      </w:pPr>
      <w:r>
        <w:rPr>
          <w:sz w:val="20"/>
        </w:rPr>
        <w:t xml:space="preserve">Сведения о занятии лицом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статьей 27 Федерального закона «О несостоятельности (банкротстве)»: </w:t>
      </w:r>
      <w:r>
        <w:rPr>
          <w:b/>
          <w:i/>
          <w:sz w:val="20"/>
        </w:rPr>
        <w:t>лицо указанных должностей не занимало</w:t>
      </w:r>
      <w:r>
        <w:rPr>
          <w:sz w:val="20"/>
        </w:rPr>
        <w:t>.</w:t>
      </w:r>
    </w:p>
    <w:p>
      <w:pPr>
        <w:pStyle w:val="Normal"/>
        <w:spacing w:before="20" w:after="40"/>
        <w:contextualSpacing/>
        <w:jc w:val="both"/>
        <w:rPr/>
      </w:pPr>
      <w:r>
        <w:rPr/>
      </w:r>
    </w:p>
    <w:p>
      <w:pPr>
        <w:pStyle w:val="Normal"/>
        <w:spacing w:before="20" w:after="40"/>
        <w:contextualSpacing/>
        <w:jc w:val="both"/>
        <w:rPr/>
      </w:pPr>
      <w:r>
        <w:rPr/>
      </w:r>
    </w:p>
    <w:p>
      <w:pPr>
        <w:pStyle w:val="Normal"/>
        <w:spacing w:before="20" w:after="40"/>
        <w:contextualSpacing/>
        <w:jc w:val="both"/>
        <w:rPr/>
      </w:pPr>
      <w:r>
        <w:rPr/>
        <w:t>Фамилия, имя, отчество (последнее при наличии):</w:t>
      </w:r>
      <w:r>
        <w:rPr>
          <w:b/>
          <w:i/>
        </w:rPr>
        <w:t xml:space="preserve"> Коломиец Владимир Александрович</w:t>
      </w:r>
    </w:p>
    <w:p>
      <w:pPr>
        <w:pStyle w:val="Normal"/>
        <w:spacing w:before="20" w:after="40"/>
        <w:contextualSpacing/>
        <w:jc w:val="both"/>
        <w:rPr/>
      </w:pPr>
      <w:r>
        <w:rPr/>
        <w:t>Председатель:</w:t>
      </w:r>
      <w:r>
        <w:rPr>
          <w:b/>
          <w:i/>
        </w:rPr>
        <w:t xml:space="preserve"> Нет</w:t>
      </w:r>
    </w:p>
    <w:p>
      <w:pPr>
        <w:pStyle w:val="Normal"/>
        <w:spacing w:before="20" w:after="40"/>
        <w:contextualSpacing/>
        <w:jc w:val="both"/>
        <w:rPr/>
      </w:pPr>
      <w:r>
        <w:rPr/>
        <w:t>Год рождения:</w:t>
      </w:r>
      <w:r>
        <w:rPr>
          <w:b/>
          <w:i/>
        </w:rPr>
        <w:t xml:space="preserve"> 1972</w:t>
      </w:r>
    </w:p>
    <w:p>
      <w:pPr>
        <w:pStyle w:val="ThinDelim"/>
        <w:spacing w:before="20" w:after="40"/>
        <w:contextualSpacing/>
        <w:jc w:val="both"/>
        <w:rPr/>
      </w:pPr>
      <w:r>
        <w:rPr/>
      </w:r>
    </w:p>
    <w:p>
      <w:pPr>
        <w:pStyle w:val="Normal"/>
        <w:spacing w:before="20" w:after="40"/>
        <w:contextualSpacing/>
        <w:jc w:val="both"/>
        <w:rPr/>
      </w:pPr>
      <w:r>
        <w:rPr/>
        <w:t>Cведения об уровне образования, квалификации, специальности:</w:t>
      </w:r>
    </w:p>
    <w:p>
      <w:pPr>
        <w:pStyle w:val="Normal"/>
        <w:spacing w:before="20" w:after="40"/>
        <w:contextualSpacing/>
        <w:jc w:val="both"/>
        <w:rPr/>
      </w:pPr>
      <w:r>
        <w:rPr>
          <w:b/>
          <w:i/>
        </w:rPr>
        <w:t>высшее профессиональное, специалист, экономика и право; дополнительное высшее, специалист, экономика и управление в машиностроении.</w:t>
      </w:r>
    </w:p>
    <w:p>
      <w:pPr>
        <w:pStyle w:val="Normal"/>
        <w:spacing w:before="20" w:after="40"/>
        <w:contextualSpacing/>
        <w:jc w:val="both"/>
        <w:rPr>
          <w:b/>
          <w:i/>
          <w:i/>
        </w:rPr>
      </w:pPr>
      <w:r>
        <w:rPr>
          <w:b/>
          <w:i/>
        </w:rPr>
      </w:r>
    </w:p>
    <w:p>
      <w:pPr>
        <w:pStyle w:val="Normal"/>
        <w:spacing w:before="20" w:after="40"/>
        <w:contextualSpacing/>
        <w:jc w:val="both"/>
        <w:rPr/>
      </w:pPr>
      <w:r>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w:t>
      </w:r>
    </w:p>
    <w:p>
      <w:pPr>
        <w:pStyle w:val="ThinDelim"/>
        <w:spacing w:before="20" w:after="40"/>
        <w:contextualSpacing/>
        <w:jc w:val="both"/>
        <w:rPr>
          <w:b/>
          <w:bCs/>
          <w:i/>
          <w:i/>
          <w:iCs/>
          <w:sz w:val="18"/>
          <w:szCs w:val="18"/>
        </w:rPr>
      </w:pPr>
      <w:r>
        <w:rPr>
          <w:b/>
          <w:bCs/>
          <w:i/>
          <w:iCs/>
          <w:sz w:val="18"/>
          <w:szCs w:val="18"/>
        </w:rPr>
      </w:r>
    </w:p>
    <w:tbl>
      <w:tblPr>
        <w:tblW w:w="9058" w:type="dxa"/>
        <w:jc w:val="left"/>
        <w:tblInd w:w="141" w:type="dxa"/>
        <w:tblLayout w:type="fixed"/>
        <w:tblCellMar>
          <w:top w:w="0" w:type="dxa"/>
          <w:left w:w="72" w:type="dxa"/>
          <w:bottom w:w="0" w:type="dxa"/>
          <w:right w:w="72" w:type="dxa"/>
        </w:tblCellMar>
        <w:tblLook w:noVBand="1" w:val="04a0" w:noHBand="0" w:lastColumn="0" w:firstColumn="1" w:lastRow="0" w:firstRow="1"/>
      </w:tblPr>
      <w:tblGrid>
        <w:gridCol w:w="1457"/>
        <w:gridCol w:w="985"/>
        <w:gridCol w:w="2776"/>
        <w:gridCol w:w="3839"/>
      </w:tblGrid>
      <w:tr>
        <w:trPr/>
        <w:tc>
          <w:tcPr>
            <w:tcW w:w="2442"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Период</w:t>
            </w:r>
          </w:p>
        </w:tc>
        <w:tc>
          <w:tcPr>
            <w:tcW w:w="277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sz w:val="16"/>
                <w:szCs w:val="16"/>
              </w:rPr>
            </w:pPr>
            <w:r>
              <w:rPr>
                <w:b/>
                <w:bCs/>
                <w:i/>
                <w:iCs/>
                <w:sz w:val="16"/>
                <w:szCs w:val="16"/>
              </w:rPr>
              <w:t>Наименование организации</w:t>
            </w:r>
          </w:p>
        </w:tc>
        <w:tc>
          <w:tcPr>
            <w:tcW w:w="383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sz w:val="16"/>
                <w:szCs w:val="16"/>
              </w:rPr>
            </w:pPr>
            <w:r>
              <w:rPr>
                <w:b/>
                <w:bCs/>
                <w:i/>
                <w:iCs/>
                <w:sz w:val="16"/>
                <w:szCs w:val="16"/>
              </w:rPr>
              <w:t>Должность</w:t>
            </w:r>
          </w:p>
        </w:tc>
      </w:tr>
      <w:tr>
        <w:trPr/>
        <w:tc>
          <w:tcPr>
            <w:tcW w:w="145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с</w:t>
            </w:r>
          </w:p>
        </w:tc>
        <w:tc>
          <w:tcPr>
            <w:tcW w:w="98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w:t>
            </w:r>
          </w:p>
        </w:tc>
        <w:tc>
          <w:tcPr>
            <w:tcW w:w="2776"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b/>
                <w:bCs/>
                <w:i/>
                <w:i/>
                <w:iCs/>
                <w:sz w:val="16"/>
                <w:szCs w:val="16"/>
              </w:rPr>
            </w:pPr>
            <w:r>
              <w:rPr>
                <w:b/>
                <w:bCs/>
                <w:i/>
                <w:iCs/>
                <w:sz w:val="16"/>
                <w:szCs w:val="16"/>
              </w:rPr>
            </w:r>
          </w:p>
        </w:tc>
        <w:tc>
          <w:tcPr>
            <w:tcW w:w="3839"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b/>
                <w:bCs/>
                <w:i/>
                <w:i/>
                <w:iCs/>
                <w:sz w:val="16"/>
                <w:szCs w:val="16"/>
              </w:rPr>
            </w:pPr>
            <w:r>
              <w:rPr>
                <w:b/>
                <w:bCs/>
                <w:i/>
                <w:iCs/>
                <w:sz w:val="16"/>
                <w:szCs w:val="16"/>
              </w:rPr>
            </w:r>
          </w:p>
        </w:tc>
      </w:tr>
      <w:tr>
        <w:trPr/>
        <w:tc>
          <w:tcPr>
            <w:tcW w:w="145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2021</w:t>
            </w:r>
          </w:p>
        </w:tc>
        <w:tc>
          <w:tcPr>
            <w:tcW w:w="98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2023</w:t>
            </w:r>
          </w:p>
        </w:tc>
        <w:tc>
          <w:tcPr>
            <w:tcW w:w="277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ПАО «РусГидро»</w:t>
            </w:r>
          </w:p>
        </w:tc>
        <w:tc>
          <w:tcPr>
            <w:tcW w:w="383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Ведущий специалист КРУ «Дальний Восток» Департамента контроля и управления рисками</w:t>
            </w:r>
          </w:p>
        </w:tc>
      </w:tr>
      <w:tr>
        <w:trPr/>
        <w:tc>
          <w:tcPr>
            <w:tcW w:w="145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2023</w:t>
            </w:r>
          </w:p>
        </w:tc>
        <w:tc>
          <w:tcPr>
            <w:tcW w:w="98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по н.в.</w:t>
            </w:r>
          </w:p>
        </w:tc>
        <w:tc>
          <w:tcPr>
            <w:tcW w:w="277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ПАО «РусГидро»</w:t>
            </w:r>
          </w:p>
        </w:tc>
        <w:tc>
          <w:tcPr>
            <w:tcW w:w="383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Главный эксперт КРУ «Дальний Восток» Департамента контроля и управления рисками</w:t>
            </w:r>
          </w:p>
        </w:tc>
      </w:tr>
      <w:tr>
        <w:trPr/>
        <w:tc>
          <w:tcPr>
            <w:tcW w:w="145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2024</w:t>
            </w:r>
          </w:p>
        </w:tc>
        <w:tc>
          <w:tcPr>
            <w:tcW w:w="98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по н.в</w:t>
            </w:r>
          </w:p>
        </w:tc>
        <w:tc>
          <w:tcPr>
            <w:tcW w:w="277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ПАО «Камчатскэнерго»</w:t>
            </w:r>
          </w:p>
        </w:tc>
        <w:tc>
          <w:tcPr>
            <w:tcW w:w="383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член Ревизионной комиссии</w:t>
            </w:r>
          </w:p>
        </w:tc>
      </w:tr>
    </w:tbl>
    <w:p>
      <w:pPr>
        <w:pStyle w:val="Normal"/>
        <w:spacing w:before="20" w:after="40"/>
        <w:contextualSpacing/>
        <w:jc w:val="both"/>
        <w:rPr>
          <w:b/>
          <w:bCs/>
          <w:i/>
          <w:i/>
          <w:iCs/>
          <w:sz w:val="18"/>
          <w:szCs w:val="18"/>
        </w:rPr>
      </w:pPr>
      <w:r>
        <w:rPr>
          <w:b/>
          <w:bCs/>
          <w:i/>
          <w:iCs/>
          <w:sz w:val="18"/>
          <w:szCs w:val="18"/>
        </w:rPr>
      </w:r>
    </w:p>
    <w:p>
      <w:pPr>
        <w:pStyle w:val="Normal"/>
        <w:jc w:val="both"/>
        <w:rPr/>
      </w:pPr>
      <w:r>
        <w:rPr>
          <w:sz w:val="20"/>
        </w:rPr>
        <w:t xml:space="preserve">Доля участия лица в уставном капитале Эмитента, %: </w:t>
      </w:r>
      <w:r>
        <w:rPr>
          <w:b/>
          <w:i/>
          <w:sz w:val="20"/>
        </w:rPr>
        <w:t xml:space="preserve">не имеет. </w:t>
      </w:r>
    </w:p>
    <w:p>
      <w:pPr>
        <w:pStyle w:val="Normal"/>
        <w:jc w:val="both"/>
        <w:rPr/>
      </w:pPr>
      <w:r>
        <w:rPr>
          <w:sz w:val="20"/>
        </w:rPr>
        <w:t xml:space="preserve">Доля принадлежащих лицу обыкновенных акций Эмитента, %: </w:t>
      </w:r>
      <w:r>
        <w:rPr>
          <w:b/>
          <w:i/>
          <w:sz w:val="20"/>
        </w:rPr>
        <w:t xml:space="preserve">не имеет. </w:t>
      </w:r>
    </w:p>
    <w:p>
      <w:pPr>
        <w:pStyle w:val="Normal"/>
        <w:jc w:val="both"/>
        <w:rPr/>
      </w:pPr>
      <w:r>
        <w:rPr>
          <w:sz w:val="20"/>
        </w:rPr>
        <w:t xml:space="preserve">Количество акций Эмитента каждой категории (типа), которые могут быть приобретены лицом в результате конвертации принадлежащих ему ценных бумаг, конвертируемых в акции: </w:t>
      </w:r>
      <w:r>
        <w:rPr>
          <w:b/>
          <w:i/>
          <w:sz w:val="20"/>
        </w:rPr>
        <w:t xml:space="preserve">ценные бумаги, конвертируемые в акции, отсутствуют. </w:t>
      </w:r>
    </w:p>
    <w:p>
      <w:pPr>
        <w:pStyle w:val="Normal"/>
        <w:jc w:val="both"/>
        <w:rPr/>
      </w:pPr>
      <w:r>
        <w:rPr>
          <w:sz w:val="20"/>
        </w:rPr>
        <w:t xml:space="preserve">Доля участия лица в уставном капитале подконтрольных Эмитенту организаций, имеющих для него существенное значение: </w:t>
      </w:r>
      <w:r>
        <w:rPr>
          <w:b/>
          <w:i/>
          <w:sz w:val="20"/>
        </w:rPr>
        <w:t xml:space="preserve">не имеет. </w:t>
      </w:r>
    </w:p>
    <w:p>
      <w:pPr>
        <w:pStyle w:val="Normal"/>
        <w:jc w:val="both"/>
        <w:rPr/>
      </w:pPr>
      <w:r>
        <w:rPr>
          <w:sz w:val="20"/>
        </w:rPr>
        <w:t xml:space="preserve">Доля принадлежащих лицу обыкновенных акций подконтрольных Эмитенту акционерных обществ, имеющих для Эмитента существенное значение: </w:t>
      </w:r>
      <w:r>
        <w:rPr>
          <w:b/>
          <w:i/>
          <w:sz w:val="20"/>
        </w:rPr>
        <w:t xml:space="preserve">не имеет. </w:t>
      </w:r>
    </w:p>
    <w:p>
      <w:pPr>
        <w:pStyle w:val="Normal"/>
        <w:jc w:val="both"/>
        <w:rPr/>
      </w:pPr>
      <w:r>
        <w:rPr>
          <w:sz w:val="20"/>
        </w:rPr>
        <w:t xml:space="preserve">Количество акций каждой категории (типа), подконтрольных Эмитенту акционерных обществ, имеющих для Эмитента существенное значение, которые могут быть приобретены лицом в результате конвертации принадлежащих ему ценных бумаг, конвертируемых в акции: </w:t>
      </w:r>
      <w:r>
        <w:rPr>
          <w:b/>
          <w:i/>
          <w:sz w:val="20"/>
        </w:rPr>
        <w:t xml:space="preserve">не имеет. </w:t>
      </w:r>
    </w:p>
    <w:p>
      <w:pPr>
        <w:pStyle w:val="Normal"/>
        <w:jc w:val="both"/>
        <w:rPr/>
      </w:pPr>
      <w:r>
        <w:rPr>
          <w:sz w:val="20"/>
        </w:rPr>
        <w:t xml:space="preserve">Сведения о характере родственных связей (супруги, родители, дети, усыновители, усыновленные, родные братья и сестры, дедушки, бабушки, внуки) между лицом и членами совета директоров (наблюдательного совета), членами коллегиального исполнительного органа, лицом, занимающим должность (осуществляющим функции) единоличного исполнительного органа Эмитента: </w:t>
      </w:r>
      <w:r>
        <w:rPr>
          <w:b/>
          <w:i/>
          <w:sz w:val="20"/>
        </w:rPr>
        <w:t xml:space="preserve">указанных родственных связей нет. </w:t>
      </w:r>
    </w:p>
    <w:p>
      <w:pPr>
        <w:pStyle w:val="Normal"/>
        <w:jc w:val="both"/>
        <w:rPr/>
      </w:pPr>
      <w:r>
        <w:rPr>
          <w:sz w:val="20"/>
        </w:rPr>
        <w:t xml:space="preserve">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уголовной ответственности (о наличии судимости) за преступления в сфере экономики и (или) за преступления против государственной власти: </w:t>
      </w:r>
      <w:r>
        <w:rPr>
          <w:b/>
          <w:i/>
          <w:sz w:val="20"/>
        </w:rPr>
        <w:t xml:space="preserve">лицо к указанным видам ответственности не привлекалось. </w:t>
      </w:r>
    </w:p>
    <w:p>
      <w:pPr>
        <w:pStyle w:val="Normal"/>
        <w:jc w:val="both"/>
        <w:rPr/>
      </w:pPr>
      <w:r>
        <w:rPr>
          <w:sz w:val="20"/>
        </w:rPr>
        <w:t xml:space="preserve">Сведения о занятии лицом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статьей 27 Федерального закона «О несостоятельности (банкротстве)»: </w:t>
      </w:r>
      <w:r>
        <w:rPr>
          <w:b/>
          <w:i/>
          <w:sz w:val="20"/>
        </w:rPr>
        <w:t>лицо указанных должностей не занимало</w:t>
      </w:r>
      <w:r>
        <w:rPr>
          <w:sz w:val="20"/>
        </w:rPr>
        <w:t>.</w:t>
      </w:r>
    </w:p>
    <w:p>
      <w:pPr>
        <w:pStyle w:val="Normal"/>
        <w:jc w:val="both"/>
        <w:rPr>
          <w:sz w:val="20"/>
          <w:highlight w:val="none"/>
          <w:shd w:fill="auto" w:val="clear"/>
        </w:rPr>
      </w:pPr>
      <w:r>
        <w:rPr>
          <w:sz w:val="20"/>
          <w:shd w:fill="auto" w:val="clear"/>
        </w:rPr>
      </w:r>
    </w:p>
    <w:p>
      <w:pPr>
        <w:pStyle w:val="Normal"/>
        <w:spacing w:before="20" w:after="40"/>
        <w:contextualSpacing/>
        <w:jc w:val="both"/>
        <w:rPr>
          <w:b/>
          <w:i/>
          <w:i/>
          <w:highlight w:val="none"/>
          <w:shd w:fill="auto" w:val="clear"/>
        </w:rPr>
      </w:pPr>
      <w:r>
        <w:rPr>
          <w:b/>
          <w:i/>
          <w:shd w:fill="auto" w:val="clear"/>
        </w:rPr>
      </w:r>
    </w:p>
    <w:p>
      <w:pPr>
        <w:pStyle w:val="Normal"/>
        <w:spacing w:before="20" w:after="40"/>
        <w:contextualSpacing/>
        <w:jc w:val="both"/>
        <w:rPr>
          <w:highlight w:val="none"/>
          <w:shd w:fill="auto" w:val="clear"/>
        </w:rPr>
      </w:pPr>
      <w:r>
        <w:rPr>
          <w:b/>
          <w:i/>
          <w:sz w:val="20"/>
          <w:shd w:fill="auto" w:val="clear"/>
        </w:rPr>
        <w:t>Состав Ревизионной комиссии ПАО «Камчатскэнерго»  избран Годовым заседанием Общего собрания акционеров Общества 29.05.2025г. (протокол № 1 от 30.05.2025).</w:t>
      </w:r>
    </w:p>
    <w:p>
      <w:pPr>
        <w:pStyle w:val="SubHeading"/>
        <w:spacing w:before="240" w:after="40"/>
        <w:contextualSpacing/>
        <w:jc w:val="both"/>
        <w:rPr>
          <w:highlight w:val="none"/>
          <w:shd w:fill="auto" w:val="clear"/>
        </w:rPr>
      </w:pPr>
      <w:r>
        <w:rPr>
          <w:shd w:fill="auto" w:val="clear"/>
        </w:rPr>
      </w:r>
    </w:p>
    <w:p>
      <w:pPr>
        <w:pStyle w:val="Normal"/>
        <w:jc w:val="both"/>
        <w:rPr/>
      </w:pPr>
      <w:r>
        <w:rPr/>
        <w:t>Сведения о руководителях отдельных структурных подразделений по управлению рисками и (или) внутреннему контролю, структурных подразделений (должностных лицах), ответственного за организацию и осуществление внутреннего аудита</w:t>
      </w:r>
    </w:p>
    <w:p>
      <w:pPr>
        <w:pStyle w:val="Normal"/>
        <w:jc w:val="both"/>
        <w:rPr/>
      </w:pPr>
      <w:r>
        <w:rPr/>
      </w:r>
    </w:p>
    <w:p>
      <w:pPr>
        <w:pStyle w:val="Normal"/>
        <w:jc w:val="both"/>
        <w:rPr/>
      </w:pPr>
      <w:r>
        <w:rPr/>
        <w:t>1.</w:t>
      </w:r>
    </w:p>
    <w:p>
      <w:pPr>
        <w:pStyle w:val="Normal"/>
        <w:jc w:val="both"/>
        <w:rPr/>
      </w:pPr>
      <w:r>
        <w:rPr/>
        <w:t>Наименование органа контроля за финансово-хозяйственной деятельностью эмитента:</w:t>
      </w:r>
      <w:r>
        <w:rPr>
          <w:b/>
          <w:i/>
        </w:rPr>
        <w:t xml:space="preserve"> Внутренний аудитор</w:t>
      </w:r>
    </w:p>
    <w:p>
      <w:pPr>
        <w:pStyle w:val="SubHeading"/>
        <w:spacing w:before="240" w:after="40"/>
        <w:contextualSpacing/>
        <w:jc w:val="both"/>
        <w:rPr/>
      </w:pPr>
      <w:r>
        <w:rPr/>
        <w:t>Информация о руководителе такого отдельного структурного подразделения (органа) эмитента</w:t>
      </w:r>
    </w:p>
    <w:p>
      <w:pPr>
        <w:pStyle w:val="Normal"/>
        <w:spacing w:before="20" w:after="40"/>
        <w:contextualSpacing/>
        <w:jc w:val="both"/>
        <w:rPr/>
      </w:pPr>
      <w:r>
        <w:rPr/>
        <w:t>Наименование должности руководителя структурного подразделения:</w:t>
      </w:r>
      <w:r>
        <w:rPr>
          <w:b/>
          <w:i/>
        </w:rPr>
        <w:t xml:space="preserve"> Внутренний аудитор</w:t>
      </w:r>
    </w:p>
    <w:p>
      <w:pPr>
        <w:pStyle w:val="Normal"/>
        <w:spacing w:before="20" w:after="40"/>
        <w:contextualSpacing/>
        <w:jc w:val="both"/>
        <w:rPr/>
      </w:pPr>
      <w:r>
        <w:rPr/>
      </w:r>
    </w:p>
    <w:p>
      <w:pPr>
        <w:pStyle w:val="Normal"/>
        <w:spacing w:before="20" w:after="40"/>
        <w:contextualSpacing/>
        <w:jc w:val="both"/>
        <w:rPr/>
      </w:pPr>
      <w:r>
        <w:rPr/>
        <w:t>Фамилия, имя, отчество (последнее при наличии):</w:t>
      </w:r>
      <w:r>
        <w:rPr>
          <w:b/>
          <w:i/>
        </w:rPr>
        <w:t xml:space="preserve"> Рохлина Ольга Владимировна</w:t>
      </w:r>
    </w:p>
    <w:p>
      <w:pPr>
        <w:pStyle w:val="Normal"/>
        <w:spacing w:before="20" w:after="40"/>
        <w:contextualSpacing/>
        <w:jc w:val="both"/>
        <w:rPr/>
      </w:pPr>
      <w:r>
        <w:rPr/>
        <w:t>Год рождения:</w:t>
      </w:r>
      <w:r>
        <w:rPr>
          <w:b/>
          <w:i/>
        </w:rPr>
        <w:t xml:space="preserve"> 1974</w:t>
      </w:r>
    </w:p>
    <w:p>
      <w:pPr>
        <w:pStyle w:val="ThinDelim"/>
        <w:spacing w:before="20" w:after="40"/>
        <w:contextualSpacing/>
        <w:jc w:val="both"/>
        <w:rPr/>
      </w:pPr>
      <w:r>
        <w:rPr/>
      </w:r>
    </w:p>
    <w:p>
      <w:pPr>
        <w:pStyle w:val="Normal"/>
        <w:spacing w:before="20" w:after="40"/>
        <w:contextualSpacing/>
        <w:jc w:val="both"/>
        <w:rPr/>
      </w:pPr>
      <w:r>
        <w:rPr/>
        <w:t>Образование:</w:t>
        <w:br/>
      </w:r>
      <w:r>
        <w:rPr>
          <w:b/>
          <w:i/>
        </w:rPr>
        <w:t>высшее профессиональное, инженер; дополнительное высшее профессиональное, специалист, экономика</w:t>
      </w:r>
    </w:p>
    <w:p>
      <w:pPr>
        <w:pStyle w:val="Normal"/>
        <w:spacing w:before="20" w:after="40"/>
        <w:contextualSpacing/>
        <w:jc w:val="both"/>
        <w:rPr/>
      </w:pPr>
      <w:r>
        <w:rPr/>
        <w:t>Все должности, которые занимает данное лицо или занимал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pPr>
        <w:pStyle w:val="ThinDelim"/>
        <w:spacing w:before="20" w:after="40"/>
        <w:contextualSpacing/>
        <w:jc w:val="both"/>
        <w:rPr>
          <w:b/>
          <w:bCs/>
          <w:i/>
          <w:i/>
          <w:iCs/>
          <w:sz w:val="18"/>
          <w:szCs w:val="18"/>
        </w:rPr>
      </w:pPr>
      <w:r>
        <w:rPr>
          <w:b/>
          <w:bCs/>
          <w:i/>
          <w:iCs/>
          <w:sz w:val="18"/>
          <w:szCs w:val="18"/>
        </w:rPr>
      </w:r>
    </w:p>
    <w:tbl>
      <w:tblPr>
        <w:tblW w:w="9196" w:type="dxa"/>
        <w:jc w:val="left"/>
        <w:tblInd w:w="60" w:type="dxa"/>
        <w:tblLayout w:type="fixed"/>
        <w:tblCellMar>
          <w:top w:w="0" w:type="dxa"/>
          <w:left w:w="72" w:type="dxa"/>
          <w:bottom w:w="0" w:type="dxa"/>
          <w:right w:w="72" w:type="dxa"/>
        </w:tblCellMar>
        <w:tblLook w:noVBand="1" w:val="04a0" w:noHBand="0" w:lastColumn="0" w:firstColumn="1" w:lastRow="0" w:firstRow="1"/>
      </w:tblPr>
      <w:tblGrid>
        <w:gridCol w:w="1212"/>
        <w:gridCol w:w="1247"/>
        <w:gridCol w:w="2836"/>
        <w:gridCol w:w="3900"/>
      </w:tblGrid>
      <w:tr>
        <w:trPr/>
        <w:tc>
          <w:tcPr>
            <w:tcW w:w="2459"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Период</w:t>
            </w:r>
          </w:p>
        </w:tc>
        <w:tc>
          <w:tcPr>
            <w:tcW w:w="283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sz w:val="16"/>
                <w:szCs w:val="16"/>
              </w:rPr>
            </w:pPr>
            <w:r>
              <w:rPr>
                <w:b/>
                <w:bCs/>
                <w:i/>
                <w:iCs/>
                <w:sz w:val="16"/>
                <w:szCs w:val="16"/>
              </w:rPr>
              <w:t>Наименование организации</w:t>
            </w:r>
          </w:p>
        </w:tc>
        <w:tc>
          <w:tcPr>
            <w:tcW w:w="390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sz w:val="16"/>
                <w:szCs w:val="16"/>
              </w:rPr>
            </w:pPr>
            <w:r>
              <w:rPr>
                <w:b/>
                <w:bCs/>
                <w:i/>
                <w:iCs/>
                <w:sz w:val="16"/>
                <w:szCs w:val="16"/>
              </w:rPr>
              <w:t>Должность</w:t>
            </w:r>
          </w:p>
        </w:tc>
      </w:tr>
      <w:tr>
        <w:trPr/>
        <w:tc>
          <w:tcPr>
            <w:tcW w:w="1212"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с</w:t>
            </w:r>
          </w:p>
        </w:tc>
        <w:tc>
          <w:tcPr>
            <w:tcW w:w="124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w:t>
            </w:r>
          </w:p>
        </w:tc>
        <w:tc>
          <w:tcPr>
            <w:tcW w:w="2836"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b/>
                <w:bCs/>
                <w:i/>
                <w:i/>
                <w:iCs/>
                <w:sz w:val="16"/>
                <w:szCs w:val="16"/>
              </w:rPr>
            </w:pPr>
            <w:r>
              <w:rPr>
                <w:b/>
                <w:bCs/>
                <w:i/>
                <w:iCs/>
                <w:sz w:val="16"/>
                <w:szCs w:val="16"/>
              </w:rPr>
            </w:r>
          </w:p>
        </w:tc>
        <w:tc>
          <w:tcPr>
            <w:tcW w:w="3900"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b/>
                <w:bCs/>
                <w:i/>
                <w:i/>
                <w:iCs/>
                <w:sz w:val="16"/>
                <w:szCs w:val="16"/>
              </w:rPr>
            </w:pPr>
            <w:r>
              <w:rPr>
                <w:b/>
                <w:bCs/>
                <w:i/>
                <w:iCs/>
                <w:sz w:val="16"/>
                <w:szCs w:val="16"/>
              </w:rPr>
            </w:r>
          </w:p>
        </w:tc>
      </w:tr>
      <w:tr>
        <w:trPr/>
        <w:tc>
          <w:tcPr>
            <w:tcW w:w="1212"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2018</w:t>
            </w:r>
          </w:p>
        </w:tc>
        <w:tc>
          <w:tcPr>
            <w:tcW w:w="124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по н.в.</w:t>
            </w:r>
          </w:p>
        </w:tc>
        <w:tc>
          <w:tcPr>
            <w:tcW w:w="283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ПАО «РусГидро»</w:t>
            </w:r>
          </w:p>
        </w:tc>
        <w:tc>
          <w:tcPr>
            <w:tcW w:w="390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Заместитель руководителя Службы внутреннего аудита ПАО  «РусГидро»- начальник Управления аудита Центра внутреннего</w:t>
            </w:r>
          </w:p>
        </w:tc>
      </w:tr>
      <w:tr>
        <w:trPr/>
        <w:tc>
          <w:tcPr>
            <w:tcW w:w="1212"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2021</w:t>
            </w:r>
          </w:p>
        </w:tc>
        <w:tc>
          <w:tcPr>
            <w:tcW w:w="124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по н.в.</w:t>
            </w:r>
          </w:p>
        </w:tc>
        <w:tc>
          <w:tcPr>
            <w:tcW w:w="283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ПАО «Камчатскэнерго»</w:t>
            </w:r>
          </w:p>
        </w:tc>
        <w:tc>
          <w:tcPr>
            <w:tcW w:w="390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Внутренний аудитор</w:t>
            </w:r>
          </w:p>
        </w:tc>
      </w:tr>
    </w:tbl>
    <w:p>
      <w:pPr>
        <w:pStyle w:val="ThinDelim"/>
        <w:spacing w:before="20" w:after="40"/>
        <w:contextualSpacing/>
        <w:jc w:val="both"/>
        <w:rPr>
          <w:b/>
          <w:bCs/>
          <w:i/>
          <w:i/>
          <w:iCs/>
          <w:sz w:val="18"/>
          <w:szCs w:val="18"/>
        </w:rPr>
      </w:pPr>
      <w:r>
        <w:rPr>
          <w:b/>
          <w:bCs/>
          <w:i/>
          <w:iCs/>
          <w:sz w:val="18"/>
          <w:szCs w:val="18"/>
        </w:rPr>
      </w:r>
    </w:p>
    <w:p>
      <w:pPr>
        <w:pStyle w:val="Normal"/>
        <w:jc w:val="both"/>
        <w:rPr/>
      </w:pPr>
      <w:r>
        <w:rPr>
          <w:sz w:val="20"/>
        </w:rPr>
        <w:t xml:space="preserve">Доля участия лица в уставном капитале Эмитента, %: </w:t>
      </w:r>
      <w:r>
        <w:rPr>
          <w:b/>
          <w:i/>
          <w:sz w:val="20"/>
        </w:rPr>
        <w:t xml:space="preserve">не имеет. </w:t>
      </w:r>
    </w:p>
    <w:p>
      <w:pPr>
        <w:pStyle w:val="Normal"/>
        <w:jc w:val="both"/>
        <w:rPr/>
      </w:pPr>
      <w:r>
        <w:rPr>
          <w:sz w:val="20"/>
        </w:rPr>
        <w:t xml:space="preserve">Доля принадлежащих лицу обыкновенных акций Эмитента, %: </w:t>
      </w:r>
      <w:r>
        <w:rPr>
          <w:b/>
          <w:i/>
          <w:sz w:val="20"/>
        </w:rPr>
        <w:t xml:space="preserve">не имеет. </w:t>
      </w:r>
    </w:p>
    <w:p>
      <w:pPr>
        <w:pStyle w:val="Normal"/>
        <w:jc w:val="both"/>
        <w:rPr/>
      </w:pPr>
      <w:r>
        <w:rPr>
          <w:sz w:val="20"/>
        </w:rPr>
        <w:t xml:space="preserve">Количество акций Эмитента каждой категории (типа), которые могут быть приобретены лицом в результате конвертации принадлежащих ему ценных бумаг, конвертируемых в акции: </w:t>
      </w:r>
      <w:r>
        <w:rPr>
          <w:b/>
          <w:i/>
          <w:sz w:val="20"/>
        </w:rPr>
        <w:t xml:space="preserve">ценные бумаги, конвертируемые в акции, отсутствуют. </w:t>
      </w:r>
    </w:p>
    <w:p>
      <w:pPr>
        <w:pStyle w:val="Normal"/>
        <w:jc w:val="both"/>
        <w:rPr/>
      </w:pPr>
      <w:r>
        <w:rPr>
          <w:sz w:val="20"/>
        </w:rPr>
        <w:t xml:space="preserve">Доля участия лица в уставном капитале подконтрольных Эмитенту организаций, имеющих для него существенное значение: </w:t>
      </w:r>
      <w:r>
        <w:rPr>
          <w:b/>
          <w:i/>
          <w:sz w:val="20"/>
        </w:rPr>
        <w:t xml:space="preserve">не имеет. </w:t>
      </w:r>
    </w:p>
    <w:p>
      <w:pPr>
        <w:pStyle w:val="Normal"/>
        <w:jc w:val="both"/>
        <w:rPr/>
      </w:pPr>
      <w:r>
        <w:rPr>
          <w:sz w:val="20"/>
        </w:rPr>
        <w:t xml:space="preserve">Доля принадлежащих лицу обыкновенных акций подконтрольных Эмитенту акционерных обществ, имеющих для Эмитента существенное значение: </w:t>
      </w:r>
      <w:r>
        <w:rPr>
          <w:b/>
          <w:i/>
          <w:sz w:val="20"/>
        </w:rPr>
        <w:t xml:space="preserve">не имеет. </w:t>
      </w:r>
    </w:p>
    <w:p>
      <w:pPr>
        <w:pStyle w:val="Normal"/>
        <w:jc w:val="both"/>
        <w:rPr/>
      </w:pPr>
      <w:r>
        <w:rPr>
          <w:sz w:val="20"/>
        </w:rPr>
        <w:t xml:space="preserve">Количество акций каждой категории (типа), подконтрольных Эмитенту акционерных обществ, имеющих для Эмитента существенное значение, которые могут быть приобретены лицом в результате конвертации принадлежащих ему ценных бумаг, конвертируемых в акции: </w:t>
      </w:r>
      <w:r>
        <w:rPr>
          <w:b/>
          <w:i/>
          <w:sz w:val="20"/>
        </w:rPr>
        <w:t xml:space="preserve">не имеет. </w:t>
      </w:r>
    </w:p>
    <w:p>
      <w:pPr>
        <w:pStyle w:val="Normal"/>
        <w:jc w:val="both"/>
        <w:rPr/>
      </w:pPr>
      <w:r>
        <w:rPr>
          <w:sz w:val="20"/>
        </w:rPr>
        <w:t xml:space="preserve">Сведения о характере родственных связей (супруги, родители, дети, усыновители, усыновленные, родные братья и сестры, дедушки, бабушки, внуки) между лицом и членами совета директоров (наблюдательного совета), членами коллегиального исполнительного органа, лицом, занимающим должность (осуществляющим функции) единоличного исполнительного органа Эмитента: </w:t>
      </w:r>
      <w:r>
        <w:rPr>
          <w:b/>
          <w:i/>
          <w:sz w:val="20"/>
        </w:rPr>
        <w:t xml:space="preserve">указанных родственных связей нет. </w:t>
      </w:r>
    </w:p>
    <w:p>
      <w:pPr>
        <w:pStyle w:val="Normal"/>
        <w:jc w:val="both"/>
        <w:rPr/>
      </w:pPr>
      <w:r>
        <w:rPr>
          <w:sz w:val="20"/>
        </w:rPr>
        <w:t xml:space="preserve">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уголовной ответственности (о наличии судимости) за преступления в сфере экономики и (или) за преступления против государственной власти: </w:t>
      </w:r>
      <w:r>
        <w:rPr>
          <w:b/>
          <w:i/>
          <w:sz w:val="20"/>
        </w:rPr>
        <w:t xml:space="preserve">лицо к указанным видам ответственности не привлекалось. </w:t>
      </w:r>
    </w:p>
    <w:p>
      <w:pPr>
        <w:pStyle w:val="Normal"/>
        <w:spacing w:before="20" w:after="40"/>
        <w:contextualSpacing/>
        <w:jc w:val="both"/>
        <w:rPr/>
      </w:pPr>
      <w:r>
        <w:rPr/>
        <w:t xml:space="preserve">Сведения о занятии лицом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статьей 27 Федерального закона «О несостоятельности (банкротстве)»: </w:t>
      </w:r>
      <w:r>
        <w:rPr>
          <w:b/>
          <w:i/>
        </w:rPr>
        <w:t>лицо указанных должностей не занимало</w:t>
      </w:r>
      <w:r>
        <w:rPr/>
        <w:t>.</w:t>
      </w:r>
    </w:p>
    <w:p>
      <w:pPr>
        <w:pStyle w:val="Normal"/>
        <w:spacing w:before="20" w:after="40"/>
        <w:contextualSpacing/>
        <w:jc w:val="both"/>
        <w:rPr/>
      </w:pPr>
      <w:r>
        <w:rPr/>
      </w:r>
    </w:p>
    <w:p>
      <w:pPr>
        <w:pStyle w:val="Normal"/>
        <w:spacing w:before="20" w:after="40"/>
        <w:contextualSpacing/>
        <w:jc w:val="both"/>
        <w:rPr/>
      </w:pPr>
      <w:r>
        <w:rPr/>
        <w:t>2.</w:t>
      </w:r>
    </w:p>
    <w:p>
      <w:pPr>
        <w:pStyle w:val="Normal"/>
        <w:jc w:val="both"/>
        <w:rPr/>
      </w:pPr>
      <w:r>
        <w:rPr/>
        <w:t>Наименование органа контроля за финансово-хозяйственной деятельностью эмитента:</w:t>
      </w:r>
      <w:r>
        <w:rPr>
          <w:b/>
          <w:i/>
        </w:rPr>
        <w:t xml:space="preserve"> Отдел контроля, анализа производственной деятельности и управления рисками </w:t>
      </w:r>
    </w:p>
    <w:p>
      <w:pPr>
        <w:pStyle w:val="Normal"/>
        <w:jc w:val="both"/>
        <w:rPr/>
      </w:pPr>
      <w:r>
        <w:rPr/>
        <w:t>Информация о руководителе такого отдельного структурного подразделения (органа) эмитента</w:t>
      </w:r>
    </w:p>
    <w:p>
      <w:pPr>
        <w:pStyle w:val="Normal"/>
        <w:jc w:val="both"/>
        <w:rPr/>
      </w:pPr>
      <w:r>
        <w:rPr/>
        <w:t>Наименование должности руководителя структурного подразделения:</w:t>
      </w:r>
      <w:r>
        <w:rPr>
          <w:b/>
          <w:i/>
        </w:rPr>
        <w:t xml:space="preserve"> Начальник Отдела контроля, анализа производственной деятельности и управления рисками </w:t>
      </w:r>
    </w:p>
    <w:p>
      <w:pPr>
        <w:pStyle w:val="Normal"/>
        <w:jc w:val="both"/>
        <w:rPr/>
      </w:pPr>
      <w:r>
        <w:rPr/>
      </w:r>
    </w:p>
    <w:p>
      <w:pPr>
        <w:pStyle w:val="Normal"/>
        <w:jc w:val="both"/>
        <w:rPr/>
      </w:pPr>
      <w:r>
        <w:rPr/>
        <w:t>Фамилия, имя, отчество (последнее при наличии):</w:t>
      </w:r>
      <w:r>
        <w:rPr>
          <w:b/>
          <w:i/>
        </w:rPr>
        <w:t xml:space="preserve"> Журавлева Надежда Валентиновна </w:t>
      </w:r>
    </w:p>
    <w:p>
      <w:pPr>
        <w:pStyle w:val="Normal"/>
        <w:jc w:val="both"/>
        <w:rPr/>
      </w:pPr>
      <w:r>
        <w:rPr/>
        <w:t>Год рождения:</w:t>
      </w:r>
      <w:r>
        <w:rPr>
          <w:b/>
          <w:i/>
        </w:rPr>
        <w:t xml:space="preserve"> 1975</w:t>
      </w:r>
    </w:p>
    <w:p>
      <w:pPr>
        <w:pStyle w:val="ThinDelim"/>
        <w:spacing w:before="20" w:after="40"/>
        <w:contextualSpacing/>
        <w:jc w:val="both"/>
        <w:rPr/>
      </w:pPr>
      <w:r>
        <w:rPr/>
      </w:r>
    </w:p>
    <w:p>
      <w:pPr>
        <w:pStyle w:val="Normal"/>
        <w:spacing w:before="20" w:after="40"/>
        <w:contextualSpacing/>
        <w:jc w:val="both"/>
        <w:rPr/>
      </w:pPr>
      <w:r>
        <w:rPr/>
        <w:t>Образование:</w:t>
        <w:br/>
      </w:r>
      <w:r>
        <w:rPr>
          <w:b/>
          <w:i/>
        </w:rPr>
        <w:t xml:space="preserve">высшее профессиональное, экономист </w:t>
      </w:r>
    </w:p>
    <w:p>
      <w:pPr>
        <w:pStyle w:val="Normal"/>
        <w:spacing w:before="20" w:after="40"/>
        <w:contextualSpacing/>
        <w:jc w:val="both"/>
        <w:rPr/>
      </w:pPr>
      <w:r>
        <w:rPr/>
        <w:t>Все должности, которые занимает данное лицо или занимал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pPr>
        <w:pStyle w:val="ThinDelim"/>
        <w:spacing w:before="20" w:after="40"/>
        <w:contextualSpacing/>
        <w:jc w:val="both"/>
        <w:rPr>
          <w:b/>
          <w:bCs/>
          <w:i/>
          <w:i/>
          <w:iCs/>
          <w:sz w:val="18"/>
          <w:szCs w:val="18"/>
        </w:rPr>
      </w:pPr>
      <w:r>
        <w:rPr>
          <w:b/>
          <w:bCs/>
          <w:i/>
          <w:iCs/>
          <w:sz w:val="18"/>
          <w:szCs w:val="18"/>
        </w:rPr>
      </w:r>
    </w:p>
    <w:tbl>
      <w:tblPr>
        <w:tblW w:w="9167" w:type="dxa"/>
        <w:jc w:val="left"/>
        <w:tblInd w:w="90" w:type="dxa"/>
        <w:tblLayout w:type="fixed"/>
        <w:tblCellMar>
          <w:top w:w="0" w:type="dxa"/>
          <w:left w:w="72" w:type="dxa"/>
          <w:bottom w:w="0" w:type="dxa"/>
          <w:right w:w="72" w:type="dxa"/>
        </w:tblCellMar>
        <w:tblLook w:noVBand="1" w:val="04a0" w:noHBand="0" w:lastColumn="0" w:firstColumn="1" w:lastRow="0" w:firstRow="1"/>
      </w:tblPr>
      <w:tblGrid>
        <w:gridCol w:w="1515"/>
        <w:gridCol w:w="990"/>
        <w:gridCol w:w="2594"/>
        <w:gridCol w:w="4067"/>
      </w:tblGrid>
      <w:tr>
        <w:trPr/>
        <w:tc>
          <w:tcPr>
            <w:tcW w:w="2505"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Период</w:t>
            </w:r>
          </w:p>
        </w:tc>
        <w:tc>
          <w:tcPr>
            <w:tcW w:w="2594"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sz w:val="16"/>
                <w:szCs w:val="16"/>
              </w:rPr>
            </w:pPr>
            <w:r>
              <w:rPr>
                <w:b/>
                <w:bCs/>
                <w:i/>
                <w:iCs/>
                <w:sz w:val="16"/>
                <w:szCs w:val="16"/>
              </w:rPr>
              <w:t>Наименование организации</w:t>
            </w:r>
          </w:p>
        </w:tc>
        <w:tc>
          <w:tcPr>
            <w:tcW w:w="4067"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20" w:after="40"/>
              <w:contextualSpacing/>
              <w:jc w:val="center"/>
              <w:rPr>
                <w:sz w:val="16"/>
                <w:szCs w:val="16"/>
              </w:rPr>
            </w:pPr>
            <w:r>
              <w:rPr>
                <w:b/>
                <w:bCs/>
                <w:i/>
                <w:iCs/>
                <w:sz w:val="16"/>
                <w:szCs w:val="16"/>
              </w:rPr>
              <w:t>Должность</w:t>
            </w:r>
          </w:p>
        </w:tc>
      </w:tr>
      <w:tr>
        <w:trPr/>
        <w:tc>
          <w:tcPr>
            <w:tcW w:w="151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с</w:t>
            </w:r>
          </w:p>
        </w:tc>
        <w:tc>
          <w:tcPr>
            <w:tcW w:w="99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sz w:val="16"/>
                <w:szCs w:val="16"/>
              </w:rPr>
            </w:pPr>
            <w:r>
              <w:rPr>
                <w:b/>
                <w:bCs/>
                <w:i/>
                <w:iCs/>
                <w:sz w:val="16"/>
                <w:szCs w:val="16"/>
              </w:rPr>
              <w:t>по</w:t>
            </w:r>
          </w:p>
        </w:tc>
        <w:tc>
          <w:tcPr>
            <w:tcW w:w="2594"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b/>
                <w:bCs/>
                <w:i/>
                <w:i/>
                <w:iCs/>
                <w:sz w:val="16"/>
                <w:szCs w:val="16"/>
              </w:rPr>
            </w:pPr>
            <w:r>
              <w:rPr>
                <w:b/>
                <w:bCs/>
                <w:i/>
                <w:iCs/>
                <w:sz w:val="16"/>
                <w:szCs w:val="16"/>
              </w:rPr>
            </w:r>
          </w:p>
        </w:tc>
        <w:tc>
          <w:tcPr>
            <w:tcW w:w="4067"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jc w:val="center"/>
              <w:rPr>
                <w:b/>
                <w:bCs/>
                <w:i/>
                <w:i/>
                <w:iCs/>
                <w:sz w:val="16"/>
                <w:szCs w:val="16"/>
              </w:rPr>
            </w:pPr>
            <w:r>
              <w:rPr>
                <w:b/>
                <w:bCs/>
                <w:i/>
                <w:iCs/>
                <w:sz w:val="16"/>
                <w:szCs w:val="16"/>
              </w:rPr>
            </w:r>
          </w:p>
        </w:tc>
      </w:tr>
      <w:tr>
        <w:trPr/>
        <w:tc>
          <w:tcPr>
            <w:tcW w:w="151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2018</w:t>
            </w:r>
          </w:p>
        </w:tc>
        <w:tc>
          <w:tcPr>
            <w:tcW w:w="99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по н.в.</w:t>
            </w:r>
          </w:p>
        </w:tc>
        <w:tc>
          <w:tcPr>
            <w:tcW w:w="2594"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sz w:val="16"/>
                <w:szCs w:val="16"/>
              </w:rPr>
            </w:pPr>
            <w:r>
              <w:rPr>
                <w:b/>
                <w:bCs/>
                <w:i/>
                <w:iCs/>
                <w:sz w:val="16"/>
                <w:szCs w:val="16"/>
              </w:rPr>
              <w:t>ПАО «Камчатскэнерго»</w:t>
            </w:r>
          </w:p>
        </w:tc>
        <w:tc>
          <w:tcPr>
            <w:tcW w:w="406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0"/>
              <w:contextualSpacing w:val="false"/>
              <w:jc w:val="both"/>
              <w:rPr>
                <w:sz w:val="16"/>
                <w:szCs w:val="16"/>
              </w:rPr>
            </w:pPr>
            <w:r>
              <w:rPr>
                <w:b/>
                <w:bCs/>
                <w:i/>
                <w:iCs/>
                <w:sz w:val="16"/>
                <w:szCs w:val="16"/>
              </w:rPr>
              <w:t>Начальник отдела контроля, анализа производственной деятельности и управления рисками филиала Возобновляемая энергетика ПАО «Камчатскэнерго»</w:t>
            </w:r>
          </w:p>
        </w:tc>
      </w:tr>
    </w:tbl>
    <w:p>
      <w:pPr>
        <w:pStyle w:val="ThinDelim"/>
        <w:spacing w:before="20" w:after="40"/>
        <w:contextualSpacing/>
        <w:jc w:val="both"/>
        <w:rPr>
          <w:b/>
          <w:bCs/>
          <w:i/>
          <w:i/>
          <w:iCs/>
          <w:sz w:val="18"/>
          <w:szCs w:val="18"/>
        </w:rPr>
      </w:pPr>
      <w:r>
        <w:rPr>
          <w:b/>
          <w:bCs/>
          <w:i/>
          <w:iCs/>
          <w:sz w:val="18"/>
          <w:szCs w:val="18"/>
        </w:rPr>
      </w:r>
    </w:p>
    <w:p>
      <w:pPr>
        <w:pStyle w:val="Normal"/>
        <w:jc w:val="both"/>
        <w:rPr/>
      </w:pPr>
      <w:r>
        <w:rPr>
          <w:sz w:val="20"/>
        </w:rPr>
        <w:t xml:space="preserve">Доля участия лица в уставном капитале Эмитента, %: </w:t>
      </w:r>
      <w:r>
        <w:rPr>
          <w:b/>
          <w:i/>
          <w:sz w:val="20"/>
        </w:rPr>
        <w:t xml:space="preserve">не имеет. </w:t>
      </w:r>
    </w:p>
    <w:p>
      <w:pPr>
        <w:pStyle w:val="Normal"/>
        <w:jc w:val="both"/>
        <w:rPr/>
      </w:pPr>
      <w:r>
        <w:rPr>
          <w:sz w:val="20"/>
        </w:rPr>
        <w:t xml:space="preserve">Доля принадлежащих лицу обыкновенных акций Эмитента, %: </w:t>
      </w:r>
      <w:r>
        <w:rPr>
          <w:b/>
          <w:i/>
          <w:sz w:val="20"/>
        </w:rPr>
        <w:t xml:space="preserve">не имеет. </w:t>
      </w:r>
    </w:p>
    <w:p>
      <w:pPr>
        <w:pStyle w:val="Normal"/>
        <w:jc w:val="both"/>
        <w:rPr/>
      </w:pPr>
      <w:r>
        <w:rPr>
          <w:sz w:val="20"/>
        </w:rPr>
        <w:t xml:space="preserve">Количество акций Эмитента каждой категории (типа), которые могут быть приобретены лицом в результате конвертации принадлежащих ему ценных бумаг, конвертируемых в акции: </w:t>
      </w:r>
      <w:r>
        <w:rPr>
          <w:b/>
          <w:i/>
          <w:sz w:val="20"/>
        </w:rPr>
        <w:t xml:space="preserve">ценные бумаги, конвертируемые в акции, отсутствуют. </w:t>
      </w:r>
    </w:p>
    <w:p>
      <w:pPr>
        <w:pStyle w:val="Normal"/>
        <w:jc w:val="both"/>
        <w:rPr/>
      </w:pPr>
      <w:r>
        <w:rPr>
          <w:sz w:val="20"/>
        </w:rPr>
        <w:t xml:space="preserve">Доля участия лица в уставном капитале подконтрольных Эмитенту организаций, имеющих для него существенное значение: </w:t>
      </w:r>
      <w:r>
        <w:rPr>
          <w:b/>
          <w:i/>
          <w:sz w:val="20"/>
        </w:rPr>
        <w:t xml:space="preserve">не имеет. </w:t>
      </w:r>
    </w:p>
    <w:p>
      <w:pPr>
        <w:pStyle w:val="Normal"/>
        <w:jc w:val="both"/>
        <w:rPr/>
      </w:pPr>
      <w:r>
        <w:rPr>
          <w:sz w:val="20"/>
        </w:rPr>
        <w:t xml:space="preserve">Доля принадлежащих лицу обыкновенных акций подконтрольных Эмитенту акционерных обществ, имеющих для Эмитента существенное значение: </w:t>
      </w:r>
      <w:r>
        <w:rPr>
          <w:b/>
          <w:i/>
          <w:sz w:val="20"/>
        </w:rPr>
        <w:t xml:space="preserve">не имеет. </w:t>
      </w:r>
    </w:p>
    <w:p>
      <w:pPr>
        <w:pStyle w:val="Normal"/>
        <w:jc w:val="both"/>
        <w:rPr/>
      </w:pPr>
      <w:r>
        <w:rPr>
          <w:sz w:val="20"/>
        </w:rPr>
        <w:t xml:space="preserve">Количество акций каждой категории (типа), подконтрольных Эмитенту акционерных обществ, имеющих для Эмитента существенное значение, которые могут быть приобретены лицом в результате конвертации принадлежащих ему ценных бумаг, конвертируемых в акции: </w:t>
      </w:r>
      <w:r>
        <w:rPr>
          <w:b/>
          <w:i/>
          <w:sz w:val="20"/>
        </w:rPr>
        <w:t xml:space="preserve">не имеет. </w:t>
      </w:r>
    </w:p>
    <w:p>
      <w:pPr>
        <w:pStyle w:val="Normal"/>
        <w:jc w:val="both"/>
        <w:rPr/>
      </w:pPr>
      <w:r>
        <w:rPr>
          <w:sz w:val="20"/>
        </w:rPr>
        <w:t xml:space="preserve">Сведения о характере родственных связей (супруги, родители, дети, усыновители, усыновленные, родные братья и сестры, дедушки, бабушки, внуки) между лицом и членами совета директоров (наблюдательного совета), членами коллегиального исполнительного органа, лицом, занимающим должность (осуществляющим функции) единоличного исполнительного органа Эмитента: </w:t>
      </w:r>
      <w:r>
        <w:rPr>
          <w:b/>
          <w:i/>
          <w:sz w:val="20"/>
        </w:rPr>
        <w:t xml:space="preserve">указанных родственных связей нет. </w:t>
      </w:r>
    </w:p>
    <w:p>
      <w:pPr>
        <w:pStyle w:val="Normal"/>
        <w:jc w:val="both"/>
        <w:rPr/>
      </w:pPr>
      <w:r>
        <w:rPr>
          <w:sz w:val="20"/>
        </w:rPr>
        <w:t xml:space="preserve">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уголовной ответственности (о наличии судимости) за преступления в сфере экономики и (или) за преступления против государственной власти: </w:t>
      </w:r>
      <w:r>
        <w:rPr>
          <w:b/>
          <w:i/>
          <w:sz w:val="20"/>
        </w:rPr>
        <w:t xml:space="preserve">лицо к указанным видам ответственности не привлекалось. </w:t>
      </w:r>
    </w:p>
    <w:p>
      <w:pPr>
        <w:pStyle w:val="Normal"/>
        <w:jc w:val="both"/>
        <w:rPr/>
      </w:pPr>
      <w:r>
        <w:rPr/>
        <w:t xml:space="preserve">Сведения о занятии лицом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статьей 27 Федерального закона «О несостоятельности (банкротстве)»: </w:t>
      </w:r>
      <w:r>
        <w:rPr>
          <w:b/>
          <w:i/>
        </w:rPr>
        <w:t>лицо указанных должностей не занимало</w:t>
      </w:r>
      <w:r>
        <w:rPr/>
        <w:t>.</w:t>
      </w:r>
    </w:p>
    <w:p>
      <w:pPr>
        <w:pStyle w:val="Normal"/>
        <w:jc w:val="both"/>
        <w:rPr>
          <w:b/>
          <w:bCs/>
          <w:sz w:val="24"/>
        </w:rPr>
      </w:pPr>
      <w:r>
        <w:rPr>
          <w:b/>
          <w:bCs/>
          <w:sz w:val="24"/>
        </w:rPr>
      </w:r>
    </w:p>
    <w:p>
      <w:pPr>
        <w:pStyle w:val="Normal"/>
        <w:spacing w:before="20" w:after="40"/>
        <w:contextualSpacing/>
        <w:jc w:val="both"/>
        <w:rPr/>
      </w:pPr>
      <w:r>
        <w:rPr>
          <w:b/>
          <w:i/>
        </w:rPr>
        <w:t>Изменений в составе информации настоящего пункта между отчетной датой и датой раскрытия соответствующей отчётности, на основе которой в отчёте эмитента раскрывается информация о финансово-хозяйственной деятельности эмитента, не происходило.</w:t>
      </w:r>
    </w:p>
    <w:p>
      <w:pPr>
        <w:pStyle w:val="Normal"/>
        <w:spacing w:before="20" w:after="40"/>
        <w:contextualSpacing/>
        <w:jc w:val="both"/>
        <w:rPr>
          <w:sz w:val="24"/>
        </w:rPr>
      </w:pPr>
      <w:r>
        <w:rPr>
          <w:sz w:val="24"/>
        </w:rPr>
      </w:r>
    </w:p>
    <w:p>
      <w:pPr>
        <w:pStyle w:val="Normal"/>
        <w:jc w:val="both"/>
        <w:rPr/>
      </w:pPr>
      <w:r>
        <w:rPr>
          <w:rFonts w:ascii="Times New Roman" w:hAnsi="Times New Roman"/>
          <w:b/>
          <w:bCs/>
          <w:sz w:val="24"/>
        </w:rPr>
        <w:t>2.5. Сведения о любых обязательствах эмитента перед работниками эмитента и работниками подконтрольных эмитенту организаций, касающихся возможности их участия в уставном капитале эмитента</w:t>
      </w:r>
    </w:p>
    <w:p>
      <w:pPr>
        <w:pStyle w:val="Normal"/>
        <w:spacing w:before="0" w:after="0"/>
        <w:contextualSpacing/>
        <w:jc w:val="both"/>
        <w:rPr/>
      </w:pPr>
      <w:r>
        <w:rPr/>
        <w:t xml:space="preserve">Сведения о заключении соглашений или обязательств, предусматривающих право участия работников эмитента и работников подконтрольных эмитенту организаций в уставном капитале эмитента, их общий объем, а также совокупная доля участия в уставном капитале эмитента (совокупное количество обыкновенных акций эмитента - акционерного общества), которая может быть приобретена (которое может быть приобретено) по таким соглашениям или обязательствам работниками эмитента и работниками подконтрольных эмитенту организаций, или указывается на отсутствие таких соглашений или обязательств: </w:t>
      </w:r>
      <w:r>
        <w:rPr>
          <w:b/>
          <w:i/>
        </w:rPr>
        <w:t xml:space="preserve">Соглашения или обязательства эмитента, или подконтрольных эмитенту организаций, предусматривающие право участия работников эмитента и работников подконтрольных эмитенту организаций в его уставном капитале, отсутствуют. </w:t>
      </w:r>
    </w:p>
    <w:p>
      <w:pPr>
        <w:pStyle w:val="Normal"/>
        <w:spacing w:before="0" w:after="0"/>
        <w:contextualSpacing/>
        <w:jc w:val="both"/>
        <w:rPr>
          <w:sz w:val="24"/>
        </w:rPr>
      </w:pPr>
      <w:r>
        <w:rPr>
          <w:sz w:val="24"/>
        </w:rPr>
      </w:r>
    </w:p>
    <w:p>
      <w:pPr>
        <w:pStyle w:val="Normal"/>
        <w:spacing w:before="20" w:after="40"/>
        <w:contextualSpacing/>
        <w:jc w:val="both"/>
        <w:rPr/>
      </w:pPr>
      <w:r>
        <w:rPr>
          <w:b/>
          <w:i/>
        </w:rPr>
        <w:t>Изменений в составе информации настоящего пункта между отчетной датой и датой раскрытия соответствующей отчётности, на основе которой в отчёте эмитента раскрывается информация о финансово-хозяйственной деятельности эмитента, не происходило.</w:t>
      </w:r>
    </w:p>
    <w:p>
      <w:pPr>
        <w:pStyle w:val="1"/>
        <w:spacing w:before="360" w:after="120"/>
        <w:contextualSpacing/>
        <w:jc w:val="both"/>
        <w:rPr/>
      </w:pPr>
      <w:r>
        <w:rPr/>
        <w:t>Раздел 3. Сведения об акционерах (участниках, членах) эмитента, а также о сделках эмитента, в совершении которых имелась заинтересованность, и крупных сделках эмитента</w:t>
      </w:r>
    </w:p>
    <w:p>
      <w:pPr>
        <w:pStyle w:val="2"/>
        <w:spacing w:before="240" w:after="40"/>
        <w:contextualSpacing/>
        <w:jc w:val="both"/>
        <w:rPr/>
      </w:pPr>
      <w:r>
        <w:rPr>
          <w:rFonts w:eastAsia="0" w:cs="0"/>
          <w:color w:val="000000"/>
          <w:lang w:bidi="hi-IN"/>
        </w:rPr>
        <w:t>3.1. Сведения об общем количестве акционеров (участников, членов) эмитента</w:t>
      </w:r>
    </w:p>
    <w:p>
      <w:pPr>
        <w:pStyle w:val="Normal"/>
        <w:spacing w:before="20" w:after="40"/>
        <w:contextualSpacing/>
        <w:jc w:val="both"/>
        <w:rPr/>
      </w:pPr>
      <w:r>
        <w:rPr/>
      </w:r>
    </w:p>
    <w:p>
      <w:pPr>
        <w:pStyle w:val="Normal"/>
        <w:spacing w:before="20" w:after="40"/>
        <w:contextualSpacing/>
        <w:jc w:val="both"/>
        <w:rPr/>
      </w:pPr>
      <w:r>
        <w:rPr/>
        <w:t>Общее количество лиц с ненулевыми остатками на лицевых счетах, зарегистрированных в реестре акционеров эмитента на дату окончания последнего отчетного периода:</w:t>
      </w:r>
      <w:r>
        <w:rPr>
          <w:b/>
          <w:i/>
        </w:rPr>
        <w:t xml:space="preserve"> </w:t>
      </w:r>
      <w:r>
        <w:rPr>
          <w:b/>
          <w:i/>
          <w:sz w:val="20"/>
          <w:szCs w:val="20"/>
        </w:rPr>
        <w:t>2759</w:t>
      </w:r>
    </w:p>
    <w:p>
      <w:pPr>
        <w:pStyle w:val="Normal"/>
        <w:spacing w:before="20" w:after="40"/>
        <w:contextualSpacing/>
        <w:jc w:val="both"/>
        <w:rPr/>
      </w:pPr>
      <w:r>
        <w:rPr/>
        <w:t>Общее количество номинальных держателей акций эмитента:</w:t>
      </w:r>
      <w:r>
        <w:rPr>
          <w:b/>
          <w:i/>
        </w:rPr>
        <w:t xml:space="preserve"> 3</w:t>
      </w:r>
    </w:p>
    <w:p>
      <w:pPr>
        <w:pStyle w:val="ThinDelim"/>
        <w:spacing w:before="20" w:after="40"/>
        <w:contextualSpacing/>
        <w:jc w:val="both"/>
        <w:rPr/>
      </w:pPr>
      <w:r>
        <w:rPr/>
      </w:r>
    </w:p>
    <w:p>
      <w:pPr>
        <w:pStyle w:val="Normal"/>
        <w:spacing w:before="20" w:after="40"/>
        <w:contextualSpacing/>
        <w:jc w:val="both"/>
        <w:rPr/>
      </w:pPr>
      <w:r>
        <w:rPr/>
        <w:t>Общее количество лиц, включенных в составленный последним список лиц, имевших (имеющих) право на участие в общем собрании акционеров эмитента (иной список лиц, составленный в целях осуществления (реализации) прав по акциям эмитента и для составления которого номинальные держатели акций эмитента представляли данные о лицах, в интересах которых они владели (владеют) акциями эмитента), или иной имеющийся у эмитента список, для составления которого номинальные держатели акций эмитента представляли данные о лицах, в интересах которых они владели (владеют) акциями эмитента:</w:t>
      </w:r>
      <w:r>
        <w:rPr>
          <w:b/>
          <w:i/>
        </w:rPr>
        <w:t xml:space="preserve"> 4 610</w:t>
      </w:r>
    </w:p>
    <w:p>
      <w:pPr>
        <w:pStyle w:val="Normal"/>
        <w:spacing w:before="20" w:after="40"/>
        <w:contextualSpacing/>
        <w:jc w:val="both"/>
        <w:rPr/>
      </w:pPr>
      <w:r>
        <w:rPr/>
      </w:r>
    </w:p>
    <w:p>
      <w:pPr>
        <w:pStyle w:val="Normal"/>
        <w:spacing w:before="20" w:after="40"/>
        <w:contextualSpacing/>
        <w:jc w:val="both"/>
        <w:rPr/>
      </w:pPr>
      <w:r>
        <w:rPr/>
        <w:t>Дата, на которую в данном списке указывались лица, имеющие право осуществлять права по акциям эмитента:</w:t>
      </w:r>
      <w:r>
        <w:rPr>
          <w:b/>
          <w:i/>
        </w:rPr>
        <w:t xml:space="preserve"> 05.05.2025</w:t>
      </w:r>
    </w:p>
    <w:p>
      <w:pPr>
        <w:pStyle w:val="Normal"/>
        <w:spacing w:before="20" w:after="40"/>
        <w:contextualSpacing/>
        <w:jc w:val="both"/>
        <w:rPr/>
      </w:pPr>
      <w:r>
        <w:rPr/>
        <w:t>Владельцы обыкновенных акций эмитента, которые подлежали включению в такой список:</w:t>
      </w:r>
      <w:r>
        <w:rPr>
          <w:b/>
          <w:i/>
        </w:rPr>
        <w:t xml:space="preserve"> 3  181</w:t>
      </w:r>
    </w:p>
    <w:p>
      <w:pPr>
        <w:pStyle w:val="Normal"/>
        <w:spacing w:before="20" w:after="40"/>
        <w:contextualSpacing/>
        <w:jc w:val="both"/>
        <w:rPr/>
      </w:pPr>
      <w:r>
        <w:rPr/>
        <w:t>Владельцы привилегированных акций эмитента, которые подлежали включению в такой список:</w:t>
      </w:r>
      <w:r>
        <w:rPr>
          <w:b/>
          <w:i/>
        </w:rPr>
        <w:t xml:space="preserve"> 2 546</w:t>
      </w:r>
    </w:p>
    <w:p>
      <w:pPr>
        <w:pStyle w:val="Normal"/>
        <w:jc w:val="both"/>
        <w:rPr/>
      </w:pPr>
      <w:r>
        <w:rPr/>
      </w:r>
    </w:p>
    <w:p>
      <w:pPr>
        <w:pStyle w:val="Normal"/>
        <w:jc w:val="both"/>
        <w:rPr/>
      </w:pPr>
      <w:r>
        <w:rPr/>
        <w:t>Информация о количестве акций, приобретенных и (или) выкупленных эмитентом, и (или) поступивших в его распоряжение, на дату окончания отчетного периода, отдельно по каждой категории (типу) акций:</w:t>
      </w:r>
    </w:p>
    <w:p>
      <w:pPr>
        <w:pStyle w:val="Normal"/>
        <w:spacing w:before="20" w:after="40"/>
        <w:contextualSpacing/>
        <w:jc w:val="both"/>
        <w:rPr/>
      </w:pPr>
      <w:r>
        <w:rPr>
          <w:b/>
          <w:i/>
        </w:rPr>
        <w:t>Собственных акций, находящихся на балансе эмитента нет</w:t>
      </w:r>
    </w:p>
    <w:p>
      <w:pPr>
        <w:pStyle w:val="SubHeading"/>
        <w:spacing w:before="240" w:after="40"/>
        <w:contextualSpacing/>
        <w:jc w:val="both"/>
        <w:rPr/>
      </w:pPr>
      <w:r>
        <w:rPr/>
        <w:t>Информация о количестве акций эмитента, принадлежащих подконтрольным ему организациям</w:t>
      </w:r>
    </w:p>
    <w:p>
      <w:pPr>
        <w:pStyle w:val="Normal"/>
        <w:spacing w:before="20" w:after="40"/>
        <w:contextualSpacing/>
        <w:jc w:val="both"/>
        <w:rPr/>
      </w:pPr>
      <w:r>
        <w:rPr/>
        <w:t>Категория акций:</w:t>
      </w:r>
      <w:r>
        <w:rPr>
          <w:b/>
          <w:i/>
        </w:rPr>
        <w:t xml:space="preserve"> обыкновенные</w:t>
      </w:r>
    </w:p>
    <w:p>
      <w:pPr>
        <w:pStyle w:val="Normal"/>
        <w:spacing w:before="20" w:after="40"/>
        <w:contextualSpacing/>
        <w:jc w:val="both"/>
        <w:rPr/>
      </w:pPr>
      <w:r>
        <w:rPr/>
        <w:t>Количество акций эмитента, принадлежащих подконтрольным ему организациям:</w:t>
      </w:r>
      <w:r>
        <w:rPr>
          <w:b/>
          <w:i/>
        </w:rPr>
        <w:t xml:space="preserve"> </w:t>
      </w:r>
    </w:p>
    <w:p>
      <w:pPr>
        <w:pStyle w:val="Normal"/>
        <w:spacing w:before="20" w:after="40"/>
        <w:contextualSpacing/>
        <w:jc w:val="both"/>
        <w:rPr/>
      </w:pPr>
      <w:r>
        <w:rPr>
          <w:b/>
          <w:i/>
        </w:rPr>
        <w:t>12 280 565</w:t>
      </w:r>
    </w:p>
    <w:p>
      <w:pPr>
        <w:pStyle w:val="Normal"/>
        <w:spacing w:before="20" w:after="40"/>
        <w:contextualSpacing/>
        <w:jc w:val="both"/>
        <w:rPr/>
      </w:pPr>
      <w:r>
        <w:rPr/>
      </w:r>
    </w:p>
    <w:p>
      <w:pPr>
        <w:pStyle w:val="Normal"/>
        <w:spacing w:before="20" w:after="40"/>
        <w:contextualSpacing/>
        <w:jc w:val="both"/>
        <w:rPr/>
      </w:pPr>
      <w:r>
        <w:rPr/>
        <w:t>Категория акций:</w:t>
      </w:r>
      <w:r>
        <w:rPr>
          <w:b/>
          <w:i/>
        </w:rPr>
        <w:t xml:space="preserve"> привилегированные</w:t>
      </w:r>
    </w:p>
    <w:p>
      <w:pPr>
        <w:pStyle w:val="Normal"/>
        <w:spacing w:before="20" w:after="40"/>
        <w:contextualSpacing/>
        <w:jc w:val="both"/>
        <w:rPr/>
      </w:pPr>
      <w:r>
        <w:rPr/>
        <w:t>Тип акций: А</w:t>
      </w:r>
    </w:p>
    <w:p>
      <w:pPr>
        <w:pStyle w:val="Normal"/>
        <w:spacing w:before="20" w:after="40"/>
        <w:contextualSpacing/>
        <w:jc w:val="both"/>
        <w:rPr/>
      </w:pPr>
      <w:r>
        <w:rPr/>
        <w:t>Количество акций эмитента, принадлежащих подконтрольным ему организациям:</w:t>
      </w:r>
      <w:r>
        <w:rPr>
          <w:b/>
          <w:i/>
        </w:rPr>
        <w:t xml:space="preserve"> </w:t>
      </w:r>
    </w:p>
    <w:p>
      <w:pPr>
        <w:pStyle w:val="Normal"/>
        <w:spacing w:before="20" w:after="40"/>
        <w:contextualSpacing/>
        <w:jc w:val="both"/>
        <w:rPr/>
      </w:pPr>
      <w:r>
        <w:rPr>
          <w:b/>
          <w:i/>
        </w:rPr>
        <w:t>13 987 324</w:t>
      </w:r>
    </w:p>
    <w:p>
      <w:pPr>
        <w:pStyle w:val="Normal"/>
        <w:spacing w:before="20" w:after="40"/>
        <w:contextualSpacing/>
        <w:jc w:val="both"/>
        <w:rPr>
          <w:b/>
          <w:i/>
          <w:i/>
        </w:rPr>
      </w:pPr>
      <w:r>
        <w:rPr>
          <w:b/>
          <w:i/>
        </w:rPr>
      </w:r>
    </w:p>
    <w:p>
      <w:pPr>
        <w:pStyle w:val="Normal"/>
        <w:spacing w:before="20" w:after="40"/>
        <w:contextualSpacing/>
        <w:jc w:val="both"/>
        <w:rPr>
          <w:rFonts w:ascii="0" w:hAnsi="0" w:eastAsia="0" w:cs="0"/>
          <w:b/>
          <w:i/>
          <w:i/>
          <w:color w:val="000000"/>
          <w:kern w:val="0"/>
          <w:sz w:val="20"/>
          <w:szCs w:val="24"/>
          <w:lang w:val="ru-RU" w:eastAsia="zh-CN" w:bidi="hi-IN"/>
        </w:rPr>
      </w:pPr>
      <w:r>
        <w:rPr>
          <w:rFonts w:eastAsia="0" w:cs="0"/>
          <w:b/>
          <w:i/>
          <w:color w:val="000000"/>
          <w:kern w:val="0"/>
          <w:sz w:val="20"/>
          <w:szCs w:val="24"/>
          <w:lang w:val="ru-RU" w:eastAsia="zh-CN" w:bidi="hi-IN"/>
        </w:rPr>
        <w:t>Изменений в составе информации настоящего пункта между отчетной датой и датой раскрытия соответствующей отчётности, на основе которой в отчёте эмитента раскрывается информация о финансово-хозяйственной деятельности эмитента, не происходило/</w:t>
      </w:r>
    </w:p>
    <w:p>
      <w:pPr>
        <w:pStyle w:val="Normal"/>
        <w:spacing w:before="20" w:after="40"/>
        <w:contextualSpacing/>
        <w:jc w:val="both"/>
        <w:rPr>
          <w:b/>
          <w:i/>
          <w:i/>
        </w:rPr>
      </w:pPr>
      <w:r>
        <w:rPr>
          <w:b/>
          <w:i/>
        </w:rPr>
      </w:r>
    </w:p>
    <w:p>
      <w:pPr>
        <w:pStyle w:val="2"/>
        <w:spacing w:before="240" w:after="40"/>
        <w:contextualSpacing/>
        <w:jc w:val="both"/>
        <w:rPr/>
      </w:pPr>
      <w:r>
        <w:rPr>
          <w:rFonts w:eastAsia="0" w:cs="0"/>
          <w:color w:val="000000"/>
          <w:lang w:bidi="hi-IN"/>
        </w:rPr>
        <w:t>3.2. Сведения об акционерах (участниках, членах) эмитента или лицах, имеющих право распоряжаться голосами, приходящимися на голосующие акции (доли), составляющие уставный (складочный) капитал (паевой фонд) эмитента</w:t>
      </w:r>
    </w:p>
    <w:p>
      <w:pPr>
        <w:pStyle w:val="Normal"/>
        <w:spacing w:before="20" w:after="40"/>
        <w:contextualSpacing/>
        <w:jc w:val="both"/>
        <w:rPr>
          <w:rFonts w:ascii="Times New Roman" w:hAnsi="Times New Roman"/>
          <w:b/>
          <w:bCs/>
          <w:sz w:val="24"/>
        </w:rPr>
      </w:pPr>
      <w:r>
        <w:rPr>
          <w:rFonts w:ascii="Times New Roman" w:hAnsi="Times New Roman"/>
          <w:b/>
          <w:bCs/>
          <w:sz w:val="24"/>
        </w:rPr>
      </w:r>
    </w:p>
    <w:p>
      <w:pPr>
        <w:pStyle w:val="Normal"/>
        <w:spacing w:before="20" w:after="40"/>
        <w:contextualSpacing/>
        <w:jc w:val="both"/>
        <w:rPr>
          <w:shd w:fill="FFFF00" w:val="clear"/>
        </w:rPr>
      </w:pPr>
      <w:r>
        <w:rPr>
          <w:shd w:fill="FFFF00" w:val="clear"/>
        </w:rPr>
      </w:r>
    </w:p>
    <w:p>
      <w:pPr>
        <w:pStyle w:val="Normal"/>
        <w:spacing w:before="20" w:after="40"/>
        <w:contextualSpacing/>
        <w:jc w:val="both"/>
        <w:rPr/>
      </w:pPr>
      <w:r>
        <w:rPr/>
        <w:t>Лица, имеющие право распоряжаться не менее чем 5 процентами голосов, приходящихся на голосующие акции (доли, паи), составляющие уставный (складочный) капитал (паевой фонд) эмитента</w:t>
      </w:r>
    </w:p>
    <w:p>
      <w:pPr>
        <w:pStyle w:val="Normal"/>
        <w:spacing w:before="20" w:after="40"/>
        <w:contextualSpacing/>
        <w:jc w:val="both"/>
        <w:rPr/>
      </w:pPr>
      <w:r>
        <w:rPr>
          <w:b/>
          <w:i/>
        </w:rPr>
        <w:t>1.</w:t>
      </w:r>
    </w:p>
    <w:p>
      <w:pPr>
        <w:pStyle w:val="Normal"/>
        <w:spacing w:before="20" w:after="40"/>
        <w:contextualSpacing/>
        <w:jc w:val="both"/>
        <w:rPr/>
      </w:pPr>
      <w:r>
        <w:rPr/>
        <w:t xml:space="preserve">1.Наименование: </w:t>
      </w:r>
      <w:r>
        <w:rPr>
          <w:b/>
          <w:i/>
        </w:rPr>
        <w:t>Акционерное общество «РАО Энергетические системы Востока»</w:t>
      </w:r>
    </w:p>
    <w:p>
      <w:pPr>
        <w:pStyle w:val="Normal"/>
        <w:spacing w:before="20" w:after="40"/>
        <w:contextualSpacing/>
        <w:jc w:val="both"/>
        <w:rPr/>
      </w:pPr>
      <w:r>
        <w:rPr/>
        <w:t xml:space="preserve">Сокращенное фирменное наименование: </w:t>
      </w:r>
      <w:r>
        <w:rPr>
          <w:b/>
          <w:i/>
        </w:rPr>
        <w:t>АО «РАО ЭС Востока»</w:t>
      </w:r>
    </w:p>
    <w:p>
      <w:pPr>
        <w:pStyle w:val="Normal"/>
        <w:spacing w:before="20" w:after="40"/>
        <w:contextualSpacing/>
        <w:jc w:val="both"/>
        <w:rPr/>
      </w:pPr>
      <w:r>
        <w:rPr/>
        <w:t xml:space="preserve">Место нахождения: </w:t>
      </w:r>
      <w:r>
        <w:rPr>
          <w:b/>
          <w:i/>
        </w:rPr>
        <w:t>Хабаровский край, г Хабаровск</w:t>
      </w:r>
    </w:p>
    <w:p>
      <w:pPr>
        <w:pStyle w:val="Normal"/>
        <w:rPr/>
      </w:pPr>
      <w:r>
        <w:rPr>
          <w:sz w:val="20"/>
        </w:rPr>
        <w:t>Идентификационный номер налогоплательщика (ИНН)</w:t>
      </w:r>
      <w:r>
        <w:rPr>
          <w:b/>
          <w:i/>
          <w:sz w:val="20"/>
        </w:rPr>
        <w:t>: 2801133630</w:t>
      </w:r>
    </w:p>
    <w:p>
      <w:pPr>
        <w:pStyle w:val="Normal"/>
        <w:rPr/>
      </w:pPr>
      <w:r>
        <w:rPr/>
        <w:t xml:space="preserve">Основной государственный регистрационный номер (ОГРН): </w:t>
      </w:r>
      <w:r>
        <w:rPr>
          <w:b/>
          <w:i/>
        </w:rPr>
        <w:t>1087760000052</w:t>
      </w:r>
    </w:p>
    <w:p>
      <w:pPr>
        <w:pStyle w:val="Normal"/>
        <w:rPr/>
      </w:pPr>
      <w:r>
        <w:rPr>
          <w:sz w:val="20"/>
        </w:rPr>
        <w:t xml:space="preserve">Доля голосов в процентах, приходящихся на голосующие акции, составляющие уставный капитал эмитента, которой имеет право распоряжаться лицо, %: </w:t>
      </w:r>
      <w:r>
        <w:rPr>
          <w:b/>
          <w:bCs/>
          <w:sz w:val="20"/>
        </w:rPr>
        <w:t>71,31</w:t>
      </w:r>
      <w:r>
        <w:rPr>
          <w:b/>
          <w:bCs/>
          <w:i/>
          <w:sz w:val="20"/>
        </w:rPr>
        <w:t xml:space="preserve"> </w:t>
      </w:r>
    </w:p>
    <w:p>
      <w:pPr>
        <w:pStyle w:val="Default"/>
        <w:rPr/>
      </w:pPr>
      <w:r>
        <w:rPr/>
      </w:r>
    </w:p>
    <w:p>
      <w:pPr>
        <w:pStyle w:val="Default"/>
        <w:jc w:val="both"/>
        <w:rPr/>
      </w:pPr>
      <w:r>
        <w:rPr>
          <w:sz w:val="20"/>
        </w:rPr>
        <w:t xml:space="preserve">Вид права распоряжения голосами, приходящимися на голосующие акции, составляющие уставный капитал эмитента, которым обладает лицо (прямое распоряжение; косвенное распоряжение): </w:t>
      </w:r>
      <w:r>
        <w:rPr>
          <w:b/>
          <w:i/>
          <w:sz w:val="20"/>
        </w:rPr>
        <w:t>прямое распоряжение</w:t>
      </w:r>
    </w:p>
    <w:p>
      <w:pPr>
        <w:pStyle w:val="Normal"/>
        <w:spacing w:before="20" w:after="40"/>
        <w:contextualSpacing/>
        <w:jc w:val="both"/>
        <w:rPr>
          <w:b/>
          <w:i/>
          <w:i/>
        </w:rPr>
      </w:pPr>
      <w:r>
        <w:rPr>
          <w:b/>
          <w:i/>
        </w:rPr>
      </w:r>
    </w:p>
    <w:p>
      <w:pPr>
        <w:pStyle w:val="Normal"/>
        <w:spacing w:before="20" w:after="40"/>
        <w:contextualSpacing/>
        <w:jc w:val="both"/>
        <w:rPr/>
      </w:pPr>
      <w:r>
        <w:rPr/>
        <w:t>Признак права распоряжения голосами, приходящимися на голосующие акции, составляющие уставный капитал эмитента, которым обладает лицо:</w:t>
      </w:r>
      <w:r>
        <w:rPr>
          <w:b/>
          <w:i/>
        </w:rPr>
        <w:t xml:space="preserve"> Самостоятельное распоряжение </w:t>
      </w:r>
    </w:p>
    <w:p>
      <w:pPr>
        <w:pStyle w:val="Normal"/>
        <w:spacing w:before="20" w:after="40"/>
        <w:contextualSpacing/>
        <w:jc w:val="both"/>
        <w:rPr/>
      </w:pPr>
      <w:r>
        <w:rPr/>
      </w:r>
    </w:p>
    <w:p>
      <w:pPr>
        <w:pStyle w:val="Normal"/>
        <w:spacing w:before="20" w:after="40"/>
        <w:contextualSpacing/>
        <w:jc w:val="both"/>
        <w:rPr/>
      </w:pPr>
      <w:r>
        <w:rPr/>
        <w:t xml:space="preserve">Основание, в силу которого лицо имеет право распоряжаться голосами, приходящимися на голосующие акции, составляющие уставный капитал эмитента: </w:t>
      </w:r>
      <w:r>
        <w:rPr>
          <w:b/>
          <w:i/>
        </w:rPr>
        <w:t>Участие в уставном капитале Общества.</w:t>
      </w:r>
    </w:p>
    <w:p>
      <w:pPr>
        <w:pStyle w:val="Normal"/>
        <w:spacing w:before="20" w:after="40"/>
        <w:contextualSpacing/>
        <w:jc w:val="both"/>
        <w:rPr/>
      </w:pPr>
      <w:r>
        <w:rPr/>
      </w:r>
    </w:p>
    <w:p>
      <w:pPr>
        <w:pStyle w:val="Normal"/>
        <w:spacing w:before="20" w:after="40"/>
        <w:contextualSpacing/>
        <w:jc w:val="both"/>
        <w:rPr/>
      </w:pPr>
      <w:r>
        <w:rPr/>
        <w:t xml:space="preserve">Иные сведения, указываемые эмитентом по собственному усмотрению: </w:t>
      </w:r>
      <w:r>
        <w:rPr>
          <w:b/>
          <w:bCs/>
        </w:rPr>
        <w:t>нет</w:t>
      </w:r>
    </w:p>
    <w:p>
      <w:pPr>
        <w:pStyle w:val="Normal"/>
        <w:spacing w:before="23" w:after="40"/>
        <w:contextualSpacing/>
        <w:jc w:val="both"/>
        <w:rPr>
          <w:highlight w:val="none"/>
          <w:shd w:fill="FFFF00" w:val="clear"/>
        </w:rPr>
      </w:pPr>
      <w:r>
        <w:rPr>
          <w:shd w:fill="FFFF00" w:val="clear"/>
        </w:rPr>
      </w:r>
    </w:p>
    <w:p>
      <w:pPr>
        <w:pStyle w:val="Normal"/>
        <w:spacing w:before="23" w:after="40"/>
        <w:contextualSpacing/>
        <w:jc w:val="both"/>
        <w:rPr>
          <w:b/>
          <w:i/>
          <w:i/>
        </w:rPr>
      </w:pPr>
      <w:r>
        <w:rPr>
          <w:b/>
          <w:i/>
        </w:rPr>
      </w:r>
    </w:p>
    <w:p>
      <w:pPr>
        <w:pStyle w:val="Normal"/>
        <w:spacing w:before="20" w:after="40"/>
        <w:contextualSpacing/>
        <w:jc w:val="both"/>
        <w:rPr/>
      </w:pPr>
      <w:r>
        <w:rPr>
          <w:b/>
          <w:i/>
        </w:rPr>
        <w:t>2.</w:t>
      </w:r>
    </w:p>
    <w:p>
      <w:pPr>
        <w:pStyle w:val="Normal"/>
        <w:spacing w:before="20" w:after="40"/>
        <w:contextualSpacing/>
        <w:jc w:val="both"/>
        <w:rPr/>
      </w:pPr>
      <w:r>
        <w:rPr/>
        <w:t>Полное фирменное наименование:</w:t>
      </w:r>
      <w:r>
        <w:rPr>
          <w:b/>
          <w:i/>
        </w:rPr>
        <w:t xml:space="preserve"> Публичное акционерное общество «Федеральная гидрогенерирующая компания – РусГидро»</w:t>
      </w:r>
    </w:p>
    <w:p>
      <w:pPr>
        <w:pStyle w:val="Normal"/>
        <w:spacing w:before="20" w:after="40"/>
        <w:contextualSpacing/>
        <w:jc w:val="both"/>
        <w:rPr/>
      </w:pPr>
      <w:r>
        <w:rPr/>
        <w:t>Сокращенное фирменное наименование:</w:t>
      </w:r>
      <w:r>
        <w:rPr>
          <w:b/>
          <w:i/>
        </w:rPr>
        <w:t xml:space="preserve"> ПАО «РусГидро» </w:t>
      </w:r>
    </w:p>
    <w:p>
      <w:pPr>
        <w:pStyle w:val="Normal"/>
        <w:spacing w:before="20" w:after="40"/>
        <w:contextualSpacing/>
        <w:jc w:val="both"/>
        <w:rPr/>
      </w:pPr>
      <w:r>
        <w:rPr/>
        <w:t xml:space="preserve">Место нахождения: </w:t>
      </w:r>
      <w:r>
        <w:rPr>
          <w:b/>
          <w:i/>
        </w:rPr>
        <w:t>Красноярский Край, г Красноярск</w:t>
      </w:r>
    </w:p>
    <w:p>
      <w:pPr>
        <w:pStyle w:val="Normal"/>
        <w:spacing w:before="20" w:after="40"/>
        <w:contextualSpacing/>
        <w:jc w:val="both"/>
        <w:rPr/>
      </w:pPr>
      <w:r>
        <w:rPr/>
        <w:t>Идентификационный номер налогоплательщика (ИНН)</w:t>
      </w:r>
      <w:r>
        <w:rPr>
          <w:b/>
          <w:i/>
        </w:rPr>
        <w:t>: 2460066195</w:t>
      </w:r>
    </w:p>
    <w:p>
      <w:pPr>
        <w:pStyle w:val="Normal"/>
        <w:spacing w:before="20" w:after="40"/>
        <w:contextualSpacing/>
        <w:jc w:val="both"/>
        <w:rPr/>
      </w:pPr>
      <w:r>
        <w:rPr/>
      </w:r>
    </w:p>
    <w:p>
      <w:pPr>
        <w:pStyle w:val="Normal"/>
        <w:spacing w:before="20" w:after="40"/>
        <w:contextualSpacing/>
        <w:jc w:val="both"/>
        <w:rPr/>
      </w:pPr>
      <w:r>
        <w:rPr/>
        <w:t>Основной государственный регистрационный номер (ОГРН)</w:t>
      </w:r>
      <w:r>
        <w:rPr>
          <w:b/>
          <w:i/>
        </w:rPr>
        <w:t>: 1042401810494</w:t>
      </w:r>
    </w:p>
    <w:p>
      <w:pPr>
        <w:pStyle w:val="Normal"/>
        <w:spacing w:before="20" w:after="40"/>
        <w:contextualSpacing/>
        <w:jc w:val="both"/>
        <w:rPr/>
      </w:pPr>
      <w:r>
        <w:rPr/>
        <w:t>Доля голосов в процентах, приходящихся на голосующие акции, составляющие уставный капитал эмитента, которой имеет право распоряжаться лицо, %</w:t>
      </w:r>
      <w:r>
        <w:rPr>
          <w:b/>
          <w:i/>
        </w:rPr>
        <w:t>: прямое распоряжение%- 27,97 косвенное распоряжение %- 99,33</w:t>
      </w:r>
    </w:p>
    <w:p>
      <w:pPr>
        <w:pStyle w:val="Normal"/>
        <w:spacing w:before="20" w:after="40"/>
        <w:contextualSpacing/>
        <w:jc w:val="both"/>
        <w:rPr/>
      </w:pPr>
      <w:r>
        <w:rPr/>
      </w:r>
    </w:p>
    <w:p>
      <w:pPr>
        <w:pStyle w:val="Normal"/>
        <w:spacing w:before="20" w:after="40"/>
        <w:contextualSpacing/>
        <w:jc w:val="both"/>
        <w:rPr/>
      </w:pPr>
      <w:r>
        <w:rPr/>
        <w:t xml:space="preserve">Вид права распоряжения голосами, приходящимися на голосующие акции, составляющие уставный капитал эмитента, которым обладает лицо (прямое распоряжение; косвенное распоряжение): </w:t>
      </w:r>
      <w:r>
        <w:rPr>
          <w:b/>
          <w:i/>
        </w:rPr>
        <w:t>прямое распоряжение, косвенное распоряжение</w:t>
      </w:r>
    </w:p>
    <w:p>
      <w:pPr>
        <w:pStyle w:val="Normal"/>
        <w:spacing w:before="20" w:after="40"/>
        <w:contextualSpacing/>
        <w:jc w:val="both"/>
        <w:rPr/>
      </w:pPr>
      <w:r>
        <w:rPr/>
      </w:r>
    </w:p>
    <w:p>
      <w:pPr>
        <w:pStyle w:val="Normal"/>
        <w:spacing w:before="20" w:after="40"/>
        <w:contextualSpacing/>
        <w:jc w:val="both"/>
        <w:rPr/>
      </w:pPr>
      <w:r>
        <w:rPr/>
        <w:t>Подконтрольные организации (цепочка организаций, находящихся под прямым или косвенным контролем лица), через которые такое лицо имеет право косвенно распоряжаться голосами, приходящимися на голосующие акции, составляющие уставный капитал эмитента</w:t>
      </w:r>
      <w:r>
        <w:rPr>
          <w:b/>
          <w:i/>
        </w:rPr>
        <w:t>.</w:t>
      </w:r>
    </w:p>
    <w:p>
      <w:pPr>
        <w:pStyle w:val="Normal"/>
        <w:spacing w:before="20" w:after="40"/>
        <w:contextualSpacing/>
        <w:jc w:val="both"/>
        <w:rPr/>
      </w:pPr>
      <w:r>
        <w:rPr/>
      </w:r>
    </w:p>
    <w:p>
      <w:pPr>
        <w:pStyle w:val="Normal"/>
        <w:spacing w:before="20" w:after="40"/>
        <w:contextualSpacing/>
        <w:jc w:val="both"/>
        <w:rPr/>
      </w:pPr>
      <w:r>
        <w:rPr/>
        <w:t>2.1.</w:t>
      </w:r>
    </w:p>
    <w:p>
      <w:pPr>
        <w:pStyle w:val="Normal"/>
        <w:spacing w:before="20" w:after="40"/>
        <w:contextualSpacing/>
        <w:jc w:val="both"/>
        <w:rPr/>
      </w:pPr>
      <w:r>
        <w:rPr/>
        <w:t xml:space="preserve">Наименование: </w:t>
      </w:r>
      <w:r>
        <w:rPr>
          <w:b/>
          <w:i/>
        </w:rPr>
        <w:t>Акционерное общество «РАО Энергетические системы Востока»</w:t>
      </w:r>
    </w:p>
    <w:p>
      <w:pPr>
        <w:pStyle w:val="Normal"/>
        <w:spacing w:before="20" w:after="40"/>
        <w:contextualSpacing/>
        <w:jc w:val="both"/>
        <w:rPr/>
      </w:pPr>
      <w:r>
        <w:rPr/>
        <w:t>Сокращенное фирменное наименование эмитента:</w:t>
      </w:r>
      <w:r>
        <w:rPr>
          <w:b/>
          <w:i/>
        </w:rPr>
        <w:t xml:space="preserve"> АО «РАО ЭС Востока»</w:t>
      </w:r>
    </w:p>
    <w:p>
      <w:pPr>
        <w:pStyle w:val="Normal"/>
        <w:spacing w:before="20" w:after="40"/>
        <w:contextualSpacing/>
        <w:jc w:val="both"/>
        <w:rPr/>
      </w:pPr>
      <w:r>
        <w:rPr/>
        <w:t>Место нахождения:</w:t>
      </w:r>
      <w:r>
        <w:rPr>
          <w:b/>
          <w:i/>
        </w:rPr>
        <w:t xml:space="preserve"> Хабаровский край, г Хабаровск</w:t>
      </w:r>
      <w:r>
        <w:rPr/>
        <w:t xml:space="preserve"> </w:t>
      </w:r>
    </w:p>
    <w:p>
      <w:pPr>
        <w:pStyle w:val="Normal"/>
        <w:jc w:val="both"/>
        <w:rPr/>
      </w:pPr>
      <w:r>
        <w:rPr>
          <w:sz w:val="20"/>
        </w:rPr>
        <w:t>Идентификационный номер налогоплательщика (ИНН)</w:t>
      </w:r>
      <w:r>
        <w:rPr>
          <w:b/>
          <w:i/>
          <w:sz w:val="20"/>
        </w:rPr>
        <w:t>: 2801133630</w:t>
      </w:r>
    </w:p>
    <w:p>
      <w:pPr>
        <w:pStyle w:val="Normal"/>
        <w:spacing w:before="20" w:after="40"/>
        <w:contextualSpacing/>
        <w:jc w:val="both"/>
        <w:rPr/>
      </w:pPr>
      <w:r>
        <w:rPr/>
        <w:t xml:space="preserve">Основной государственный регистрационный номер (ОГРН): </w:t>
      </w:r>
      <w:r>
        <w:rPr>
          <w:b/>
          <w:i/>
        </w:rPr>
        <w:t>1087760000052</w:t>
      </w:r>
    </w:p>
    <w:p>
      <w:pPr>
        <w:pStyle w:val="Normal"/>
        <w:spacing w:before="20" w:after="40"/>
        <w:contextualSpacing/>
        <w:jc w:val="both"/>
        <w:rPr/>
      </w:pPr>
      <w:r>
        <w:rPr/>
      </w:r>
    </w:p>
    <w:p>
      <w:pPr>
        <w:pStyle w:val="Normal"/>
        <w:spacing w:before="20" w:after="40"/>
        <w:contextualSpacing/>
        <w:jc w:val="both"/>
        <w:rPr/>
      </w:pPr>
      <w:r>
        <w:rPr/>
        <w:t>2.2.</w:t>
      </w:r>
    </w:p>
    <w:p>
      <w:pPr>
        <w:pStyle w:val="Normal"/>
        <w:jc w:val="both"/>
        <w:rPr/>
      </w:pPr>
      <w:r>
        <w:rPr/>
        <w:t xml:space="preserve">Полное фирменное наименование эмитента: </w:t>
      </w:r>
      <w:r>
        <w:rPr>
          <w:b/>
          <w:i/>
        </w:rPr>
        <w:t>Публичное акционерное общество энергетики и электрификации «Камчатскэнерго»</w:t>
      </w:r>
    </w:p>
    <w:p>
      <w:pPr>
        <w:pStyle w:val="Normal"/>
        <w:spacing w:before="20" w:after="40"/>
        <w:contextualSpacing/>
        <w:jc w:val="both"/>
        <w:rPr/>
      </w:pPr>
      <w:r>
        <w:rPr/>
        <w:t xml:space="preserve">Сокращенное фирменное наименование эмитента: </w:t>
      </w:r>
      <w:r>
        <w:rPr>
          <w:b/>
          <w:i/>
        </w:rPr>
        <w:t xml:space="preserve">ПАО «Камчатскэнерго» </w:t>
      </w:r>
    </w:p>
    <w:p>
      <w:pPr>
        <w:pStyle w:val="Normal"/>
        <w:spacing w:before="20" w:after="40"/>
        <w:contextualSpacing/>
        <w:jc w:val="both"/>
        <w:rPr/>
      </w:pPr>
      <w:r>
        <w:rPr/>
        <w:t xml:space="preserve">Место нахождения: </w:t>
      </w:r>
      <w:r>
        <w:rPr>
          <w:b/>
          <w:i/>
        </w:rPr>
        <w:t>Российская Федерация, г. Петропавловск-Камчатский</w:t>
      </w:r>
    </w:p>
    <w:p>
      <w:pPr>
        <w:pStyle w:val="Normal"/>
        <w:spacing w:before="20" w:after="40"/>
        <w:contextualSpacing/>
        <w:jc w:val="both"/>
        <w:rPr/>
      </w:pPr>
      <w:r>
        <w:rPr/>
        <w:t xml:space="preserve">Идентификационный номер налогоплательщика (ИНН) эмитента: </w:t>
      </w:r>
      <w:r>
        <w:rPr>
          <w:b/>
          <w:i/>
        </w:rPr>
        <w:t xml:space="preserve">4100000668 </w:t>
      </w:r>
    </w:p>
    <w:p>
      <w:pPr>
        <w:pStyle w:val="Normal"/>
        <w:jc w:val="both"/>
        <w:rPr/>
      </w:pPr>
      <w:r>
        <w:rPr/>
        <w:t xml:space="preserve">Основной государственный регистрационный номер (ОГРН) эмитента: </w:t>
      </w:r>
      <w:r>
        <w:rPr>
          <w:b/>
          <w:i/>
        </w:rPr>
        <w:t>1024101024078</w:t>
      </w:r>
    </w:p>
    <w:p>
      <w:pPr>
        <w:pStyle w:val="Normal"/>
        <w:spacing w:before="20" w:after="40"/>
        <w:contextualSpacing/>
        <w:jc w:val="both"/>
        <w:rPr/>
      </w:pPr>
      <w:r>
        <w:rPr/>
      </w:r>
    </w:p>
    <w:p>
      <w:pPr>
        <w:pStyle w:val="Normal"/>
        <w:spacing w:before="20" w:after="40"/>
        <w:contextualSpacing/>
        <w:jc w:val="both"/>
        <w:rPr/>
      </w:pPr>
      <w:r>
        <w:rPr/>
        <w:t>2.2.1</w:t>
      </w:r>
      <w:r>
        <w:rPr>
          <w:i/>
        </w:rPr>
        <w:t>.</w:t>
      </w:r>
    </w:p>
    <w:p>
      <w:pPr>
        <w:pStyle w:val="Normal"/>
        <w:jc w:val="both"/>
        <w:rPr/>
      </w:pPr>
      <w:r>
        <w:rPr>
          <w:sz w:val="20"/>
        </w:rPr>
        <w:t>Полное фирменное наименование:</w:t>
      </w:r>
      <w:r>
        <w:rPr>
          <w:b/>
          <w:i/>
          <w:sz w:val="20"/>
        </w:rPr>
        <w:t xml:space="preserve"> Акционерное общество «Южные электрические сети Камчатки»</w:t>
      </w:r>
      <w:r>
        <w:rPr>
          <w:sz w:val="20"/>
        </w:rPr>
        <w:t xml:space="preserve"> </w:t>
      </w:r>
      <w:r>
        <w:rPr>
          <w:b/>
          <w:i/>
          <w:sz w:val="20"/>
        </w:rPr>
        <w:t xml:space="preserve">(АО «ЮЭСК» является подконтрольной эмитенту организацией) </w:t>
      </w:r>
    </w:p>
    <w:p>
      <w:pPr>
        <w:pStyle w:val="Normal"/>
        <w:spacing w:before="20" w:after="40"/>
        <w:contextualSpacing/>
        <w:jc w:val="both"/>
        <w:rPr/>
      </w:pPr>
      <w:r>
        <w:rPr/>
        <w:t>Сокращенное фирменное наименование:</w:t>
      </w:r>
      <w:r>
        <w:rPr>
          <w:b/>
          <w:i/>
        </w:rPr>
        <w:t xml:space="preserve"> АО «ЮЭСК»</w:t>
      </w:r>
    </w:p>
    <w:p>
      <w:pPr>
        <w:pStyle w:val="Normal"/>
        <w:spacing w:before="20" w:after="40"/>
        <w:contextualSpacing/>
        <w:jc w:val="both"/>
        <w:rPr/>
      </w:pPr>
      <w:r>
        <w:rPr/>
        <w:t xml:space="preserve">Место нахождения: </w:t>
      </w:r>
      <w:r>
        <w:rPr>
          <w:b/>
          <w:i/>
        </w:rPr>
        <w:t>Российская Федерация, Камчатский край, г. Петропавловск-Камчатский.</w:t>
      </w:r>
    </w:p>
    <w:p>
      <w:pPr>
        <w:pStyle w:val="Normal"/>
        <w:spacing w:before="20" w:after="40"/>
        <w:contextualSpacing/>
        <w:jc w:val="both"/>
        <w:rPr/>
      </w:pPr>
      <w:r>
        <w:rPr/>
        <w:t xml:space="preserve">Идентификационный номер налогоплательщика (ИНН) эмитента: </w:t>
      </w:r>
      <w:r>
        <w:rPr>
          <w:b/>
          <w:i/>
        </w:rPr>
        <w:t>4101101796</w:t>
      </w:r>
    </w:p>
    <w:p>
      <w:pPr>
        <w:pStyle w:val="Normal"/>
        <w:jc w:val="both"/>
        <w:rPr/>
      </w:pPr>
      <w:r>
        <w:rPr/>
        <w:t xml:space="preserve">Основной государственный регистрационный номер (ОГРН) эмитента: </w:t>
      </w:r>
      <w:r>
        <w:rPr>
          <w:b/>
          <w:i/>
        </w:rPr>
        <w:t>1054100032744</w:t>
      </w:r>
    </w:p>
    <w:p>
      <w:pPr>
        <w:pStyle w:val="Normal"/>
        <w:spacing w:before="20" w:after="40"/>
        <w:contextualSpacing/>
        <w:jc w:val="both"/>
        <w:rPr>
          <w:highlight w:val="none"/>
          <w:shd w:fill="auto" w:val="clear"/>
        </w:rPr>
      </w:pPr>
      <w:r>
        <w:rPr>
          <w:shd w:fill="auto" w:val="clear"/>
        </w:rPr>
      </w:r>
    </w:p>
    <w:p>
      <w:pPr>
        <w:pStyle w:val="Normal"/>
        <w:spacing w:before="20" w:after="40"/>
        <w:contextualSpacing/>
        <w:jc w:val="both"/>
        <w:rPr>
          <w:highlight w:val="none"/>
          <w:shd w:fill="auto" w:val="clear"/>
        </w:rPr>
      </w:pPr>
      <w:r>
        <w:rPr>
          <w:shd w:fill="auto" w:val="clear"/>
        </w:rPr>
        <w:t xml:space="preserve">Признак права распоряжения голосами, приходящимися на голосующие акции, составляющие уставный капитал эмитента, которым обладает лицо (самостоятельное распоряжение; совместное распоряжение с иными лицами): </w:t>
      </w:r>
      <w:r>
        <w:rPr>
          <w:b/>
          <w:i/>
          <w:shd w:fill="auto" w:val="clear"/>
        </w:rPr>
        <w:t>самостоятельное распоряжение</w:t>
      </w:r>
    </w:p>
    <w:p>
      <w:pPr>
        <w:pStyle w:val="Normal"/>
        <w:spacing w:before="20" w:after="40"/>
        <w:contextualSpacing/>
        <w:jc w:val="both"/>
        <w:rPr>
          <w:highlight w:val="none"/>
          <w:shd w:fill="auto" w:val="clear"/>
        </w:rPr>
      </w:pPr>
      <w:r>
        <w:rPr>
          <w:shd w:fill="auto" w:val="clear"/>
        </w:rPr>
      </w:r>
    </w:p>
    <w:p>
      <w:pPr>
        <w:pStyle w:val="Normal"/>
        <w:spacing w:before="20" w:after="40"/>
        <w:contextualSpacing/>
        <w:jc w:val="both"/>
        <w:rPr/>
      </w:pPr>
      <w:r>
        <w:rPr/>
        <w:t xml:space="preserve">Иные сведения, указываемые эмитентом по собственному усмотрению: </w:t>
      </w:r>
      <w:r>
        <w:rPr>
          <w:b/>
          <w:bCs/>
        </w:rPr>
        <w:t>нет</w:t>
      </w:r>
    </w:p>
    <w:p>
      <w:pPr>
        <w:pStyle w:val="Normal"/>
        <w:spacing w:before="20" w:after="40"/>
        <w:contextualSpacing/>
        <w:jc w:val="both"/>
        <w:rPr>
          <w:b/>
          <w:bCs/>
        </w:rPr>
      </w:pPr>
      <w:r>
        <w:rPr>
          <w:b/>
          <w:bCs/>
          <w:i/>
        </w:rPr>
        <w:t>Изменений в составе информации настоящего пункта между отчетной датой и датой раскрытия соответствующей отчётности, на основе которой в отчёте эмитента раскрывается информация о финансово-хозяйственной деятельности эмитента, не происходило/</w:t>
      </w:r>
    </w:p>
    <w:p>
      <w:pPr>
        <w:pStyle w:val="Normal"/>
        <w:spacing w:before="23" w:after="40"/>
        <w:contextualSpacing/>
        <w:jc w:val="both"/>
        <w:rPr>
          <w:shd w:fill="FFFF00" w:val="clear"/>
        </w:rPr>
      </w:pPr>
      <w:r>
        <w:rPr>
          <w:shd w:fill="FFFF00" w:val="clear"/>
        </w:rPr>
      </w:r>
    </w:p>
    <w:p>
      <w:pPr>
        <w:pStyle w:val="Normal"/>
        <w:spacing w:before="23" w:after="40"/>
        <w:contextualSpacing/>
        <w:jc w:val="both"/>
        <w:rPr>
          <w:shd w:fill="FFFF00" w:val="clear"/>
        </w:rPr>
      </w:pPr>
      <w:r>
        <w:rPr>
          <w:shd w:fill="FFFF00" w:val="clear"/>
        </w:rPr>
      </w:r>
    </w:p>
    <w:p>
      <w:pPr>
        <w:pStyle w:val="Normal"/>
        <w:jc w:val="both"/>
        <w:rPr/>
      </w:pPr>
      <w:r>
        <w:rPr>
          <w:rFonts w:ascii="Times New Roman" w:hAnsi="Times New Roman"/>
          <w:b/>
          <w:bCs/>
          <w:sz w:val="24"/>
        </w:rPr>
        <w:t>3.3. Сведения о доле участия Российской Федерации, субъекта Российской Федерации или муниципального образования в уставном капитале эмитента, наличии специального права (золотой акции)</w:t>
      </w:r>
    </w:p>
    <w:p>
      <w:pPr>
        <w:pStyle w:val="Normal"/>
        <w:jc w:val="both"/>
        <w:rPr/>
      </w:pPr>
      <w:r>
        <w:rPr/>
      </w:r>
    </w:p>
    <w:p>
      <w:pPr>
        <w:pStyle w:val="Normal"/>
        <w:spacing w:before="20" w:after="40"/>
        <w:contextualSpacing/>
        <w:jc w:val="both"/>
        <w:rPr/>
      </w:pPr>
      <w:r>
        <w:rPr/>
        <w:t>Сведения о доле Российской Федерации, субъекта Российской Федерации или муниципального образования в уставном капитале эмитента и специальном праве («золотой акции»):</w:t>
      </w:r>
    </w:p>
    <w:p>
      <w:pPr>
        <w:pStyle w:val="Normal"/>
        <w:spacing w:before="20" w:after="40"/>
        <w:contextualSpacing/>
        <w:jc w:val="both"/>
        <w:rPr/>
      </w:pPr>
      <w:r>
        <w:rPr/>
      </w:r>
    </w:p>
    <w:p>
      <w:pPr>
        <w:pStyle w:val="Normal"/>
        <w:spacing w:before="20" w:after="40"/>
        <w:contextualSpacing/>
        <w:jc w:val="both"/>
        <w:rPr/>
      </w:pPr>
      <w:r>
        <w:rPr/>
        <w:t xml:space="preserve">Размер доли уставного капитала эмитента, находящейся в государственной собственности (федеральной, субъектов Российской Федерации), муниципальной собственности, </w:t>
      </w:r>
      <w:r>
        <w:rPr>
          <w:b/>
          <w:i/>
        </w:rPr>
        <w:t xml:space="preserve">%: 0,056 </w:t>
      </w:r>
    </w:p>
    <w:p>
      <w:pPr>
        <w:pStyle w:val="Normal"/>
        <w:spacing w:before="20" w:after="40"/>
        <w:contextualSpacing/>
        <w:jc w:val="both"/>
        <w:rPr/>
      </w:pPr>
      <w:r>
        <w:rPr/>
      </w:r>
    </w:p>
    <w:p>
      <w:pPr>
        <w:pStyle w:val="Normal"/>
        <w:spacing w:before="20" w:after="40"/>
        <w:contextualSpacing/>
        <w:jc w:val="both"/>
        <w:rPr/>
      </w:pPr>
      <w:r>
        <w:rPr/>
        <w:t xml:space="preserve">Сведения об управляющих государственными, муниципальными пакетами акций: </w:t>
      </w:r>
      <w:r>
        <w:rPr>
          <w:b/>
          <w:i/>
        </w:rPr>
        <w:t>указанных лиц нет</w:t>
      </w:r>
    </w:p>
    <w:p>
      <w:pPr>
        <w:pStyle w:val="Normal"/>
        <w:spacing w:before="20" w:after="40"/>
        <w:contextualSpacing/>
        <w:jc w:val="both"/>
        <w:rPr/>
      </w:pPr>
      <w:r>
        <w:rPr/>
      </w:r>
    </w:p>
    <w:p>
      <w:pPr>
        <w:pStyle w:val="Normal"/>
        <w:spacing w:before="20" w:after="40"/>
        <w:contextualSpacing/>
        <w:jc w:val="both"/>
        <w:rPr/>
      </w:pPr>
      <w:r>
        <w:rPr/>
        <w:t xml:space="preserve">Лица, которые от имени Российской Федерации, субъекта Российской Федерации или муниципального образования осуществляют функции акционера эмитента: </w:t>
      </w:r>
    </w:p>
    <w:p>
      <w:pPr>
        <w:pStyle w:val="Normal"/>
        <w:spacing w:before="20" w:after="40"/>
        <w:contextualSpacing/>
        <w:jc w:val="both"/>
        <w:rPr>
          <w:b/>
          <w:i/>
          <w:i/>
        </w:rPr>
      </w:pPr>
      <w:r>
        <w:rPr>
          <w:b/>
          <w:i/>
        </w:rPr>
      </w:r>
    </w:p>
    <w:p>
      <w:pPr>
        <w:pStyle w:val="Normal"/>
        <w:spacing w:before="20" w:after="40"/>
        <w:contextualSpacing/>
        <w:jc w:val="both"/>
        <w:rPr/>
      </w:pPr>
      <w:r>
        <w:rPr>
          <w:b/>
          <w:i/>
        </w:rPr>
        <w:t xml:space="preserve">Федеральная собственность: </w:t>
      </w:r>
    </w:p>
    <w:p>
      <w:pPr>
        <w:pStyle w:val="Normal"/>
        <w:spacing w:before="20" w:after="40"/>
        <w:contextualSpacing/>
        <w:jc w:val="both"/>
        <w:rPr/>
      </w:pPr>
      <w:r>
        <w:rPr/>
        <w:t xml:space="preserve">Наименование: </w:t>
      </w:r>
      <w:r>
        <w:rPr>
          <w:b/>
          <w:i/>
        </w:rPr>
        <w:t>Камчатский край в лице Министерства имущественных и земельных отношений Камчатского края</w:t>
      </w:r>
    </w:p>
    <w:p>
      <w:pPr>
        <w:pStyle w:val="Normal"/>
        <w:spacing w:before="20" w:after="40"/>
        <w:contextualSpacing/>
        <w:jc w:val="both"/>
        <w:rPr/>
      </w:pPr>
      <w:r>
        <w:rPr/>
        <w:t>Размер доли уставного капитала эмитента, находящейся в государственной (федеральной, субъектов Российской Федерации), %:</w:t>
      </w:r>
      <w:r>
        <w:rPr>
          <w:b/>
          <w:i/>
        </w:rPr>
        <w:t xml:space="preserve"> 0.056</w:t>
      </w:r>
    </w:p>
    <w:p>
      <w:pPr>
        <w:pStyle w:val="Normal"/>
        <w:spacing w:before="20" w:after="40"/>
        <w:contextualSpacing/>
        <w:jc w:val="both"/>
        <w:rPr/>
      </w:pPr>
      <w:r>
        <w:rPr/>
      </w:r>
    </w:p>
    <w:p>
      <w:pPr>
        <w:pStyle w:val="Normal"/>
        <w:spacing w:before="20" w:after="40"/>
        <w:contextualSpacing/>
        <w:jc w:val="both"/>
        <w:rPr/>
      </w:pPr>
      <w:r>
        <w:rPr>
          <w:b/>
          <w:i/>
        </w:rPr>
        <w:t>В уставном капитале эмитента нет долей, находящихся в муниципальной собственности</w:t>
      </w:r>
    </w:p>
    <w:p>
      <w:pPr>
        <w:pStyle w:val="Normal"/>
        <w:spacing w:before="20" w:after="40"/>
        <w:contextualSpacing/>
        <w:jc w:val="both"/>
        <w:rPr/>
      </w:pPr>
      <w:r>
        <w:rPr/>
      </w:r>
    </w:p>
    <w:p>
      <w:pPr>
        <w:pStyle w:val="Normal"/>
        <w:spacing w:before="0" w:after="0"/>
        <w:contextualSpacing/>
        <w:jc w:val="both"/>
        <w:rPr/>
      </w:pPr>
      <w:r>
        <w:rPr/>
        <w:t xml:space="preserve">Сведения о наличии специального права на участие Российской Федерации, субъектов Российской Федерации, муниципальных образований в управлении эмитентом - акционерным обществом ("золотой акции") и сроке действия специального права ("золотой акции"): </w:t>
      </w:r>
      <w:r>
        <w:rPr>
          <w:b/>
          <w:i/>
        </w:rPr>
        <w:t>указанное право не предусмотрено.</w:t>
      </w:r>
    </w:p>
    <w:p>
      <w:pPr>
        <w:pStyle w:val="Normal"/>
        <w:jc w:val="both"/>
        <w:rPr>
          <w:b/>
          <w:bCs/>
        </w:rPr>
      </w:pPr>
      <w:r>
        <w:rPr>
          <w:b/>
          <w:bCs/>
        </w:rPr>
      </w:r>
    </w:p>
    <w:p>
      <w:pPr>
        <w:pStyle w:val="Normal"/>
        <w:spacing w:before="20" w:after="40"/>
        <w:contextualSpacing/>
        <w:jc w:val="both"/>
        <w:rPr/>
      </w:pPr>
      <w:r>
        <w:rPr>
          <w:b/>
          <w:bCs/>
          <w:i/>
          <w:iCs/>
          <w:shd w:fill="auto" w:val="clear"/>
        </w:rPr>
        <w:t>Изменений в составе информации настоящего пункта между отчетной датой и датой раскрытия соответствующей отчётности, на основе которой в отчёте эмитента раскрывается информация о финансово-хозяйственной деятельности эмитента, не происходило.</w:t>
      </w:r>
    </w:p>
    <w:p>
      <w:pPr>
        <w:pStyle w:val="Normal"/>
        <w:jc w:val="both"/>
        <w:rPr>
          <w:highlight w:val="none"/>
          <w:shd w:fill="auto" w:val="clear"/>
        </w:rPr>
      </w:pPr>
      <w:r>
        <w:rPr>
          <w:shd w:fill="auto" w:val="clear"/>
        </w:rPr>
      </w:r>
    </w:p>
    <w:p>
      <w:pPr>
        <w:pStyle w:val="Normal"/>
        <w:jc w:val="both"/>
        <w:rPr>
          <w:highlight w:val="none"/>
          <w:shd w:fill="auto" w:val="clear"/>
        </w:rPr>
      </w:pPr>
      <w:r>
        <w:rPr>
          <w:rFonts w:ascii="Times New Roman" w:hAnsi="Times New Roman"/>
          <w:b/>
          <w:bCs/>
          <w:sz w:val="24"/>
          <w:shd w:fill="auto" w:val="clear"/>
        </w:rPr>
        <w:t>3.4. Сделки эмитента, в совершении которых имелась заинтересованность</w:t>
      </w:r>
    </w:p>
    <w:p>
      <w:pPr>
        <w:pStyle w:val="Normal"/>
        <w:jc w:val="both"/>
        <w:rPr>
          <w:rFonts w:ascii="Times New Roman" w:hAnsi="Times New Roman"/>
          <w:b/>
          <w:bCs/>
          <w:sz w:val="24"/>
          <w:highlight w:val="none"/>
          <w:shd w:fill="auto" w:val="clear"/>
        </w:rPr>
      </w:pPr>
      <w:r>
        <w:rPr>
          <w:rFonts w:ascii="Times New Roman" w:hAnsi="Times New Roman"/>
          <w:b/>
          <w:bCs/>
          <w:sz w:val="24"/>
          <w:shd w:fill="auto" w:val="clear"/>
        </w:rPr>
      </w:r>
    </w:p>
    <w:p>
      <w:pPr>
        <w:pStyle w:val="Normal"/>
        <w:jc w:val="both"/>
        <w:rPr>
          <w:highlight w:val="none"/>
          <w:shd w:fill="auto" w:val="clear"/>
        </w:rPr>
      </w:pPr>
      <w:r>
        <w:rPr>
          <w:rFonts w:cs="Times New Roman"/>
          <w:szCs w:val="20"/>
          <w:shd w:fill="auto" w:val="clear"/>
          <w:lang w:eastAsia="ru-RU"/>
        </w:rPr>
        <w:t xml:space="preserve">Эмитент, акции которого допущены к организованным торгам, приводит перечень совершенных им в отчетном году сделок, признаваемых в соответствии с Федеральным законом "Об акционерных обществах" сделками, в совершении которых имелась заинтересованность, с указанием по каждой сделке заинтересованного лица (заинтересованных лиц), существенных условий и органа управления эмитента, принявшего решение о согласии на ее совершение или ее последующем одобрении (при наличии такого решения). </w:t>
      </w:r>
    </w:p>
    <w:p>
      <w:pPr>
        <w:pStyle w:val="Normal"/>
        <w:spacing w:before="20" w:after="40"/>
        <w:contextualSpacing/>
        <w:jc w:val="both"/>
        <w:rPr>
          <w:highlight w:val="none"/>
          <w:shd w:fill="auto" w:val="clear"/>
        </w:rPr>
      </w:pPr>
      <w:r>
        <w:rPr>
          <w:shd w:fill="auto" w:val="clear"/>
        </w:rPr>
      </w:r>
    </w:p>
    <w:p>
      <w:pPr>
        <w:pStyle w:val="Normal"/>
        <w:spacing w:before="20" w:after="40"/>
        <w:contextualSpacing/>
        <w:jc w:val="both"/>
        <w:rPr>
          <w:highlight w:val="none"/>
          <w:shd w:fill="auto" w:val="clear"/>
        </w:rPr>
      </w:pPr>
      <w:r>
        <w:rPr>
          <w:shd w:fill="auto" w:val="clear"/>
        </w:rPr>
      </w:r>
    </w:p>
    <w:p>
      <w:pPr>
        <w:pStyle w:val="Normal"/>
        <w:spacing w:before="20" w:after="40"/>
        <w:contextualSpacing/>
        <w:jc w:val="both"/>
        <w:rPr>
          <w:highlight w:val="none"/>
          <w:shd w:fill="auto" w:val="clear"/>
        </w:rPr>
      </w:pPr>
      <w:r>
        <w:rPr>
          <w:shd w:fill="auto" w:val="clear"/>
        </w:rPr>
      </w:r>
    </w:p>
    <w:p>
      <w:pPr>
        <w:pStyle w:val="Normal"/>
        <w:spacing w:lineRule="auto" w:line="240"/>
        <w:jc w:val="both"/>
        <w:rPr>
          <w:b w:val="false"/>
          <w:bCs w:val="false"/>
          <w:i w:val="false"/>
          <w:i w:val="false"/>
          <w:iCs w:val="false"/>
        </w:rPr>
      </w:pPr>
      <w:r>
        <w:rPr>
          <w:b w:val="false"/>
          <w:bCs w:val="false"/>
          <w:i w:val="false"/>
          <w:iCs w:val="false"/>
        </w:rPr>
        <w:t>1.</w:t>
      </w:r>
    </w:p>
    <w:p>
      <w:pPr>
        <w:pStyle w:val="Normal"/>
        <w:spacing w:lineRule="auto" w:line="240"/>
        <w:jc w:val="both"/>
        <w:rPr/>
      </w:pPr>
      <w:r>
        <w:rPr>
          <w:b/>
          <w:bCs/>
          <w:i/>
          <w:iCs/>
        </w:rPr>
        <w:t>Договор оказания транспортных услуг № 11600 -АХР ДОР-2025-КамчЭн</w:t>
      </w:r>
    </w:p>
    <w:p>
      <w:pPr>
        <w:pStyle w:val="Normal"/>
        <w:spacing w:lineRule="auto" w:line="240"/>
        <w:jc w:val="both"/>
        <w:rPr/>
      </w:pPr>
      <w:r>
        <w:rPr>
          <w:rFonts w:cs="Times New Roman"/>
          <w:szCs w:val="20"/>
        </w:rPr>
        <w:t xml:space="preserve">Дата совершения сделки, либо дата совершения первой сделки из последовательности взаимосвязанных: </w:t>
      </w:r>
      <w:r>
        <w:rPr>
          <w:rFonts w:cs="Times New Roman"/>
          <w:b/>
          <w:bCs/>
          <w:i/>
          <w:iCs/>
          <w:szCs w:val="20"/>
        </w:rPr>
        <w:t>13.01.2025</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Лицо (лица), признанное (признанные) в соответствии с законодательством Российской Федерации лицом (лицами), заинтересованным (заинтересованными) в совершении сделки:</w:t>
      </w:r>
      <w:r>
        <w:rPr>
          <w:rFonts w:cs="Times New Roman"/>
          <w:b/>
          <w:bCs/>
          <w:i/>
          <w:iCs/>
          <w:szCs w:val="20"/>
        </w:rPr>
        <w:t xml:space="preserve"> </w:t>
      </w:r>
    </w:p>
    <w:p>
      <w:pPr>
        <w:pStyle w:val="Normal"/>
        <w:spacing w:lineRule="auto" w:line="240"/>
        <w:jc w:val="both"/>
        <w:rPr/>
      </w:pPr>
      <w:r>
        <w:rPr>
          <w:rFonts w:cs="Times New Roman"/>
          <w:b/>
          <w:bCs/>
          <w:i/>
          <w:iCs/>
          <w:szCs w:val="20"/>
        </w:rPr>
        <w:t>ПАО «РусГидро» – контролирующее лицо ПАО «Камчатскэнерго» (косвенный контроль), являющееся одновременно контролирующим лицом стороны в сделке – АО «ТК РусГидро» (прямой контроль).</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Существенные условия сделки:</w:t>
      </w:r>
    </w:p>
    <w:p>
      <w:pPr>
        <w:pStyle w:val="16"/>
        <w:widowControl w:val="false"/>
        <w:tabs>
          <w:tab w:val="clear" w:pos="720"/>
          <w:tab w:val="left" w:pos="708" w:leader="none"/>
        </w:tabs>
        <w:bidi w:val="0"/>
        <w:spacing w:lineRule="auto" w:line="240"/>
        <w:ind w:left="0" w:right="0" w:hanging="0"/>
        <w:jc w:val="both"/>
        <w:rPr/>
      </w:pPr>
      <w:r>
        <w:rPr>
          <w:rFonts w:cs="Times New Roman"/>
          <w:b/>
          <w:bCs/>
          <w:i/>
          <w:iCs/>
          <w:szCs w:val="20"/>
          <w:lang w:eastAsia="ru-RU"/>
        </w:rPr>
        <w:t>Стороны Договора: Заказчик – ПАО «Камчатскэнерго»; Исполнитель – АО «ТК РусГидро».</w:t>
      </w:r>
    </w:p>
    <w:p>
      <w:pPr>
        <w:pStyle w:val="16"/>
        <w:widowControl w:val="false"/>
        <w:tabs>
          <w:tab w:val="clear" w:pos="720"/>
          <w:tab w:val="left" w:pos="708" w:leader="none"/>
        </w:tabs>
        <w:bidi w:val="0"/>
        <w:spacing w:lineRule="auto" w:line="240"/>
        <w:ind w:left="0" w:right="0" w:hanging="0"/>
        <w:jc w:val="both"/>
        <w:rPr/>
      </w:pPr>
      <w:r>
        <w:rPr>
          <w:rFonts w:cs="Times New Roman"/>
          <w:b/>
          <w:bCs/>
          <w:i/>
          <w:iCs/>
          <w:szCs w:val="20"/>
          <w:lang w:eastAsia="ru-RU"/>
        </w:rPr>
        <w:t>Предмет Договора: Исполнитель обязуется по заявкам Заказчика, в порядке и сроки, установленные Договором, оказать транспортные услуги, то есть предоставить Заказчику во временное пользование Технику с оказанием услуг по ее технической эксплуатации и управлению (далее – Услуги), согласно Приложению 2 к решению, а Заказчик обязуется Услуги принять и оплатить в соответствии с условиями Договора.</w:t>
      </w:r>
    </w:p>
    <w:p>
      <w:pPr>
        <w:pStyle w:val="16"/>
        <w:widowControl w:val="false"/>
        <w:tabs>
          <w:tab w:val="clear" w:pos="720"/>
          <w:tab w:val="left" w:pos="708" w:leader="none"/>
        </w:tabs>
        <w:bidi w:val="0"/>
        <w:spacing w:lineRule="auto" w:line="240"/>
        <w:ind w:left="0" w:right="0" w:hanging="0"/>
        <w:jc w:val="both"/>
        <w:rPr/>
      </w:pPr>
      <w:r>
        <w:rPr>
          <w:rFonts w:cs="Times New Roman"/>
          <w:b/>
          <w:bCs/>
          <w:i/>
          <w:iCs/>
          <w:szCs w:val="20"/>
          <w:lang w:eastAsia="ru-RU"/>
        </w:rPr>
        <w:t>Цена Договора: составляет 142 981 872 (Сто сорок два миллиона девятьсот восемьдесят одна тысяча восемьсот семьдесят два) рубля 46 копеек без учета НДС, при этом НДС исчисляется дополнительно по ставке, установленной статьей 164 Налогового кодекса РФ.</w:t>
      </w:r>
    </w:p>
    <w:p>
      <w:pPr>
        <w:pStyle w:val="16"/>
        <w:widowControl w:val="false"/>
        <w:tabs>
          <w:tab w:val="clear" w:pos="720"/>
          <w:tab w:val="left" w:pos="708" w:leader="none"/>
        </w:tabs>
        <w:bidi w:val="0"/>
        <w:spacing w:lineRule="auto" w:line="240"/>
        <w:ind w:left="0" w:right="0" w:hanging="0"/>
        <w:jc w:val="both"/>
        <w:rPr/>
      </w:pPr>
      <w:r>
        <w:rPr>
          <w:rFonts w:cs="Times New Roman"/>
          <w:b/>
          <w:bCs/>
          <w:i/>
          <w:iCs/>
          <w:szCs w:val="20"/>
          <w:lang w:eastAsia="ru-RU"/>
        </w:rPr>
        <w:t>Срок оказания услуг: С 01.01.2025 по 31.12.2025.</w:t>
      </w:r>
    </w:p>
    <w:p>
      <w:pPr>
        <w:pStyle w:val="Normal"/>
        <w:spacing w:lineRule="auto" w:line="240"/>
        <w:jc w:val="left"/>
        <w:rPr>
          <w:rFonts w:cs="Times New Roman"/>
          <w:szCs w:val="20"/>
        </w:rPr>
      </w:pPr>
      <w:r>
        <w:rPr>
          <w:rFonts w:cs="Times New Roman"/>
          <w:szCs w:val="20"/>
        </w:rPr>
      </w:r>
    </w:p>
    <w:p>
      <w:pPr>
        <w:pStyle w:val="Normal"/>
        <w:spacing w:lineRule="auto" w:line="240"/>
        <w:jc w:val="left"/>
        <w:rPr/>
      </w:pPr>
      <w:r>
        <w:rPr>
          <w:rFonts w:cs="Times New Roman"/>
          <w:szCs w:val="20"/>
        </w:rPr>
        <w:t>Орган управления эмитента, принявший решение о согласии на ее совершение или ее последующем одобрении:</w:t>
      </w:r>
      <w:r>
        <w:rPr>
          <w:rFonts w:cs="Times New Roman"/>
          <w:b/>
          <w:bCs/>
          <w:i/>
          <w:iCs/>
          <w:szCs w:val="20"/>
        </w:rPr>
        <w:t xml:space="preserve"> Совет директоров ПАО «Камчатскэнерго» (Протокол № 9 от 26.12.2024)</w:t>
      </w:r>
    </w:p>
    <w:p>
      <w:pPr>
        <w:pStyle w:val="Normal"/>
        <w:spacing w:lineRule="auto" w:line="240"/>
        <w:jc w:val="both"/>
        <w:rPr>
          <w:rFonts w:cs="Times New Roman"/>
          <w:szCs w:val="20"/>
        </w:rPr>
      </w:pPr>
      <w:r>
        <w:rPr>
          <w:rFonts w:cs="Times New Roman"/>
          <w:szCs w:val="20"/>
        </w:rPr>
      </w:r>
    </w:p>
    <w:p>
      <w:pPr>
        <w:pStyle w:val="Normal"/>
        <w:spacing w:lineRule="auto" w:line="240"/>
        <w:jc w:val="left"/>
        <w:rPr/>
      </w:pPr>
      <w:r>
        <w:rPr>
          <w:rFonts w:cs="Times New Roman"/>
          <w:szCs w:val="20"/>
        </w:rPr>
        <w:t xml:space="preserve">Размер сделки (группы взаимосвязанных сделок) составлял 2 и более процента балансовой стоимости активов эмитента: </w:t>
      </w:r>
      <w:r>
        <w:rPr>
          <w:rFonts w:cs="Times New Roman"/>
          <w:b/>
          <w:bCs/>
          <w:i/>
          <w:iCs/>
          <w:szCs w:val="20"/>
        </w:rPr>
        <w:t>нет</w:t>
      </w:r>
    </w:p>
    <w:p>
      <w:pPr>
        <w:pStyle w:val="Normal"/>
        <w:spacing w:lineRule="auto" w:line="240"/>
        <w:jc w:val="both"/>
        <w:rPr>
          <w:rFonts w:cs="Times New Roman"/>
          <w:szCs w:val="20"/>
        </w:rPr>
      </w:pPr>
      <w:r>
        <w:rPr>
          <w:rFonts w:cs="Times New Roman"/>
          <w:szCs w:val="20"/>
        </w:rPr>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2.</w:t>
      </w:r>
    </w:p>
    <w:p>
      <w:pPr>
        <w:pStyle w:val="Normal"/>
        <w:spacing w:lineRule="auto" w:line="240"/>
        <w:jc w:val="left"/>
        <w:rPr/>
      </w:pPr>
      <w:r>
        <w:rPr>
          <w:rFonts w:cs="Times New Roman"/>
          <w:b/>
          <w:bCs/>
          <w:i/>
          <w:iCs/>
          <w:szCs w:val="20"/>
        </w:rPr>
        <w:t>Договор по морской перевозке нефтепродуктов № 73600-ОСН ТОПЛИВО-2025-КамчЭн</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 xml:space="preserve">Дата совершения сделки, либо дата совершения первой сделки из последовательности взаимосвязанных: </w:t>
      </w:r>
      <w:r>
        <w:rPr>
          <w:rFonts w:cs="Times New Roman"/>
          <w:b/>
          <w:bCs/>
          <w:i/>
          <w:iCs/>
          <w:szCs w:val="20"/>
        </w:rPr>
        <w:t xml:space="preserve">20.06.2025 </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Лицо (лица), признанное (признанные) в соответствии с законодательством Российской Федерации лицом (лицами), заинтересованным (заинтересованными) в совершении сделки:</w:t>
      </w:r>
      <w:r>
        <w:rPr>
          <w:rFonts w:cs="Times New Roman"/>
          <w:b/>
          <w:bCs/>
          <w:i/>
          <w:iCs/>
          <w:szCs w:val="20"/>
        </w:rPr>
        <w:t xml:space="preserve"> </w:t>
      </w:r>
    </w:p>
    <w:p>
      <w:pPr>
        <w:pStyle w:val="Normal"/>
        <w:spacing w:lineRule="auto" w:line="240"/>
        <w:jc w:val="both"/>
        <w:rPr/>
      </w:pPr>
      <w:r>
        <w:rPr>
          <w:rFonts w:eastAsia="Times New Roman" w:cs="Arial Narrow"/>
          <w:b/>
          <w:bCs/>
          <w:i/>
          <w:iCs/>
          <w:szCs w:val="20"/>
          <w:lang w:bidi="ar-SA"/>
        </w:rPr>
        <w:t xml:space="preserve">АО «РАО ЭС Востока» - контролирующее лицо ПАО «Камчатскэнерго» (прямой контроль), являющееся одновременно контролирующим лицом стороны в сделке – АО «РГ Логистика» (косвенный контроль); </w:t>
      </w:r>
    </w:p>
    <w:p>
      <w:pPr>
        <w:pStyle w:val="Normal"/>
        <w:spacing w:lineRule="auto" w:line="240"/>
        <w:jc w:val="both"/>
        <w:rPr>
          <w:rFonts w:eastAsia="Times New Roman" w:cs="Arial Narrow"/>
          <w:b/>
          <w:bCs/>
          <w:i/>
          <w:i/>
          <w:iCs/>
          <w:szCs w:val="20"/>
          <w:lang w:bidi="ar-SA"/>
        </w:rPr>
      </w:pPr>
      <w:r>
        <w:rPr>
          <w:rFonts w:eastAsia="Times New Roman" w:cs="Arial Narrow"/>
          <w:b/>
          <w:bCs/>
          <w:i/>
          <w:iCs/>
          <w:szCs w:val="20"/>
          <w:lang w:bidi="ar-SA"/>
        </w:rPr>
      </w:r>
    </w:p>
    <w:p>
      <w:pPr>
        <w:pStyle w:val="Normal"/>
        <w:spacing w:lineRule="auto" w:line="240"/>
        <w:jc w:val="both"/>
        <w:rPr/>
      </w:pPr>
      <w:r>
        <w:rPr>
          <w:rFonts w:eastAsia="Times New Roman" w:cs="Arial Narrow"/>
          <w:b/>
          <w:bCs/>
          <w:i/>
          <w:iCs/>
          <w:szCs w:val="20"/>
          <w:lang w:bidi="ar-SA"/>
        </w:rPr>
        <w:t>ПАО «РусГидро» - контролирующее лицо ПАО «Камчатскэнерго» (косвенный контроль), являющееся одновременно контролирующим лицом стороны в сделке – АО «РГ Логистика» (косвенный контроль);</w:t>
      </w:r>
    </w:p>
    <w:p>
      <w:pPr>
        <w:pStyle w:val="Normal"/>
        <w:spacing w:lineRule="auto" w:line="240"/>
        <w:jc w:val="both"/>
        <w:rPr>
          <w:rFonts w:eastAsia="Times New Roman" w:cs="Arial Narrow"/>
          <w:b/>
          <w:bCs/>
          <w:i/>
          <w:i/>
          <w:iCs/>
          <w:color w:val="000000"/>
          <w:szCs w:val="20"/>
          <w:lang w:bidi="ar-SA"/>
        </w:rPr>
      </w:pPr>
      <w:r>
        <w:rPr>
          <w:rFonts w:eastAsia="Times New Roman" w:cs="Arial Narrow"/>
          <w:b/>
          <w:bCs/>
          <w:i/>
          <w:iCs/>
          <w:color w:val="000000"/>
          <w:szCs w:val="20"/>
          <w:lang w:bidi="ar-SA"/>
        </w:rPr>
      </w:r>
    </w:p>
    <w:p>
      <w:pPr>
        <w:pStyle w:val="Normal"/>
        <w:spacing w:lineRule="auto" w:line="240"/>
        <w:jc w:val="both"/>
        <w:rPr/>
      </w:pPr>
      <w:r>
        <w:rPr>
          <w:rFonts w:eastAsia="Times New Roman" w:cs="Arial Narrow"/>
          <w:b/>
          <w:bCs/>
          <w:i/>
          <w:iCs/>
          <w:color w:val="000000"/>
          <w:szCs w:val="20"/>
          <w:lang w:bidi="ar-SA"/>
        </w:rPr>
        <w:t>Ткачёва Н.Н. – член Совета директоров ПАО «Камчатскэнерго», одновременно являющаяся членом Совета директоров стороны в сделке - АО «РГ Логистика»</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Существенные условия сделки:</w:t>
      </w:r>
    </w:p>
    <w:p>
      <w:pPr>
        <w:pStyle w:val="Normal"/>
        <w:spacing w:lineRule="auto" w:line="240"/>
        <w:jc w:val="both"/>
        <w:rPr/>
      </w:pPr>
      <w:r>
        <w:rPr>
          <w:rFonts w:eastAsia="Times New Roman" w:cs="Arial Narrow"/>
          <w:b/>
          <w:bCs/>
          <w:i/>
          <w:iCs/>
          <w:szCs w:val="20"/>
          <w:lang w:bidi="ar-SA"/>
        </w:rPr>
        <w:t>Стороны Договора: Заказчик – ПАО «Камчатскэнерго»; Исполнитель – АО «РГ Логистика».</w:t>
      </w:r>
    </w:p>
    <w:p>
      <w:pPr>
        <w:pStyle w:val="Normal"/>
        <w:spacing w:lineRule="auto" w:line="240"/>
        <w:jc w:val="both"/>
        <w:rPr/>
      </w:pPr>
      <w:r>
        <w:rPr>
          <w:rFonts w:eastAsia="Times New Roman" w:cs="Arial Narrow"/>
          <w:b/>
          <w:bCs/>
          <w:i/>
          <w:iCs/>
          <w:szCs w:val="20"/>
          <w:lang w:bidi="ar-SA"/>
        </w:rPr>
        <w:t>Предмет Договора: Исполнитель обязуется в соответствии с Заданием на оказание Услуг согласно Приложение 3 к решению оказать Заказчику услуги по морской перевозке топочного мазута по маршруту: порт Находка (нефтяной терминал ООО «РН-Морской терминал Находка») – порт Петропавловск-Камчатский (причал для слива жидкого топлива станции ТЭЦ-1 ПАО «Камчатскэнерго») (далее – Услуги), а Заказчик обязуется принять Услуги в соответствии с условиями Договора.</w:t>
      </w:r>
    </w:p>
    <w:p>
      <w:pPr>
        <w:pStyle w:val="Normal"/>
        <w:spacing w:lineRule="auto" w:line="240"/>
        <w:jc w:val="both"/>
        <w:rPr/>
      </w:pPr>
      <w:r>
        <w:rPr>
          <w:rFonts w:eastAsia="Times New Roman" w:cs="Arial Narrow"/>
          <w:b/>
          <w:bCs/>
          <w:i/>
          <w:iCs/>
          <w:szCs w:val="20"/>
          <w:lang w:bidi="ar-SA"/>
        </w:rPr>
        <w:t>Цена Договора: составляет 1 146 596 960 (Один миллиард сто сорок шесть миллионов пятьсот девяносто шесть тысяч девятьсот шестьдесят) рублей 00 копеек без учета НДС, при этом НДС исчисляется дополнительно по ставке, установленной статьей 164 Налогового Кодекса Российской Федерации.</w:t>
      </w:r>
    </w:p>
    <w:p>
      <w:pPr>
        <w:pStyle w:val="Normal"/>
        <w:spacing w:lineRule="auto" w:line="240"/>
        <w:jc w:val="both"/>
        <w:rPr/>
      </w:pPr>
      <w:r>
        <w:rPr>
          <w:rFonts w:eastAsia="Times New Roman" w:cs="Arial Narrow"/>
          <w:b/>
          <w:bCs/>
          <w:i/>
          <w:iCs/>
          <w:szCs w:val="20"/>
          <w:lang w:bidi="ar-SA"/>
        </w:rPr>
        <w:t>Срок оказания Услуг: С 01.03.2025 по 31.12.2025.</w:t>
      </w:r>
    </w:p>
    <w:p>
      <w:pPr>
        <w:pStyle w:val="Normal"/>
        <w:spacing w:lineRule="auto" w:line="240"/>
        <w:jc w:val="left"/>
        <w:rPr>
          <w:rFonts w:cs="Times New Roman"/>
          <w:szCs w:val="20"/>
        </w:rPr>
      </w:pPr>
      <w:r>
        <w:rPr>
          <w:rFonts w:cs="Times New Roman"/>
          <w:szCs w:val="20"/>
        </w:rPr>
      </w:r>
    </w:p>
    <w:p>
      <w:pPr>
        <w:pStyle w:val="Normal"/>
        <w:spacing w:lineRule="auto" w:line="240"/>
        <w:jc w:val="both"/>
        <w:rPr/>
      </w:pPr>
      <w:r>
        <w:rPr>
          <w:rFonts w:cs="Times New Roman"/>
          <w:szCs w:val="20"/>
        </w:rPr>
        <w:t>Орган управления эмитента, принявший решение о согласии на ее совершение или ее последующем одобрении:</w:t>
      </w:r>
      <w:r>
        <w:rPr>
          <w:rFonts w:cs="Times New Roman"/>
          <w:b/>
          <w:bCs/>
          <w:i/>
          <w:iCs/>
          <w:szCs w:val="20"/>
        </w:rPr>
        <w:t>Совет директоров ПАО «Камчатскэнерго» (Протокол № 10 от 28.01.2025)</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 xml:space="preserve">Размер сделки (группы взаимосвязанных сделок) составлял 2 и более процента балансовой стоимости активов эмитента: </w:t>
      </w:r>
      <w:r>
        <w:rPr>
          <w:rFonts w:cs="Times New Roman"/>
          <w:b/>
          <w:bCs/>
          <w:i/>
          <w:iCs/>
          <w:szCs w:val="20"/>
        </w:rPr>
        <w:t>Да</w:t>
      </w:r>
    </w:p>
    <w:p>
      <w:pPr>
        <w:pStyle w:val="Normal"/>
        <w:spacing w:lineRule="auto" w:line="240"/>
        <w:jc w:val="left"/>
        <w:rPr>
          <w:rFonts w:cs="Times New Roman"/>
          <w:b/>
          <w:bCs/>
          <w:i/>
          <w:i/>
          <w:iCs/>
        </w:rPr>
      </w:pPr>
      <w:r>
        <w:rPr>
          <w:rFonts w:cs="Times New Roman"/>
          <w:b/>
          <w:bCs/>
          <w:i/>
          <w:iCs/>
        </w:rPr>
      </w:r>
    </w:p>
    <w:tbl>
      <w:tblPr>
        <w:tblW w:w="9075" w:type="dxa"/>
        <w:jc w:val="left"/>
        <w:tblInd w:w="113" w:type="dxa"/>
        <w:tblLayout w:type="fixed"/>
        <w:tblCellMar>
          <w:top w:w="0" w:type="dxa"/>
          <w:left w:w="72" w:type="dxa"/>
          <w:bottom w:w="0" w:type="dxa"/>
          <w:right w:w="72" w:type="dxa"/>
        </w:tblCellMar>
      </w:tblPr>
      <w:tblGrid>
        <w:gridCol w:w="1648"/>
        <w:gridCol w:w="2101"/>
        <w:gridCol w:w="1692"/>
        <w:gridCol w:w="1144"/>
        <w:gridCol w:w="1569"/>
        <w:gridCol w:w="920"/>
      </w:tblGrid>
      <w:tr>
        <w:trPr/>
        <w:tc>
          <w:tcPr>
            <w:tcW w:w="1648"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Наименование заинтересованного лица</w:t>
            </w:r>
          </w:p>
        </w:tc>
        <w:tc>
          <w:tcPr>
            <w:tcW w:w="2101"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Основание (основания), по которому (по которым) лицо признано заинтересованным в совершении сделки</w:t>
            </w:r>
          </w:p>
        </w:tc>
        <w:tc>
          <w:tcPr>
            <w:tcW w:w="1692"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Доля</w:t>
            </w:r>
          </w:p>
          <w:p>
            <w:pPr>
              <w:pStyle w:val="Normal"/>
              <w:widowControl w:val="false"/>
              <w:tabs>
                <w:tab w:val="clear" w:pos="720"/>
              </w:tabs>
              <w:spacing w:lineRule="auto" w:line="240" w:before="20" w:after="40"/>
              <w:contextualSpacing/>
              <w:jc w:val="both"/>
              <w:rPr>
                <w:sz w:val="16"/>
                <w:szCs w:val="16"/>
              </w:rPr>
            </w:pPr>
            <w:r>
              <w:rPr>
                <w:b/>
                <w:bCs/>
                <w:i/>
                <w:iCs/>
                <w:sz w:val="16"/>
                <w:szCs w:val="16"/>
              </w:rPr>
              <w:t>участия заинтересованного лица в уставном (складочном) капитале эмитента</w:t>
            </w:r>
          </w:p>
          <w:p>
            <w:pPr>
              <w:pStyle w:val="Normal"/>
              <w:widowControl w:val="false"/>
              <w:tabs>
                <w:tab w:val="clear" w:pos="720"/>
              </w:tabs>
              <w:spacing w:lineRule="auto" w:line="240"/>
              <w:jc w:val="both"/>
              <w:rPr>
                <w:sz w:val="16"/>
                <w:szCs w:val="16"/>
              </w:rPr>
            </w:pPr>
            <w:r>
              <w:rPr>
                <w:sz w:val="16"/>
                <w:szCs w:val="16"/>
              </w:rPr>
            </w:r>
          </w:p>
          <w:p>
            <w:pPr>
              <w:pStyle w:val="Normal"/>
              <w:widowControl w:val="false"/>
              <w:tabs>
                <w:tab w:val="clear" w:pos="720"/>
              </w:tabs>
              <w:spacing w:lineRule="auto" w:line="240" w:before="20" w:after="40"/>
              <w:contextualSpacing/>
              <w:jc w:val="both"/>
              <w:rPr>
                <w:sz w:val="16"/>
                <w:szCs w:val="16"/>
              </w:rPr>
            </w:pPr>
            <w:r>
              <w:rPr>
                <w:b/>
                <w:bCs/>
                <w:i/>
                <w:iCs/>
                <w:sz w:val="16"/>
                <w:szCs w:val="16"/>
              </w:rPr>
              <w:t>(по состоянию на дату заключения сделки)</w:t>
            </w:r>
          </w:p>
        </w:tc>
        <w:tc>
          <w:tcPr>
            <w:tcW w:w="1144"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Доля принадлежавших заинтересованному лицу акций эмитента</w:t>
            </w:r>
          </w:p>
        </w:tc>
        <w:tc>
          <w:tcPr>
            <w:tcW w:w="1569"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Доля</w:t>
            </w:r>
          </w:p>
          <w:p>
            <w:pPr>
              <w:pStyle w:val="Normal"/>
              <w:widowControl w:val="false"/>
              <w:tabs>
                <w:tab w:val="clear" w:pos="720"/>
              </w:tabs>
              <w:spacing w:lineRule="auto" w:line="240" w:before="20" w:after="40"/>
              <w:contextualSpacing/>
              <w:jc w:val="both"/>
              <w:rPr>
                <w:sz w:val="16"/>
                <w:szCs w:val="16"/>
              </w:rPr>
            </w:pPr>
            <w:r>
              <w:rPr>
                <w:b/>
                <w:bCs/>
                <w:i/>
                <w:iCs/>
                <w:sz w:val="16"/>
                <w:szCs w:val="16"/>
              </w:rPr>
              <w:t>участия заинтересованного лица в уставном (складочном) капитале юридического лица, являвшегося стороной в сделке</w:t>
            </w:r>
          </w:p>
        </w:tc>
        <w:tc>
          <w:tcPr>
            <w:tcW w:w="920"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Доля принадлежавших заинтересованному лицу акций юридического лица, являвшегося стороной в сделке</w:t>
            </w:r>
          </w:p>
        </w:tc>
      </w:tr>
      <w:tr>
        <w:trPr/>
        <w:tc>
          <w:tcPr>
            <w:tcW w:w="1648"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АО «РАО ЭС Востока»</w:t>
            </w:r>
          </w:p>
        </w:tc>
        <w:tc>
          <w:tcPr>
            <w:tcW w:w="2101"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контролирующее лицо ПАО «Камчатскэнерго» (прямой контроль), являющееся одновременно контролирующим лицом стороны в сделке –</w:t>
            </w:r>
          </w:p>
          <w:p>
            <w:pPr>
              <w:pStyle w:val="Normal"/>
              <w:widowControl w:val="false"/>
              <w:tabs>
                <w:tab w:val="clear" w:pos="720"/>
              </w:tabs>
              <w:spacing w:lineRule="auto" w:line="240" w:before="20" w:after="40"/>
              <w:contextualSpacing/>
              <w:jc w:val="both"/>
              <w:rPr>
                <w:sz w:val="16"/>
                <w:szCs w:val="16"/>
              </w:rPr>
            </w:pPr>
            <w:r>
              <w:rPr>
                <w:b/>
                <w:bCs/>
                <w:i/>
                <w:iCs/>
                <w:sz w:val="16"/>
                <w:szCs w:val="16"/>
              </w:rPr>
              <w:t>ПАО «ДЭК» (прямой контроль)</w:t>
            </w:r>
          </w:p>
        </w:tc>
        <w:tc>
          <w:tcPr>
            <w:tcW w:w="1692"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71,31</w:t>
            </w:r>
          </w:p>
          <w:p>
            <w:pPr>
              <w:pStyle w:val="Normal"/>
              <w:widowControl w:val="false"/>
              <w:tabs>
                <w:tab w:val="clear" w:pos="720"/>
              </w:tabs>
              <w:spacing w:lineRule="auto" w:line="240"/>
              <w:jc w:val="both"/>
              <w:rPr>
                <w:sz w:val="16"/>
                <w:szCs w:val="16"/>
              </w:rPr>
            </w:pPr>
            <w:r>
              <w:rPr>
                <w:b/>
                <w:bCs/>
                <w:i/>
                <w:iCs/>
                <w:sz w:val="16"/>
                <w:szCs w:val="16"/>
              </w:rPr>
              <w:t>(прямое участие)</w:t>
            </w:r>
          </w:p>
          <w:p>
            <w:pPr>
              <w:pStyle w:val="Normal"/>
              <w:widowControl w:val="false"/>
              <w:tabs>
                <w:tab w:val="clear" w:pos="720"/>
              </w:tabs>
              <w:spacing w:lineRule="auto" w:line="240" w:before="0" w:after="0"/>
              <w:contextualSpacing/>
              <w:jc w:val="both"/>
              <w:rPr>
                <w:b/>
                <w:bCs/>
                <w:i/>
                <w:i/>
                <w:iCs/>
                <w:sz w:val="16"/>
                <w:szCs w:val="16"/>
              </w:rPr>
            </w:pPr>
            <w:r>
              <w:rPr>
                <w:b/>
                <w:bCs/>
                <w:i/>
                <w:iCs/>
                <w:sz w:val="16"/>
                <w:szCs w:val="16"/>
              </w:rPr>
            </w:r>
          </w:p>
        </w:tc>
        <w:tc>
          <w:tcPr>
            <w:tcW w:w="1144"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71,31</w:t>
            </w:r>
          </w:p>
        </w:tc>
        <w:tc>
          <w:tcPr>
            <w:tcW w:w="1569"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59,92</w:t>
            </w:r>
          </w:p>
          <w:p>
            <w:pPr>
              <w:pStyle w:val="Normal"/>
              <w:widowControl w:val="false"/>
              <w:tabs>
                <w:tab w:val="clear" w:pos="720"/>
              </w:tabs>
              <w:spacing w:lineRule="auto" w:line="240" w:before="20" w:after="40"/>
              <w:contextualSpacing/>
              <w:jc w:val="both"/>
              <w:rPr>
                <w:sz w:val="16"/>
                <w:szCs w:val="16"/>
              </w:rPr>
            </w:pPr>
            <w:r>
              <w:rPr>
                <w:b/>
                <w:bCs/>
                <w:i/>
                <w:iCs/>
                <w:sz w:val="16"/>
                <w:szCs w:val="16"/>
              </w:rPr>
              <w:t>(прямое участие)</w:t>
            </w:r>
          </w:p>
        </w:tc>
        <w:tc>
          <w:tcPr>
            <w:tcW w:w="920"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59,92</w:t>
            </w:r>
          </w:p>
        </w:tc>
      </w:tr>
      <w:tr>
        <w:trPr/>
        <w:tc>
          <w:tcPr>
            <w:tcW w:w="1648"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ПАО «РусГидро»</w:t>
            </w:r>
          </w:p>
        </w:tc>
        <w:tc>
          <w:tcPr>
            <w:tcW w:w="2101"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контролирующее лицо ПАО «Камчатскэнерго» (косвенный контроль), являющееся одновременно контролирующим лицом стороны в сделке – ПАО «ДЭК» (косвенный контроль)</w:t>
            </w:r>
          </w:p>
        </w:tc>
        <w:tc>
          <w:tcPr>
            <w:tcW w:w="1692"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27,97</w:t>
            </w:r>
          </w:p>
          <w:p>
            <w:pPr>
              <w:pStyle w:val="Normal"/>
              <w:widowControl w:val="false"/>
              <w:tabs>
                <w:tab w:val="clear" w:pos="720"/>
              </w:tabs>
              <w:spacing w:lineRule="auto" w:line="240"/>
              <w:jc w:val="both"/>
              <w:rPr>
                <w:sz w:val="16"/>
                <w:szCs w:val="16"/>
              </w:rPr>
            </w:pPr>
            <w:r>
              <w:rPr>
                <w:b/>
                <w:bCs/>
                <w:i/>
                <w:iCs/>
                <w:sz w:val="16"/>
                <w:szCs w:val="16"/>
              </w:rPr>
              <w:t>(прямое участие)</w:t>
            </w:r>
          </w:p>
          <w:p>
            <w:pPr>
              <w:pStyle w:val="Normal"/>
              <w:widowControl w:val="false"/>
              <w:tabs>
                <w:tab w:val="clear" w:pos="720"/>
              </w:tabs>
              <w:spacing w:lineRule="auto" w:line="240"/>
              <w:jc w:val="both"/>
              <w:rPr>
                <w:sz w:val="16"/>
                <w:szCs w:val="16"/>
              </w:rPr>
            </w:pPr>
            <w:r>
              <w:rPr>
                <w:b/>
                <w:bCs/>
                <w:i/>
                <w:iCs/>
                <w:sz w:val="16"/>
                <w:szCs w:val="16"/>
              </w:rPr>
              <w:t>98,95</w:t>
            </w:r>
          </w:p>
          <w:p>
            <w:pPr>
              <w:pStyle w:val="Normal"/>
              <w:widowControl w:val="false"/>
              <w:tabs>
                <w:tab w:val="clear" w:pos="720"/>
              </w:tabs>
              <w:spacing w:lineRule="auto" w:line="240" w:before="20" w:after="40"/>
              <w:contextualSpacing/>
              <w:jc w:val="both"/>
              <w:rPr>
                <w:sz w:val="16"/>
                <w:szCs w:val="16"/>
              </w:rPr>
            </w:pPr>
            <w:r>
              <w:rPr>
                <w:b/>
                <w:bCs/>
                <w:i/>
                <w:iCs/>
                <w:sz w:val="16"/>
                <w:szCs w:val="16"/>
              </w:rPr>
              <w:t>(косвенное участие)</w:t>
            </w:r>
          </w:p>
        </w:tc>
        <w:tc>
          <w:tcPr>
            <w:tcW w:w="1144"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27,97</w:t>
            </w:r>
          </w:p>
        </w:tc>
        <w:tc>
          <w:tcPr>
            <w:tcW w:w="1569"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89,28</w:t>
            </w:r>
          </w:p>
          <w:p>
            <w:pPr>
              <w:pStyle w:val="Normal"/>
              <w:widowControl w:val="false"/>
              <w:tabs>
                <w:tab w:val="clear" w:pos="720"/>
              </w:tabs>
              <w:spacing w:lineRule="auto" w:line="240" w:before="20" w:after="40"/>
              <w:contextualSpacing/>
              <w:jc w:val="both"/>
              <w:rPr>
                <w:sz w:val="16"/>
                <w:szCs w:val="16"/>
              </w:rPr>
            </w:pPr>
            <w:r>
              <w:rPr>
                <w:b/>
                <w:bCs/>
                <w:i/>
                <w:iCs/>
                <w:sz w:val="16"/>
                <w:szCs w:val="16"/>
              </w:rPr>
              <w:t>(косвенное участие)</w:t>
            </w:r>
          </w:p>
        </w:tc>
        <w:tc>
          <w:tcPr>
            <w:tcW w:w="920"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0</w:t>
            </w:r>
          </w:p>
        </w:tc>
      </w:tr>
      <w:tr>
        <w:trPr/>
        <w:tc>
          <w:tcPr>
            <w:tcW w:w="1648" w:type="dxa"/>
            <w:tcBorders>
              <w:left w:val="single" w:sz="6" w:space="0" w:color="000000"/>
              <w:bottom w:val="single" w:sz="6" w:space="0" w:color="000000"/>
              <w:right w:val="single" w:sz="6" w:space="0" w:color="000000"/>
            </w:tcBorders>
          </w:tcPr>
          <w:p>
            <w:pPr>
              <w:pStyle w:val="Normal"/>
              <w:widowControl w:val="false"/>
              <w:shd w:fill="FFFFFF"/>
              <w:tabs>
                <w:tab w:val="clear" w:pos="720"/>
                <w:tab w:val="left" w:pos="426" w:leader="none"/>
              </w:tabs>
              <w:spacing w:lineRule="auto" w:line="240" w:before="23" w:after="40"/>
              <w:contextualSpacing/>
              <w:jc w:val="both"/>
              <w:rPr>
                <w:sz w:val="16"/>
                <w:szCs w:val="16"/>
              </w:rPr>
            </w:pPr>
            <w:r>
              <w:rPr>
                <w:b/>
                <w:bCs/>
                <w:i/>
                <w:iCs/>
                <w:sz w:val="16"/>
                <w:szCs w:val="16"/>
              </w:rPr>
              <w:t>Ткачёва Н.Н.</w:t>
            </w:r>
          </w:p>
        </w:tc>
        <w:tc>
          <w:tcPr>
            <w:tcW w:w="2101" w:type="dxa"/>
            <w:tcBorders>
              <w:left w:val="single" w:sz="6" w:space="0" w:color="000000"/>
              <w:bottom w:val="single" w:sz="6" w:space="0" w:color="000000"/>
              <w:right w:val="single" w:sz="6" w:space="0" w:color="000000"/>
            </w:tcBorders>
          </w:tcPr>
          <w:p>
            <w:pPr>
              <w:pStyle w:val="Normal"/>
              <w:widowControl w:val="false"/>
              <w:shd w:fill="FFFFFF"/>
              <w:tabs>
                <w:tab w:val="clear" w:pos="720"/>
                <w:tab w:val="left" w:pos="426" w:leader="none"/>
              </w:tabs>
              <w:spacing w:lineRule="auto" w:line="240" w:before="23" w:after="40"/>
              <w:contextualSpacing/>
              <w:jc w:val="both"/>
              <w:rPr>
                <w:sz w:val="16"/>
                <w:szCs w:val="16"/>
              </w:rPr>
            </w:pPr>
            <w:r>
              <w:rPr>
                <w:b/>
                <w:bCs/>
                <w:i/>
                <w:iCs/>
                <w:sz w:val="16"/>
                <w:szCs w:val="16"/>
              </w:rPr>
              <w:t>член Совета директоров ПАО «Камчатскэнерго», одновременно являющаяся членом Совета директоров стороны в сделке - АО «РГ Логистика»</w:t>
            </w:r>
          </w:p>
        </w:tc>
        <w:tc>
          <w:tcPr>
            <w:tcW w:w="1692" w:type="dxa"/>
            <w:tcBorders>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0</w:t>
            </w:r>
          </w:p>
        </w:tc>
        <w:tc>
          <w:tcPr>
            <w:tcW w:w="1144" w:type="dxa"/>
            <w:tcBorders>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0</w:t>
            </w:r>
          </w:p>
        </w:tc>
        <w:tc>
          <w:tcPr>
            <w:tcW w:w="1569" w:type="dxa"/>
            <w:tcBorders>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0</w:t>
            </w:r>
          </w:p>
        </w:tc>
        <w:tc>
          <w:tcPr>
            <w:tcW w:w="920" w:type="dxa"/>
            <w:tcBorders>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0</w:t>
            </w:r>
          </w:p>
        </w:tc>
      </w:tr>
    </w:tbl>
    <w:p>
      <w:pPr>
        <w:pStyle w:val="Normal"/>
        <w:widowControl w:val="false"/>
        <w:spacing w:lineRule="auto" w:line="240"/>
        <w:jc w:val="both"/>
        <w:rPr>
          <w:rFonts w:cs="Times New Roman"/>
          <w:sz w:val="16"/>
          <w:szCs w:val="16"/>
        </w:rPr>
      </w:pPr>
      <w:r>
        <w:rPr>
          <w:rFonts w:cs="Times New Roman"/>
          <w:sz w:val="16"/>
          <w:szCs w:val="16"/>
        </w:rPr>
      </w:r>
    </w:p>
    <w:p>
      <w:pPr>
        <w:pStyle w:val="Normal"/>
        <w:widowControl w:val="false"/>
        <w:spacing w:lineRule="auto" w:line="240"/>
        <w:jc w:val="both"/>
        <w:rPr>
          <w:rFonts w:cs="Times New Roman"/>
          <w:sz w:val="16"/>
          <w:szCs w:val="16"/>
        </w:rPr>
      </w:pPr>
      <w:r>
        <w:rPr>
          <w:rFonts w:cs="Times New Roman"/>
          <w:sz w:val="16"/>
          <w:szCs w:val="16"/>
        </w:rPr>
      </w:r>
    </w:p>
    <w:p>
      <w:pPr>
        <w:pStyle w:val="Normal"/>
        <w:widowControl w:val="false"/>
        <w:spacing w:lineRule="auto" w:line="240"/>
        <w:jc w:val="both"/>
        <w:rPr>
          <w:rFonts w:cs="Times New Roman"/>
          <w:sz w:val="16"/>
          <w:szCs w:val="16"/>
        </w:rPr>
      </w:pPr>
      <w:r>
        <w:rPr>
          <w:rFonts w:cs="Times New Roman"/>
          <w:sz w:val="16"/>
          <w:szCs w:val="16"/>
        </w:rPr>
      </w:r>
    </w:p>
    <w:p>
      <w:pPr>
        <w:pStyle w:val="Normal"/>
        <w:widowControl w:val="false"/>
        <w:spacing w:lineRule="auto" w:line="240"/>
        <w:jc w:val="both"/>
        <w:rPr>
          <w:rFonts w:cs="Times New Roman"/>
          <w:sz w:val="16"/>
          <w:szCs w:val="16"/>
        </w:rPr>
      </w:pPr>
      <w:r>
        <w:rPr>
          <w:rFonts w:cs="Times New Roman"/>
          <w:sz w:val="16"/>
          <w:szCs w:val="16"/>
        </w:rPr>
      </w:r>
    </w:p>
    <w:p>
      <w:pPr>
        <w:pStyle w:val="Normal"/>
        <w:spacing w:lineRule="auto" w:line="240"/>
        <w:jc w:val="left"/>
        <w:rPr/>
      </w:pPr>
      <w:r>
        <w:rPr>
          <w:rFonts w:cs="Times New Roman"/>
          <w:szCs w:val="20"/>
        </w:rPr>
        <w:t>3.</w:t>
      </w:r>
    </w:p>
    <w:p>
      <w:pPr>
        <w:pStyle w:val="Normal"/>
        <w:spacing w:lineRule="auto" w:line="240"/>
        <w:ind w:left="0" w:right="0" w:hanging="0"/>
        <w:jc w:val="both"/>
        <w:rPr/>
      </w:pPr>
      <w:r>
        <w:rPr>
          <w:rFonts w:eastAsia="Times New Roman" w:cs="Arial Narrow"/>
          <w:b/>
          <w:bCs/>
          <w:i/>
          <w:iCs/>
          <w:szCs w:val="20"/>
          <w:lang w:bidi="ar-SA"/>
        </w:rPr>
        <w:t>Дополнительное соглашение № 3 к Договору подряда на выполнение проектно-изыскательских работ от 22.12.2023 № 115800-ТПИР ОБСЛ-2023-КамчЭн</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 xml:space="preserve">Дата совершения сделки, либо дата совершения первой сделки из последовательности взаимосвязанных: </w:t>
      </w:r>
      <w:r>
        <w:rPr>
          <w:rFonts w:eastAsia="Times New Roman" w:cs="Arial Narrow"/>
          <w:b/>
          <w:bCs/>
          <w:i/>
          <w:iCs/>
          <w:szCs w:val="20"/>
          <w:lang w:bidi="ar-SA"/>
        </w:rPr>
        <w:t>13.03.2025</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Лицо (лица), признанное (признанные) в соответствии с законодательством Российской Федерации лицом (лицами), заинтересованным (заинтересованными) в совершении сделки:</w:t>
      </w:r>
      <w:r>
        <w:rPr>
          <w:rFonts w:cs="Times New Roman"/>
          <w:b/>
          <w:bCs/>
          <w:i/>
          <w:iCs/>
          <w:szCs w:val="20"/>
        </w:rPr>
        <w:t xml:space="preserve"> </w:t>
      </w:r>
    </w:p>
    <w:p>
      <w:pPr>
        <w:pStyle w:val="Normal"/>
        <w:spacing w:lineRule="auto" w:line="240"/>
        <w:jc w:val="both"/>
        <w:rPr/>
      </w:pPr>
      <w:r>
        <w:rPr>
          <w:rFonts w:eastAsia="Times New Roman" w:cs="Arial Narrow"/>
          <w:b/>
          <w:bCs/>
          <w:i/>
          <w:iCs/>
          <w:szCs w:val="20"/>
          <w:lang w:bidi="ar-SA"/>
        </w:rPr>
        <w:t>ПАО «РусГидро» - контролирующее лицо ПАО «Камчатскэнерго» (косвенный контроль), являющееся одновременно контролирующим лицом стороны в сделке – АО «Ленгидропроект» (прямой контроль).</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Существенные условия сделки:</w:t>
      </w:r>
    </w:p>
    <w:p>
      <w:pPr>
        <w:pStyle w:val="Normal"/>
        <w:spacing w:lineRule="auto" w:line="240"/>
        <w:jc w:val="both"/>
        <w:rPr/>
      </w:pPr>
      <w:r>
        <w:rPr>
          <w:rFonts w:eastAsia="Times New Roman" w:cs="Arial Narrow"/>
          <w:b/>
          <w:bCs/>
          <w:i/>
          <w:iCs/>
          <w:szCs w:val="20"/>
          <w:lang w:bidi="ar-SA"/>
        </w:rPr>
        <w:t>Стороны Дополнительного соглашения: Заказчик - ПАО «Камчатскэнерго»;</w:t>
      </w:r>
    </w:p>
    <w:p>
      <w:pPr>
        <w:pStyle w:val="Normal"/>
        <w:spacing w:lineRule="auto" w:line="240"/>
        <w:jc w:val="both"/>
        <w:rPr/>
      </w:pPr>
      <w:r>
        <w:rPr>
          <w:rFonts w:eastAsia="Times New Roman" w:cs="Arial Narrow"/>
          <w:b/>
          <w:bCs/>
          <w:i/>
          <w:iCs/>
          <w:szCs w:val="20"/>
          <w:lang w:bidi="ar-SA"/>
        </w:rPr>
        <w:t>Подрядчик - АО «Ленгидропроект».</w:t>
      </w:r>
    </w:p>
    <w:p>
      <w:pPr>
        <w:pStyle w:val="Normal"/>
        <w:spacing w:lineRule="auto" w:line="240"/>
        <w:jc w:val="both"/>
        <w:rPr/>
      </w:pPr>
      <w:r>
        <w:rPr>
          <w:rFonts w:eastAsia="Times New Roman" w:cs="Arial Narrow"/>
          <w:b/>
          <w:bCs/>
          <w:i/>
          <w:iCs/>
          <w:szCs w:val="20"/>
          <w:lang w:bidi="ar-SA"/>
        </w:rPr>
        <w:t>Предмет Дополнительного соглашения: Внесение следующих изменений в Договор: 1. Изложить подпункт 1.6.2 пункта 1.6 Договора в следующей редакции: «1.6.2. окончание выполнения Работ: 23 сентября 2026 года.».</w:t>
      </w:r>
    </w:p>
    <w:p>
      <w:pPr>
        <w:pStyle w:val="Normal"/>
        <w:spacing w:lineRule="auto" w:line="240"/>
        <w:jc w:val="both"/>
        <w:rPr/>
      </w:pPr>
      <w:r>
        <w:rPr>
          <w:rFonts w:eastAsia="Times New Roman" w:cs="Arial Narrow"/>
          <w:b/>
          <w:bCs/>
          <w:i/>
          <w:iCs/>
          <w:szCs w:val="20"/>
          <w:lang w:bidi="ar-SA"/>
        </w:rPr>
        <w:t>2. Внести изменения в Техническое задание согласно Приложению 2 к решению.</w:t>
      </w:r>
    </w:p>
    <w:p>
      <w:pPr>
        <w:pStyle w:val="Normal"/>
        <w:spacing w:lineRule="auto" w:line="240"/>
        <w:jc w:val="both"/>
        <w:rPr/>
      </w:pPr>
      <w:r>
        <w:rPr>
          <w:rFonts w:eastAsia="Times New Roman" w:cs="Arial Narrow"/>
          <w:b/>
          <w:bCs/>
          <w:i/>
          <w:iCs/>
          <w:szCs w:val="20"/>
          <w:lang w:bidi="ar-SA"/>
        </w:rPr>
        <w:t>Цена Договора (с учетом Дополнительного соглашения):</w:t>
      </w:r>
    </w:p>
    <w:p>
      <w:pPr>
        <w:pStyle w:val="Normal"/>
        <w:spacing w:lineRule="auto" w:line="240"/>
        <w:jc w:val="both"/>
        <w:rPr/>
      </w:pPr>
      <w:r>
        <w:rPr>
          <w:rFonts w:eastAsia="Times New Roman" w:cs="Arial Narrow"/>
          <w:b/>
          <w:bCs/>
          <w:i/>
          <w:iCs/>
          <w:szCs w:val="20"/>
          <w:lang w:bidi="ar-SA"/>
        </w:rPr>
        <w:t>не меняется, является предельной и составляет 385 200 000 (Триста восемьдесят пять миллионов двести тысяч) рублей 00 копеек, без учета НДС, при этом НДС исчисляется дополнительно по ставке, установленной статьей 164 Налогового кодекса РФ.</w:t>
      </w:r>
    </w:p>
    <w:p>
      <w:pPr>
        <w:pStyle w:val="Normal"/>
        <w:spacing w:lineRule="auto" w:line="240"/>
        <w:jc w:val="both"/>
        <w:rPr/>
      </w:pPr>
      <w:r>
        <w:rPr>
          <w:rFonts w:eastAsia="Times New Roman" w:cs="Arial Narrow"/>
          <w:b/>
          <w:bCs/>
          <w:i/>
          <w:iCs/>
          <w:szCs w:val="20"/>
          <w:lang w:bidi="ar-SA"/>
        </w:rPr>
        <w:t>Срок выполнения Работ (с учетом Дополнительного соглашения): Начало выполнения Работ: С даты, следующей за датой заключения Договора</w:t>
      </w:r>
    </w:p>
    <w:p>
      <w:pPr>
        <w:pStyle w:val="Normal"/>
        <w:spacing w:lineRule="auto" w:line="240"/>
        <w:jc w:val="both"/>
        <w:rPr/>
      </w:pPr>
      <w:r>
        <w:rPr>
          <w:rFonts w:eastAsia="Times New Roman" w:cs="Arial Narrow"/>
          <w:b/>
          <w:bCs/>
          <w:i/>
          <w:iCs/>
          <w:szCs w:val="20"/>
          <w:lang w:bidi="ar-SA"/>
        </w:rPr>
        <w:t>Окончание выполнения Работ: 23.09.2026.</w:t>
      </w:r>
    </w:p>
    <w:p>
      <w:pPr>
        <w:pStyle w:val="Normal"/>
        <w:spacing w:lineRule="auto" w:line="240"/>
        <w:jc w:val="both"/>
        <w:rPr/>
      </w:pPr>
      <w:r>
        <w:rPr>
          <w:rFonts w:eastAsia="Times New Roman" w:cs="Arial Narrow"/>
          <w:b/>
          <w:bCs/>
          <w:i/>
          <w:iCs/>
          <w:szCs w:val="20"/>
          <w:lang w:bidi="ar-SA"/>
        </w:rPr>
        <w:t>Срок действия Дополнительного соглашения: Дополнительное соглашение вступает в силу с даты его подписания Сторонами. В соответствии с пунктом 2 статьи 425 Гражданского кодекса Российской Федерации, условия Дополнительного соглашения применяются к отношениям Сторон, возникшим с 22.02.2024.</w:t>
      </w:r>
    </w:p>
    <w:p>
      <w:pPr>
        <w:pStyle w:val="Normal"/>
        <w:spacing w:lineRule="auto" w:line="240"/>
        <w:jc w:val="left"/>
        <w:rPr>
          <w:rFonts w:cs="Times New Roman"/>
          <w:szCs w:val="20"/>
        </w:rPr>
      </w:pPr>
      <w:r>
        <w:rPr>
          <w:rFonts w:cs="Times New Roman"/>
          <w:szCs w:val="20"/>
        </w:rPr>
      </w:r>
    </w:p>
    <w:p>
      <w:pPr>
        <w:pStyle w:val="Normal"/>
        <w:spacing w:lineRule="auto" w:line="240"/>
        <w:jc w:val="both"/>
        <w:rPr/>
      </w:pPr>
      <w:r>
        <w:rPr>
          <w:rFonts w:cs="Times New Roman"/>
          <w:szCs w:val="20"/>
        </w:rPr>
        <w:t xml:space="preserve">Орган управления эмитента, принявший решение о согласии на ее совершение или ее последующем одобрении: </w:t>
      </w:r>
      <w:r>
        <w:rPr>
          <w:rFonts w:cs="Times New Roman"/>
          <w:b/>
          <w:bCs/>
          <w:i/>
          <w:iCs/>
          <w:szCs w:val="20"/>
        </w:rPr>
        <w:t>Совет директоров ПАО «Камчатскэнерго» (Протокол № 12 от 06.03.2025)</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 xml:space="preserve">Размер сделки (группы взаимосвязанных сделок) составлял 2 и более процента балансовой стоимости активов эмитента: </w:t>
      </w:r>
      <w:r>
        <w:rPr>
          <w:rFonts w:cs="Times New Roman"/>
          <w:b/>
          <w:bCs/>
          <w:i/>
          <w:iCs/>
          <w:szCs w:val="20"/>
        </w:rPr>
        <w:t>Нет</w:t>
      </w:r>
    </w:p>
    <w:p>
      <w:pPr>
        <w:pStyle w:val="Normal"/>
        <w:spacing w:lineRule="auto" w:line="240"/>
        <w:jc w:val="both"/>
        <w:rPr>
          <w:rFonts w:cs="Times New Roman"/>
          <w:szCs w:val="20"/>
        </w:rPr>
      </w:pPr>
      <w:r>
        <w:rPr>
          <w:rFonts w:cs="Times New Roman"/>
          <w:szCs w:val="20"/>
        </w:rPr>
      </w:r>
    </w:p>
    <w:p>
      <w:pPr>
        <w:pStyle w:val="Normal"/>
        <w:spacing w:lineRule="auto" w:line="240"/>
        <w:jc w:val="left"/>
        <w:rPr/>
      </w:pPr>
      <w:r>
        <w:rPr>
          <w:rFonts w:cs="Times New Roman"/>
          <w:szCs w:val="20"/>
        </w:rPr>
        <w:t>4.</w:t>
      </w:r>
    </w:p>
    <w:p>
      <w:pPr>
        <w:pStyle w:val="Normal"/>
        <w:tabs>
          <w:tab w:val="clear" w:pos="720"/>
          <w:tab w:val="left" w:pos="708" w:leader="none"/>
        </w:tabs>
        <w:spacing w:lineRule="auto" w:line="240"/>
        <w:jc w:val="left"/>
        <w:rPr/>
      </w:pPr>
      <w:r>
        <w:rPr>
          <w:rFonts w:cs="Times New Roman"/>
          <w:b/>
          <w:bCs/>
          <w:i/>
          <w:iCs/>
          <w:szCs w:val="20"/>
        </w:rPr>
        <w:t>Договор подряда № 49200-ТПИР ОБСЛ-2024-КамчЭн</w:t>
      </w:r>
    </w:p>
    <w:p>
      <w:pPr>
        <w:pStyle w:val="Normal"/>
        <w:spacing w:lineRule="auto" w:line="240"/>
        <w:jc w:val="both"/>
        <w:rPr/>
      </w:pPr>
      <w:r>
        <w:rPr>
          <w:rFonts w:cs="Times New Roman"/>
          <w:szCs w:val="20"/>
        </w:rPr>
        <w:t>Дата совершения сделки, либо дата совершения первой сделки из последовательности взаимосвязанных:</w:t>
      </w:r>
      <w:r>
        <w:rPr>
          <w:rFonts w:eastAsia="Times New Roman" w:cs="Arial Narrow" w:ascii="Arial Narrow" w:hAnsi="Arial Narrow"/>
          <w:color w:val="000000"/>
          <w:sz w:val="20"/>
          <w:szCs w:val="20"/>
          <w:lang w:eastAsia="zh-CN" w:bidi="ar-SA"/>
        </w:rPr>
        <w:t xml:space="preserve"> </w:t>
      </w:r>
      <w:r>
        <w:rPr>
          <w:rFonts w:cs="Times New Roman"/>
          <w:b/>
          <w:bCs/>
          <w:i/>
          <w:iCs/>
          <w:szCs w:val="20"/>
        </w:rPr>
        <w:t>16.06.2025</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Лицо (лица), признанное (признанные) в соответствии с законодательством Российской Федерации лицом (лицами), заинтересованным (заинтересованными) в совершении сделки:</w:t>
      </w:r>
      <w:r>
        <w:rPr>
          <w:rFonts w:cs="Times New Roman"/>
          <w:b/>
          <w:bCs/>
          <w:i/>
          <w:iCs/>
          <w:szCs w:val="20"/>
        </w:rPr>
        <w:t xml:space="preserve"> </w:t>
      </w:r>
    </w:p>
    <w:p>
      <w:pPr>
        <w:pStyle w:val="Normal"/>
        <w:spacing w:lineRule="auto" w:line="240"/>
        <w:jc w:val="both"/>
        <w:rPr/>
      </w:pPr>
      <w:r>
        <w:rPr>
          <w:rFonts w:cs="Times New Roman"/>
          <w:b/>
          <w:bCs/>
          <w:i/>
          <w:iCs/>
          <w:szCs w:val="20"/>
        </w:rPr>
        <w:t>ПАО «РусГидро» - контролирующее лицо ПАО «Камчатскэнерго» (косвенный контроль), являющееся одновременно контролирующим лицом стороны в сделке – АО «Гидроремонт-ВКК» (прямой контроль).</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Существенные условия сделки:</w:t>
      </w:r>
    </w:p>
    <w:p>
      <w:pPr>
        <w:pStyle w:val="Normal"/>
        <w:tabs>
          <w:tab w:val="clear" w:pos="720"/>
          <w:tab w:val="left" w:pos="708" w:leader="none"/>
        </w:tabs>
        <w:spacing w:lineRule="auto" w:line="240"/>
        <w:jc w:val="both"/>
        <w:rPr/>
      </w:pPr>
      <w:r>
        <w:rPr>
          <w:rFonts w:cs="Times New Roman"/>
          <w:b/>
          <w:bCs/>
          <w:i/>
          <w:iCs/>
          <w:szCs w:val="20"/>
        </w:rPr>
        <w:t>Стороны Договора: Заказчик – ПАО «Камчатскэнерго»; Подрядчик – АО «Гидроремонт-ВКК».</w:t>
      </w:r>
    </w:p>
    <w:p>
      <w:pPr>
        <w:pStyle w:val="Normal"/>
        <w:tabs>
          <w:tab w:val="clear" w:pos="720"/>
          <w:tab w:val="left" w:pos="708" w:leader="none"/>
        </w:tabs>
        <w:spacing w:lineRule="auto" w:line="240"/>
        <w:jc w:val="both"/>
        <w:rPr/>
      </w:pPr>
      <w:r>
        <w:rPr>
          <w:rFonts w:cs="Times New Roman"/>
          <w:b/>
          <w:bCs/>
          <w:i/>
          <w:iCs/>
          <w:szCs w:val="20"/>
        </w:rPr>
        <w:t>Предмет Договора: Подрядчик обязуется по заданию Заказчика в соответствии с Техническим заданием (Приложение 6 к решению) выполнить работы по монтажу инженерно-технических средств охраны (ИТСО) Каскада ГЭС на р. Толмачева в рамках инвестиционного проекта K_509-2024 (далее – Работы), в том числе осуществить поставку Оборудования согласно Спецификации Оборудования, а также сдать Результат Работ Заказчику, а Заказчик обязуется осуществить приемку поставленного Подрядчиком Оборудования, создать Подрядчику указанные в Договоре условия для выполнения Работ, принять Результат Работ и уплатить Цену Договора.</w:t>
      </w:r>
    </w:p>
    <w:p>
      <w:pPr>
        <w:pStyle w:val="Normal"/>
        <w:tabs>
          <w:tab w:val="clear" w:pos="720"/>
          <w:tab w:val="left" w:pos="708" w:leader="none"/>
        </w:tabs>
        <w:spacing w:lineRule="auto" w:line="240"/>
        <w:jc w:val="both"/>
        <w:rPr/>
      </w:pPr>
      <w:r>
        <w:rPr>
          <w:rFonts w:cs="Times New Roman"/>
          <w:b/>
          <w:bCs/>
          <w:i/>
          <w:iCs/>
          <w:szCs w:val="20"/>
        </w:rPr>
        <w:t>Цена Договора: является предельной и составляет 109 106 080 (Сто девять миллионов сто шесть тысяч восемьдесят) рублей 00 копеек без учёта НДС, при этом НДС исчисляется дополнительно по ставке, установленной статьей 164 Налогового кодекса Российской Федерации.</w:t>
      </w:r>
    </w:p>
    <w:p>
      <w:pPr>
        <w:pStyle w:val="Normal"/>
        <w:tabs>
          <w:tab w:val="clear" w:pos="720"/>
          <w:tab w:val="left" w:pos="708" w:leader="none"/>
        </w:tabs>
        <w:spacing w:lineRule="auto" w:line="240"/>
        <w:jc w:val="both"/>
        <w:rPr/>
      </w:pPr>
      <w:r>
        <w:rPr>
          <w:rFonts w:cs="Times New Roman"/>
          <w:b/>
          <w:bCs/>
          <w:i/>
          <w:iCs/>
          <w:szCs w:val="20"/>
        </w:rPr>
        <w:t>Срок выполнения Работ: Начало выполнения Работ: С даты, следующей за датой заключения Договора.</w:t>
      </w:r>
    </w:p>
    <w:p>
      <w:pPr>
        <w:pStyle w:val="Normal"/>
        <w:tabs>
          <w:tab w:val="clear" w:pos="720"/>
          <w:tab w:val="left" w:pos="708" w:leader="none"/>
        </w:tabs>
        <w:spacing w:lineRule="auto" w:line="240"/>
        <w:jc w:val="both"/>
        <w:rPr/>
      </w:pPr>
      <w:r>
        <w:rPr>
          <w:rFonts w:cs="Times New Roman"/>
          <w:b/>
          <w:bCs/>
          <w:i/>
          <w:iCs/>
          <w:szCs w:val="20"/>
        </w:rPr>
        <w:t>Окончание выполнения Работ: До 10.12.2026.</w:t>
      </w:r>
    </w:p>
    <w:p>
      <w:pPr>
        <w:pStyle w:val="Normal"/>
        <w:spacing w:lineRule="auto" w:line="240"/>
        <w:jc w:val="left"/>
        <w:rPr>
          <w:rFonts w:cs="Times New Roman"/>
          <w:szCs w:val="20"/>
        </w:rPr>
      </w:pPr>
      <w:r>
        <w:rPr>
          <w:rFonts w:cs="Times New Roman"/>
          <w:szCs w:val="20"/>
        </w:rPr>
      </w:r>
    </w:p>
    <w:p>
      <w:pPr>
        <w:pStyle w:val="Normal"/>
        <w:spacing w:lineRule="auto" w:line="240"/>
        <w:jc w:val="both"/>
        <w:rPr/>
      </w:pPr>
      <w:r>
        <w:rPr>
          <w:rFonts w:cs="Times New Roman"/>
          <w:szCs w:val="20"/>
        </w:rPr>
        <w:t xml:space="preserve">Орган управления эмитента, принявший решение о согласии на ее совершение или ее последующем одобрении: </w:t>
      </w:r>
      <w:r>
        <w:rPr>
          <w:rFonts w:cs="Times New Roman"/>
          <w:b/>
          <w:bCs/>
          <w:i/>
          <w:iCs/>
          <w:szCs w:val="20"/>
        </w:rPr>
        <w:t>Совет директоров ПАО «Камчатскэнерго» (Протокол № 15 от 16.05.2025)</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 xml:space="preserve">Размер сделки (группы взаимосвязанных сделок) составлял 2 и более процента балансовой стоимости активов эмитента: </w:t>
      </w:r>
      <w:r>
        <w:rPr>
          <w:rFonts w:cs="Times New Roman"/>
          <w:b/>
          <w:bCs/>
          <w:i/>
          <w:iCs/>
          <w:szCs w:val="20"/>
        </w:rPr>
        <w:t>Нет</w:t>
      </w:r>
    </w:p>
    <w:p>
      <w:pPr>
        <w:pStyle w:val="Normal"/>
        <w:spacing w:lineRule="auto" w:line="240"/>
        <w:jc w:val="left"/>
        <w:rPr>
          <w:rFonts w:cs="Times New Roman"/>
          <w:szCs w:val="20"/>
        </w:rPr>
      </w:pPr>
      <w:r>
        <w:rPr>
          <w:rFonts w:cs="Times New Roman"/>
          <w:szCs w:val="20"/>
        </w:rPr>
      </w:r>
    </w:p>
    <w:p>
      <w:pPr>
        <w:pStyle w:val="Normal"/>
        <w:spacing w:lineRule="auto" w:line="240"/>
        <w:jc w:val="left"/>
        <w:rPr>
          <w:b w:val="false"/>
          <w:bCs w:val="false"/>
          <w:i w:val="false"/>
          <w:i w:val="false"/>
          <w:iCs w:val="false"/>
        </w:rPr>
      </w:pPr>
      <w:r>
        <w:rPr>
          <w:rFonts w:cs="Times New Roman"/>
          <w:b w:val="false"/>
          <w:bCs w:val="false"/>
          <w:i w:val="false"/>
          <w:iCs w:val="false"/>
          <w:szCs w:val="20"/>
        </w:rPr>
        <w:t>5.</w:t>
      </w:r>
    </w:p>
    <w:p>
      <w:pPr>
        <w:pStyle w:val="Normal"/>
        <w:tabs>
          <w:tab w:val="clear" w:pos="720"/>
          <w:tab w:val="left" w:pos="708" w:leader="none"/>
        </w:tabs>
        <w:spacing w:lineRule="auto" w:line="240"/>
        <w:jc w:val="left"/>
        <w:rPr/>
      </w:pPr>
      <w:r>
        <w:rPr>
          <w:rFonts w:cs="Times New Roman"/>
          <w:b/>
          <w:bCs/>
          <w:i/>
          <w:iCs/>
          <w:szCs w:val="20"/>
        </w:rPr>
        <w:t>Договор подряда № 93900-РемПрод-2025 КамчЭн</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 xml:space="preserve">Дата совершения сделки, либо дата совершения первой сделки из последовательности взаимосвязанных: </w:t>
      </w:r>
      <w:r>
        <w:rPr>
          <w:rFonts w:cs="Times New Roman"/>
          <w:b/>
          <w:bCs/>
          <w:i/>
          <w:iCs/>
          <w:szCs w:val="20"/>
        </w:rPr>
        <w:t xml:space="preserve">23.05.2025 </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Лицо (лица), признанное (признанные) в соответствии с законодательством Российской Федерации лицом (лицами), заинтересованным (заинтересованными) в совершении сделки:</w:t>
      </w:r>
      <w:r>
        <w:rPr>
          <w:rFonts w:cs="Times New Roman"/>
          <w:b/>
          <w:bCs/>
          <w:i/>
          <w:iCs/>
          <w:szCs w:val="20"/>
        </w:rPr>
        <w:t xml:space="preserve"> </w:t>
      </w:r>
    </w:p>
    <w:p>
      <w:pPr>
        <w:pStyle w:val="Normal"/>
        <w:spacing w:lineRule="auto" w:line="240"/>
        <w:jc w:val="both"/>
        <w:rPr/>
      </w:pPr>
      <w:r>
        <w:rPr>
          <w:rFonts w:cs="Times New Roman"/>
          <w:b/>
          <w:bCs/>
          <w:i/>
          <w:iCs/>
          <w:szCs w:val="20"/>
        </w:rPr>
        <w:t>АО «РАО ЭС Востока» - контролирующее лицо ПАО «Камчатскэнерго» (прямой контроль), являющееся одновременно контролирующим лицом стороны в сделке – АО «ХРМК» (косвенный контроль);</w:t>
      </w:r>
    </w:p>
    <w:p>
      <w:pPr>
        <w:pStyle w:val="Normal"/>
        <w:spacing w:lineRule="auto" w:line="240"/>
        <w:jc w:val="both"/>
        <w:rPr>
          <w:rFonts w:cs="Times New Roman"/>
          <w:b/>
          <w:bCs/>
          <w:i/>
          <w:i/>
          <w:iCs/>
          <w:szCs w:val="20"/>
        </w:rPr>
      </w:pPr>
      <w:r>
        <w:rPr>
          <w:rFonts w:cs="Times New Roman"/>
          <w:b/>
          <w:bCs/>
          <w:i/>
          <w:iCs/>
          <w:szCs w:val="20"/>
        </w:rPr>
      </w:r>
    </w:p>
    <w:p>
      <w:pPr>
        <w:pStyle w:val="Normal"/>
        <w:spacing w:lineRule="auto" w:line="240"/>
        <w:jc w:val="both"/>
        <w:rPr/>
      </w:pPr>
      <w:r>
        <w:rPr>
          <w:rFonts w:cs="Times New Roman"/>
          <w:b/>
          <w:bCs/>
          <w:i/>
          <w:iCs/>
          <w:szCs w:val="20"/>
        </w:rPr>
        <w:t>ПАО «РусГидро» - контролирующее лицо ПАО «Камчатскэнерго» (косвенный контроль), являющееся одновременно контролирующим лицом стороны в сделке – АО «ХРМК» (косвенный контроль).</w:t>
      </w:r>
    </w:p>
    <w:p>
      <w:pPr>
        <w:pStyle w:val="Normal"/>
        <w:spacing w:lineRule="auto" w:line="240"/>
        <w:jc w:val="both"/>
        <w:rPr>
          <w:rFonts w:cs="Times New Roman"/>
          <w:b/>
          <w:bCs/>
          <w:i/>
          <w:i/>
          <w:iCs/>
          <w:szCs w:val="20"/>
        </w:rPr>
      </w:pPr>
      <w:r>
        <w:rPr>
          <w:rFonts w:cs="Times New Roman"/>
          <w:b/>
          <w:bCs/>
          <w:i/>
          <w:iCs/>
          <w:szCs w:val="20"/>
        </w:rPr>
      </w:r>
    </w:p>
    <w:p>
      <w:pPr>
        <w:pStyle w:val="Normal"/>
        <w:spacing w:lineRule="auto" w:line="240"/>
        <w:jc w:val="both"/>
        <w:rPr/>
      </w:pPr>
      <w:r>
        <w:rPr>
          <w:rFonts w:cs="Times New Roman"/>
          <w:szCs w:val="20"/>
        </w:rPr>
        <w:t>Существенные условия сделки:</w:t>
      </w:r>
    </w:p>
    <w:p>
      <w:pPr>
        <w:pStyle w:val="Normal"/>
        <w:spacing w:lineRule="auto" w:line="240"/>
        <w:jc w:val="both"/>
        <w:rPr/>
      </w:pPr>
      <w:r>
        <w:rPr>
          <w:rFonts w:cs="Times New Roman"/>
          <w:b/>
          <w:bCs/>
          <w:i/>
          <w:iCs/>
          <w:szCs w:val="20"/>
        </w:rPr>
        <w:t>Стороны Договора: Заказчик – ПАО «Камчатскэнерго»; Подрядчик – АО «ХРМК».</w:t>
      </w:r>
    </w:p>
    <w:p>
      <w:pPr>
        <w:pStyle w:val="Normal"/>
        <w:spacing w:lineRule="auto" w:line="240"/>
        <w:jc w:val="both"/>
        <w:rPr/>
      </w:pPr>
      <w:r>
        <w:rPr>
          <w:rFonts w:cs="Times New Roman"/>
          <w:b/>
          <w:bCs/>
          <w:i/>
          <w:iCs/>
          <w:szCs w:val="20"/>
        </w:rPr>
        <w:t>Предмет Договора: Подрядчик обязуется по заданию Заказчика в соответствии с Техническим заданием (Приложение 7 к решению) и ведомостью объемов работ выполнить работы по капитальному ремонту турбины ПТ-80/100-130/13 ЛМЗ ст. № 1 Камчатской ТЭЦ-2 (далее – Работы), а также сдать Результат Работ Заказчику, а Заказчик обязуется создать Подрядчику указанные в Договоре условия для выполнения Работ, принять Результат Работ и уплатить Цену Договора.</w:t>
      </w:r>
    </w:p>
    <w:p>
      <w:pPr>
        <w:pStyle w:val="Normal"/>
        <w:spacing w:lineRule="auto" w:line="240"/>
        <w:jc w:val="both"/>
        <w:rPr/>
      </w:pPr>
      <w:r>
        <w:rPr>
          <w:rFonts w:cs="Times New Roman"/>
          <w:b/>
          <w:bCs/>
          <w:i/>
          <w:iCs/>
          <w:szCs w:val="20"/>
        </w:rPr>
        <w:t>Цена Договора: предельная стоимость услуг составляет 54 084 779 (Пятьдесят четыре миллиона восемьдесят четыре тысячи семьсот семьдесят девять) рублей 55 копеек без учета НДС, при этом НДС исчисляется дополнительно по ставке, установленной статьей 164 Налогового кодекса Российской Федерации.</w:t>
      </w:r>
    </w:p>
    <w:p>
      <w:pPr>
        <w:pStyle w:val="Normal"/>
        <w:spacing w:lineRule="auto" w:line="240"/>
        <w:jc w:val="both"/>
        <w:rPr/>
      </w:pPr>
      <w:r>
        <w:rPr>
          <w:rFonts w:cs="Times New Roman"/>
          <w:b/>
          <w:bCs/>
          <w:i/>
          <w:iCs/>
          <w:szCs w:val="20"/>
        </w:rPr>
        <w:t>Срок выполнения Работ: Начало выполнения Работ: 16.06.2025</w:t>
      </w:r>
    </w:p>
    <w:p>
      <w:pPr>
        <w:pStyle w:val="Normal"/>
        <w:spacing w:lineRule="auto" w:line="240"/>
        <w:jc w:val="both"/>
        <w:rPr/>
      </w:pPr>
      <w:r>
        <w:rPr>
          <w:rFonts w:cs="Times New Roman"/>
          <w:b/>
          <w:bCs/>
          <w:i/>
          <w:iCs/>
          <w:szCs w:val="20"/>
        </w:rPr>
        <w:t>Окончание выполнения Работ: 14.08.2025</w:t>
      </w:r>
    </w:p>
    <w:p>
      <w:pPr>
        <w:pStyle w:val="Normal"/>
        <w:spacing w:lineRule="auto" w:line="240"/>
        <w:jc w:val="left"/>
        <w:rPr>
          <w:rFonts w:cs="Times New Roman"/>
          <w:szCs w:val="20"/>
        </w:rPr>
      </w:pPr>
      <w:r>
        <w:rPr>
          <w:rFonts w:cs="Times New Roman"/>
          <w:szCs w:val="20"/>
        </w:rPr>
      </w:r>
    </w:p>
    <w:p>
      <w:pPr>
        <w:pStyle w:val="Normal"/>
        <w:spacing w:lineRule="auto" w:line="240"/>
        <w:jc w:val="both"/>
        <w:rPr/>
      </w:pPr>
      <w:r>
        <w:rPr>
          <w:rFonts w:cs="Times New Roman"/>
          <w:szCs w:val="20"/>
        </w:rPr>
        <w:t xml:space="preserve">Орган управления эмитента, принявший решение о согласии на ее совершение или ее последующем одобрении: </w:t>
      </w:r>
      <w:r>
        <w:rPr>
          <w:rFonts w:cs="Times New Roman"/>
          <w:b/>
          <w:bCs/>
          <w:i/>
          <w:iCs/>
          <w:szCs w:val="20"/>
        </w:rPr>
        <w:t>Совет директоров ПАО «Камчатскэнерго» (Протокол № 15 от 16.05.2025)</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 xml:space="preserve">Размер сделки (группы взаимосвязанных сделок) составлял 2 и более процента балансовой стоимости активов эмитента: </w:t>
      </w:r>
      <w:r>
        <w:rPr>
          <w:rFonts w:cs="Times New Roman"/>
          <w:b/>
          <w:bCs/>
          <w:i/>
          <w:iCs/>
          <w:szCs w:val="20"/>
        </w:rPr>
        <w:t>Нет</w:t>
      </w:r>
    </w:p>
    <w:p>
      <w:pPr>
        <w:pStyle w:val="Normal"/>
        <w:spacing w:lineRule="auto" w:line="240"/>
        <w:jc w:val="both"/>
        <w:rPr>
          <w:rFonts w:cs="Times New Roman"/>
          <w:szCs w:val="20"/>
        </w:rPr>
      </w:pPr>
      <w:r>
        <w:rPr>
          <w:rFonts w:cs="Times New Roman"/>
          <w:szCs w:val="20"/>
        </w:rPr>
      </w:r>
    </w:p>
    <w:p>
      <w:pPr>
        <w:pStyle w:val="Normal"/>
        <w:spacing w:lineRule="auto" w:line="240"/>
        <w:jc w:val="both"/>
        <w:rPr>
          <w:b w:val="false"/>
          <w:bCs w:val="false"/>
          <w:i/>
          <w:i/>
          <w:iCs/>
        </w:rPr>
      </w:pPr>
      <w:r>
        <w:rPr>
          <w:rFonts w:cs="Times New Roman"/>
          <w:b w:val="false"/>
          <w:bCs w:val="false"/>
          <w:i/>
          <w:iCs/>
          <w:szCs w:val="20"/>
        </w:rPr>
        <w:t>6.</w:t>
      </w:r>
    </w:p>
    <w:p>
      <w:pPr>
        <w:pStyle w:val="Normal"/>
        <w:tabs>
          <w:tab w:val="clear" w:pos="720"/>
          <w:tab w:val="left" w:pos="708" w:leader="none"/>
        </w:tabs>
        <w:spacing w:lineRule="auto" w:line="240"/>
        <w:jc w:val="both"/>
        <w:rPr/>
      </w:pPr>
      <w:r>
        <w:rPr>
          <w:rFonts w:cs="Times New Roman"/>
          <w:b/>
          <w:bCs/>
          <w:i/>
          <w:iCs/>
          <w:szCs w:val="20"/>
        </w:rPr>
        <w:t>Дополнительное соглашение № 2 к Договору подряда на выполнение проектно-изыскательских работ от 22.12.2023 № 103600-ТПИР ОБСЛ–2023-КамчЭн</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 xml:space="preserve">Дата совершения сделки, либо дата совершения первой сделки из последовательности взаимосвязанных: </w:t>
      </w:r>
      <w:r>
        <w:rPr>
          <w:rFonts w:cs="Times New Roman"/>
          <w:b/>
          <w:bCs/>
          <w:i/>
          <w:iCs/>
          <w:szCs w:val="20"/>
        </w:rPr>
        <w:t xml:space="preserve">05.08.2025 </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Лицо (лица), признанное (признанные) в соответствии с законодательством Российской Федерации лицом (лицами), заинтересованным (заинтересованными) в совершении сделки:</w:t>
      </w:r>
      <w:r>
        <w:rPr>
          <w:rFonts w:cs="Times New Roman"/>
          <w:b/>
          <w:bCs/>
          <w:i/>
          <w:iCs/>
          <w:szCs w:val="20"/>
        </w:rPr>
        <w:t xml:space="preserve"> </w:t>
      </w:r>
    </w:p>
    <w:p>
      <w:pPr>
        <w:pStyle w:val="Normal"/>
        <w:spacing w:lineRule="auto" w:line="240"/>
        <w:jc w:val="both"/>
        <w:rPr/>
      </w:pPr>
      <w:r>
        <w:rPr>
          <w:rFonts w:cs="Times New Roman"/>
          <w:b/>
          <w:bCs/>
          <w:i/>
          <w:iCs/>
          <w:szCs w:val="20"/>
        </w:rPr>
        <w:t>ПАО «РусГидро» - контролирующее лицо ПАО «Камчатскэнерго» (косвенный контроль), являющееся одновременно контролирующим лицом стороны в сделке – АО «Ленгидропроект» (прямой контроль).</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Существенные условия сделки:</w:t>
      </w:r>
    </w:p>
    <w:p>
      <w:pPr>
        <w:pStyle w:val="Normal"/>
        <w:tabs>
          <w:tab w:val="clear" w:pos="720"/>
          <w:tab w:val="left" w:pos="708" w:leader="none"/>
        </w:tabs>
        <w:spacing w:lineRule="auto" w:line="240"/>
        <w:jc w:val="both"/>
        <w:rPr/>
      </w:pPr>
      <w:r>
        <w:rPr>
          <w:rFonts w:cs="Times New Roman"/>
          <w:b/>
          <w:bCs/>
          <w:i/>
          <w:iCs/>
          <w:szCs w:val="20"/>
        </w:rPr>
        <w:t>Стороны Дополнительного соглашения: Заказчик - ПАО «Камчатскэнерго»;</w:t>
      </w:r>
    </w:p>
    <w:p>
      <w:pPr>
        <w:pStyle w:val="Normal"/>
        <w:tabs>
          <w:tab w:val="clear" w:pos="720"/>
          <w:tab w:val="left" w:pos="708" w:leader="none"/>
        </w:tabs>
        <w:spacing w:lineRule="auto" w:line="240"/>
        <w:jc w:val="both"/>
        <w:rPr/>
      </w:pPr>
      <w:r>
        <w:rPr>
          <w:rFonts w:cs="Times New Roman"/>
          <w:b/>
          <w:bCs/>
          <w:i/>
          <w:iCs/>
          <w:szCs w:val="20"/>
        </w:rPr>
        <w:t>Подрядчик - АО «Ленгидропроект».</w:t>
      </w:r>
    </w:p>
    <w:p>
      <w:pPr>
        <w:pStyle w:val="Normal"/>
        <w:tabs>
          <w:tab w:val="clear" w:pos="720"/>
          <w:tab w:val="left" w:pos="708" w:leader="none"/>
        </w:tabs>
        <w:spacing w:lineRule="auto" w:line="240"/>
        <w:jc w:val="both"/>
        <w:rPr/>
      </w:pPr>
      <w:r>
        <w:rPr>
          <w:rFonts w:cs="Times New Roman"/>
          <w:b/>
          <w:bCs/>
          <w:i/>
          <w:iCs/>
          <w:szCs w:val="20"/>
        </w:rPr>
        <w:t>Предмет Дополнительного соглашения: Внесение следующих изменений в Договор: 1. Изложить подпункт 1.6.2 пункта 1.6 Договора в следующей редакции: «1.6.2. окончание выполнения Работ: 20.03.2026.».</w:t>
      </w:r>
    </w:p>
    <w:p>
      <w:pPr>
        <w:pStyle w:val="Normal"/>
        <w:tabs>
          <w:tab w:val="clear" w:pos="720"/>
          <w:tab w:val="left" w:pos="708" w:leader="none"/>
        </w:tabs>
        <w:spacing w:lineRule="auto" w:line="240"/>
        <w:jc w:val="both"/>
        <w:rPr/>
      </w:pPr>
      <w:r>
        <w:rPr>
          <w:rFonts w:cs="Times New Roman"/>
          <w:b/>
          <w:bCs/>
          <w:i/>
          <w:iCs/>
          <w:szCs w:val="20"/>
        </w:rPr>
        <w:t>2. Внести изменения в Техническое задание согласно Приложению 3 к решению.</w:t>
      </w:r>
    </w:p>
    <w:p>
      <w:pPr>
        <w:pStyle w:val="Normal"/>
        <w:tabs>
          <w:tab w:val="clear" w:pos="720"/>
          <w:tab w:val="left" w:pos="708" w:leader="none"/>
        </w:tabs>
        <w:spacing w:lineRule="auto" w:line="240"/>
        <w:jc w:val="both"/>
        <w:rPr/>
      </w:pPr>
      <w:r>
        <w:rPr>
          <w:rFonts w:cs="Times New Roman"/>
          <w:b/>
          <w:bCs/>
          <w:i/>
          <w:iCs/>
          <w:szCs w:val="20"/>
        </w:rPr>
        <w:t>Цена Договора (с учетом Дополнительного соглашения): не меняется, является твердой и составляет 246 693 324 (Двести сорок шесть миллионов шестьсот девяносто три тысячи триста двадцать четыре) рубля 48 копеек без учета НДС, при этом НДС исчисляется дополнительно по ставке, установленной статьей 164 Налогового кодекса РФ.</w:t>
      </w:r>
    </w:p>
    <w:p>
      <w:pPr>
        <w:pStyle w:val="Normal"/>
        <w:tabs>
          <w:tab w:val="clear" w:pos="720"/>
          <w:tab w:val="left" w:pos="708" w:leader="none"/>
        </w:tabs>
        <w:spacing w:lineRule="auto" w:line="240"/>
        <w:jc w:val="both"/>
        <w:rPr/>
      </w:pPr>
      <w:r>
        <w:rPr>
          <w:rFonts w:cs="Times New Roman"/>
          <w:b/>
          <w:bCs/>
          <w:i/>
          <w:iCs/>
          <w:szCs w:val="20"/>
        </w:rPr>
        <w:t>Срок выполнения Работ (с учетом Дополнительного соглашения):</w:t>
      </w:r>
    </w:p>
    <w:p>
      <w:pPr>
        <w:pStyle w:val="Normal"/>
        <w:tabs>
          <w:tab w:val="clear" w:pos="720"/>
          <w:tab w:val="left" w:pos="708" w:leader="none"/>
        </w:tabs>
        <w:spacing w:lineRule="auto" w:line="240"/>
        <w:jc w:val="both"/>
        <w:rPr/>
      </w:pPr>
      <w:r>
        <w:rPr>
          <w:rFonts w:cs="Times New Roman"/>
          <w:b/>
          <w:bCs/>
          <w:i/>
          <w:iCs/>
          <w:szCs w:val="20"/>
        </w:rPr>
        <w:t>Начало выполнения Работ: С даты, следующей за датой заключения Договора.</w:t>
      </w:r>
    </w:p>
    <w:p>
      <w:pPr>
        <w:pStyle w:val="Normal"/>
        <w:tabs>
          <w:tab w:val="clear" w:pos="720"/>
          <w:tab w:val="left" w:pos="708" w:leader="none"/>
        </w:tabs>
        <w:spacing w:lineRule="auto" w:line="240"/>
        <w:jc w:val="both"/>
        <w:rPr/>
      </w:pPr>
      <w:r>
        <w:rPr>
          <w:rFonts w:cs="Times New Roman"/>
          <w:b/>
          <w:bCs/>
          <w:i/>
          <w:iCs/>
          <w:szCs w:val="20"/>
        </w:rPr>
        <w:t>Окончание выполнения Работ: 20.03.2026.</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 xml:space="preserve">Орган управления эмитента, принявший решение о согласии на ее совершение или ее последующем одобрении: </w:t>
      </w:r>
      <w:r>
        <w:rPr>
          <w:rFonts w:cs="Times New Roman"/>
          <w:b/>
          <w:bCs/>
          <w:i/>
          <w:iCs/>
          <w:szCs w:val="20"/>
        </w:rPr>
        <w:t>Совет директоров ПАО «Камчатскэнерго» (Протокол № 3 от 25.07.2025)</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 xml:space="preserve">Размер сделки (группы взаимосвязанных сделок) составлял 2 и более процента балансовой стоимости активов эмитента: </w:t>
      </w:r>
      <w:r>
        <w:rPr>
          <w:rFonts w:cs="Times New Roman"/>
          <w:b/>
          <w:bCs/>
          <w:i/>
          <w:iCs/>
          <w:szCs w:val="20"/>
        </w:rPr>
        <w:t>Нет</w:t>
      </w:r>
    </w:p>
    <w:p>
      <w:pPr>
        <w:pStyle w:val="Normal"/>
        <w:spacing w:lineRule="auto" w:line="240"/>
        <w:jc w:val="both"/>
        <w:rPr>
          <w:rFonts w:cs="Times New Roman"/>
          <w:szCs w:val="20"/>
        </w:rPr>
      </w:pPr>
      <w:r>
        <w:rPr>
          <w:rFonts w:cs="Times New Roman"/>
          <w:szCs w:val="20"/>
        </w:rPr>
      </w:r>
    </w:p>
    <w:p>
      <w:pPr>
        <w:pStyle w:val="Normal"/>
        <w:spacing w:lineRule="auto" w:line="240"/>
        <w:jc w:val="both"/>
        <w:rPr>
          <w:b w:val="false"/>
          <w:bCs w:val="false"/>
          <w:i w:val="false"/>
          <w:i w:val="false"/>
          <w:iCs w:val="false"/>
        </w:rPr>
      </w:pPr>
      <w:r>
        <w:rPr>
          <w:rFonts w:cs="Times New Roman"/>
          <w:b w:val="false"/>
          <w:bCs w:val="false"/>
          <w:i w:val="false"/>
          <w:iCs w:val="false"/>
          <w:szCs w:val="20"/>
        </w:rPr>
        <w:t>7.</w:t>
      </w:r>
    </w:p>
    <w:p>
      <w:pPr>
        <w:pStyle w:val="Normal"/>
        <w:spacing w:lineRule="auto" w:line="240"/>
        <w:jc w:val="both"/>
        <w:rPr/>
      </w:pPr>
      <w:r>
        <w:rPr>
          <w:rFonts w:cs="Times New Roman"/>
          <w:b/>
          <w:bCs/>
          <w:i/>
          <w:iCs/>
          <w:szCs w:val="20"/>
        </w:rPr>
        <w:t>Дополнительное соглашение № 1 к Договору оказания услуг на осуществление функций энергосбытовой деятельности (энергоресурсы, в т.ч. электро-, тепловая энергия и ГВС (услуги) физическим и юридическим лицам, расположенным на территории Камчатского края от 29.12.2024 № ДЭК -71-13/2</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 xml:space="preserve">Дата совершения сделки, либо дата совершения первой сделки из последовательности взаимосвязанных: </w:t>
      </w:r>
      <w:r>
        <w:rPr>
          <w:rFonts w:cs="Arial Narrow" w:ascii="Arial Narrow" w:hAnsi="Arial Narrow"/>
          <w:color w:val="000000"/>
          <w:sz w:val="20"/>
          <w:szCs w:val="20"/>
          <w:lang w:eastAsia="zh-CN" w:bidi="ar-SA"/>
        </w:rPr>
        <w:t xml:space="preserve"> </w:t>
      </w:r>
      <w:r>
        <w:rPr>
          <w:rFonts w:cs="Times New Roman"/>
          <w:b/>
          <w:bCs/>
          <w:i/>
          <w:iCs/>
          <w:szCs w:val="20"/>
        </w:rPr>
        <w:t>01.08.2025</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Лицо (лица), признанное (признанные) в соответствии с законодательством Российской Федерации лицом (лицами), заинтересованным (заинтересованными) в совершении сделки:</w:t>
      </w:r>
      <w:r>
        <w:rPr>
          <w:rFonts w:cs="Times New Roman"/>
          <w:b/>
          <w:bCs/>
          <w:i/>
          <w:iCs/>
          <w:szCs w:val="20"/>
        </w:rPr>
        <w:t xml:space="preserve"> </w:t>
      </w:r>
    </w:p>
    <w:p>
      <w:pPr>
        <w:pStyle w:val="Normal"/>
        <w:spacing w:lineRule="auto" w:line="240"/>
        <w:jc w:val="both"/>
        <w:rPr/>
      </w:pPr>
      <w:r>
        <w:rPr>
          <w:rFonts w:cs="Times New Roman"/>
          <w:b/>
          <w:bCs/>
          <w:i/>
          <w:iCs/>
          <w:szCs w:val="20"/>
        </w:rPr>
        <w:t>АО «РАО ЭС Востока» - контролирующее лицо ПАО «Камчатскэнерго» (прямой контроль), являющееся одновременно контролирующим лицом стороны в сделке - ПАО «ДЭК» (прямой контроль);</w:t>
      </w:r>
    </w:p>
    <w:p>
      <w:pPr>
        <w:pStyle w:val="Normal"/>
        <w:spacing w:lineRule="auto" w:line="240"/>
        <w:jc w:val="both"/>
        <w:rPr>
          <w:rFonts w:cs="Times New Roman"/>
          <w:b/>
          <w:bCs/>
          <w:i/>
          <w:i/>
          <w:iCs/>
          <w:szCs w:val="20"/>
        </w:rPr>
      </w:pPr>
      <w:r>
        <w:rPr>
          <w:rFonts w:cs="Times New Roman"/>
          <w:b/>
          <w:bCs/>
          <w:i/>
          <w:iCs/>
          <w:szCs w:val="20"/>
        </w:rPr>
      </w:r>
    </w:p>
    <w:p>
      <w:pPr>
        <w:pStyle w:val="Normal"/>
        <w:spacing w:lineRule="auto" w:line="240"/>
        <w:jc w:val="both"/>
        <w:rPr/>
      </w:pPr>
      <w:r>
        <w:rPr>
          <w:rFonts w:cs="Times New Roman"/>
          <w:b/>
          <w:bCs/>
          <w:i/>
          <w:iCs/>
          <w:szCs w:val="20"/>
        </w:rPr>
        <w:t>ПАО «РусГидро» контролирующее лицо ПАО «Камчатскэнерго» (косвенный контроль), являющееся одновременно контролирующим лицом стороны в сделке - ПАО «ДЭК» (косвенный контроль);</w:t>
      </w:r>
    </w:p>
    <w:p>
      <w:pPr>
        <w:pStyle w:val="Normal"/>
        <w:spacing w:lineRule="auto" w:line="240" w:before="20" w:after="40"/>
        <w:contextualSpacing/>
        <w:jc w:val="both"/>
        <w:rPr/>
      </w:pPr>
      <w:r>
        <w:rPr>
          <w:rFonts w:cs="Times New Roman"/>
          <w:b/>
          <w:bCs/>
          <w:i/>
          <w:iCs/>
          <w:szCs w:val="20"/>
        </w:rPr>
        <w:t>Коптяков С.С - член Совета директоров ПАО «Камчатскэнерго», одновременно являющаяся членом Совета директоров стороны в сделке - ПАО «ДЭК».</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Существенные условия сделки:</w:t>
      </w:r>
    </w:p>
    <w:p>
      <w:pPr>
        <w:pStyle w:val="Normal"/>
        <w:spacing w:lineRule="auto" w:line="240"/>
        <w:jc w:val="both"/>
        <w:rPr/>
      </w:pPr>
      <w:r>
        <w:rPr>
          <w:rFonts w:cs="Times New Roman"/>
          <w:b/>
          <w:bCs/>
          <w:i/>
          <w:iCs/>
          <w:szCs w:val="20"/>
        </w:rPr>
        <w:t>Стороны Дополнительного соглашения:</w:t>
      </w:r>
    </w:p>
    <w:p>
      <w:pPr>
        <w:pStyle w:val="Normal"/>
        <w:spacing w:lineRule="auto" w:line="240"/>
        <w:jc w:val="both"/>
        <w:rPr/>
      </w:pPr>
      <w:r>
        <w:rPr>
          <w:rFonts w:cs="Times New Roman"/>
          <w:b/>
          <w:bCs/>
          <w:i/>
          <w:iCs/>
          <w:szCs w:val="20"/>
        </w:rPr>
        <w:t>Принципал – ПАО «Камчатскэнерго»; Агент – ПАО «ДЭК».</w:t>
      </w:r>
    </w:p>
    <w:p>
      <w:pPr>
        <w:pStyle w:val="Normal"/>
        <w:spacing w:lineRule="auto" w:line="240"/>
        <w:jc w:val="both"/>
        <w:rPr/>
      </w:pPr>
      <w:r>
        <w:rPr>
          <w:rFonts w:cs="Times New Roman"/>
          <w:b/>
          <w:bCs/>
          <w:i/>
          <w:iCs/>
          <w:szCs w:val="20"/>
        </w:rPr>
        <w:t>Предмет Дополнительного соглашения: Внесение следующих изменений в Договор: 1. Изменение общей суммы годового агентского вознаграждения согласно Приложению 4 к решению.</w:t>
      </w:r>
    </w:p>
    <w:p>
      <w:pPr>
        <w:pStyle w:val="Normal"/>
        <w:spacing w:lineRule="auto" w:line="240"/>
        <w:jc w:val="both"/>
        <w:rPr/>
      </w:pPr>
      <w:r>
        <w:rPr>
          <w:rFonts w:cs="Times New Roman"/>
          <w:b/>
          <w:bCs/>
          <w:i/>
          <w:iCs/>
          <w:szCs w:val="20"/>
        </w:rPr>
        <w:t>2. Внести изменения в Приложение № 1 Договору «Функционал для передачи в ПАО «ДЭК» согласно Приложению 5 к решению.</w:t>
      </w:r>
    </w:p>
    <w:p>
      <w:pPr>
        <w:pStyle w:val="Normal"/>
        <w:spacing w:lineRule="auto" w:line="240"/>
        <w:jc w:val="both"/>
        <w:rPr/>
      </w:pPr>
      <w:r>
        <w:rPr>
          <w:rFonts w:cs="Times New Roman"/>
          <w:b/>
          <w:bCs/>
          <w:i/>
          <w:iCs/>
          <w:szCs w:val="20"/>
        </w:rPr>
        <w:t>Цена Договора (с учетом Дополнительного соглашения):</w:t>
      </w:r>
    </w:p>
    <w:p>
      <w:pPr>
        <w:pStyle w:val="Normal"/>
        <w:spacing w:lineRule="auto" w:line="240"/>
        <w:jc w:val="both"/>
        <w:rPr/>
      </w:pPr>
      <w:r>
        <w:rPr>
          <w:rFonts w:cs="Times New Roman"/>
          <w:b/>
          <w:bCs/>
          <w:i/>
          <w:iCs/>
          <w:szCs w:val="20"/>
        </w:rPr>
        <w:t>сумма годового агентского вознаграждения составляет 1 426 266 180 (Один миллиард четыреста двадцать шесть миллионов двести шестьдесят шесть тысяч сто восемьдесят) 00 копеек, в том числе НДС (20 %) - 237 711 030 (Двести тридцать семь миллионов семьсот одиннадцать тысяч тридцать) рублей 00 копеек.</w:t>
      </w:r>
    </w:p>
    <w:p>
      <w:pPr>
        <w:pStyle w:val="Normal"/>
        <w:spacing w:lineRule="auto" w:line="240"/>
        <w:jc w:val="both"/>
        <w:rPr/>
      </w:pPr>
      <w:r>
        <w:rPr>
          <w:rFonts w:cs="Times New Roman"/>
          <w:b/>
          <w:bCs/>
          <w:i/>
          <w:iCs/>
          <w:szCs w:val="20"/>
        </w:rPr>
        <w:t>Срок действия Дополнительного соглашения:</w:t>
      </w:r>
    </w:p>
    <w:p>
      <w:pPr>
        <w:pStyle w:val="Normal"/>
        <w:spacing w:lineRule="auto" w:line="240"/>
        <w:jc w:val="both"/>
        <w:rPr/>
      </w:pPr>
      <w:r>
        <w:rPr>
          <w:rFonts w:cs="Times New Roman"/>
          <w:b/>
          <w:bCs/>
          <w:i/>
          <w:iCs/>
          <w:szCs w:val="20"/>
        </w:rPr>
        <w:t>Дополнительное соглашение вступает в силу с даты его подписания Сторонами. В соответствии с пунктом 2 статьи 425 Гражданского кодекса Российской Федерации, условия Дополнительного соглашения применяются к отношениям Сторон, возникшим с 01.07.2025, а в части пункта 1.9. Соглашения - с 01.06.2025.</w:t>
      </w:r>
    </w:p>
    <w:p>
      <w:pPr>
        <w:pStyle w:val="Normal"/>
        <w:spacing w:lineRule="auto" w:line="240"/>
        <w:jc w:val="left"/>
        <w:rPr>
          <w:rFonts w:cs="Times New Roman"/>
          <w:szCs w:val="20"/>
        </w:rPr>
      </w:pPr>
      <w:r>
        <w:rPr>
          <w:rFonts w:cs="Times New Roman"/>
          <w:szCs w:val="20"/>
        </w:rPr>
      </w:r>
    </w:p>
    <w:p>
      <w:pPr>
        <w:pStyle w:val="Normal"/>
        <w:spacing w:lineRule="auto" w:line="240"/>
        <w:jc w:val="left"/>
        <w:rPr/>
      </w:pPr>
      <w:r>
        <w:rPr>
          <w:rFonts w:cs="Times New Roman"/>
          <w:szCs w:val="20"/>
        </w:rPr>
        <w:t xml:space="preserve">Орган управления эмитента, принявший решение о согласии на ее совершение или ее последующем одобрении: </w:t>
      </w:r>
      <w:r>
        <w:rPr>
          <w:rFonts w:cs="Times New Roman"/>
          <w:b/>
          <w:bCs/>
          <w:i/>
          <w:iCs/>
          <w:szCs w:val="20"/>
        </w:rPr>
        <w:t>Совет директоров ПАО «Камчатскэнерго» (Протокол № 3 от 25.07.2025)</w:t>
      </w:r>
    </w:p>
    <w:p>
      <w:pPr>
        <w:pStyle w:val="Normal"/>
        <w:spacing w:lineRule="auto" w:line="240"/>
        <w:jc w:val="left"/>
        <w:rPr>
          <w:rFonts w:cs="Times New Roman"/>
          <w:szCs w:val="20"/>
        </w:rPr>
      </w:pPr>
      <w:r>
        <w:rPr>
          <w:rFonts w:cs="Times New Roman"/>
          <w:szCs w:val="20"/>
        </w:rPr>
      </w:r>
    </w:p>
    <w:p>
      <w:pPr>
        <w:pStyle w:val="Normal"/>
        <w:spacing w:lineRule="auto" w:line="240"/>
        <w:jc w:val="left"/>
        <w:rPr/>
      </w:pPr>
      <w:r>
        <w:rPr>
          <w:rFonts w:cs="Times New Roman"/>
          <w:szCs w:val="20"/>
        </w:rPr>
        <w:t xml:space="preserve">Размер сделки (группы взаимосвязанных сделок) составлял 2 и более процента балансовой стоимости активов эмитента: </w:t>
      </w:r>
      <w:r>
        <w:rPr>
          <w:rFonts w:cs="Times New Roman"/>
          <w:b/>
          <w:bCs/>
          <w:i/>
          <w:iCs/>
          <w:szCs w:val="20"/>
        </w:rPr>
        <w:t>Да</w:t>
      </w:r>
    </w:p>
    <w:p>
      <w:pPr>
        <w:pStyle w:val="Normal"/>
        <w:spacing w:lineRule="auto" w:line="240"/>
        <w:rPr/>
      </w:pPr>
      <w:r>
        <w:rPr/>
      </w:r>
    </w:p>
    <w:tbl>
      <w:tblPr>
        <w:tblW w:w="9188" w:type="dxa"/>
        <w:jc w:val="left"/>
        <w:tblInd w:w="72" w:type="dxa"/>
        <w:tblLayout w:type="fixed"/>
        <w:tblCellMar>
          <w:top w:w="0" w:type="dxa"/>
          <w:left w:w="72" w:type="dxa"/>
          <w:bottom w:w="0" w:type="dxa"/>
          <w:right w:w="72" w:type="dxa"/>
        </w:tblCellMar>
      </w:tblPr>
      <w:tblGrid>
        <w:gridCol w:w="1833"/>
        <w:gridCol w:w="2378"/>
        <w:gridCol w:w="1435"/>
        <w:gridCol w:w="1362"/>
        <w:gridCol w:w="1390"/>
        <w:gridCol w:w="789"/>
      </w:tblGrid>
      <w:tr>
        <w:trPr/>
        <w:tc>
          <w:tcPr>
            <w:tcW w:w="183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Наименование заинтересованного лица</w:t>
            </w:r>
          </w:p>
        </w:tc>
        <w:tc>
          <w:tcPr>
            <w:tcW w:w="2378"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Основание (основания), по которому (по которым) лицо признано заинтересованным в совершении сделки</w:t>
            </w:r>
          </w:p>
        </w:tc>
        <w:tc>
          <w:tcPr>
            <w:tcW w:w="1435"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Доля участия заинтересованного лица в уставном (складочном) капитале эмитента</w:t>
            </w:r>
          </w:p>
          <w:p>
            <w:pPr>
              <w:pStyle w:val="Normal"/>
              <w:widowControl w:val="false"/>
              <w:tabs>
                <w:tab w:val="clear" w:pos="720"/>
              </w:tabs>
              <w:spacing w:lineRule="auto" w:line="240" w:before="20" w:after="40"/>
              <w:contextualSpacing/>
              <w:rPr>
                <w:sz w:val="16"/>
                <w:szCs w:val="16"/>
              </w:rPr>
            </w:pPr>
            <w:r>
              <w:rPr>
                <w:b/>
                <w:bCs/>
                <w:i/>
                <w:iCs/>
                <w:sz w:val="16"/>
                <w:szCs w:val="16"/>
              </w:rPr>
              <w:t>(по состоянию на дату заключения сделки)</w:t>
            </w:r>
          </w:p>
        </w:tc>
        <w:tc>
          <w:tcPr>
            <w:tcW w:w="1362"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Доля принадлежавших заинтересованному лицу акций эмитента</w:t>
            </w:r>
          </w:p>
        </w:tc>
        <w:tc>
          <w:tcPr>
            <w:tcW w:w="1390"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Доля участия заинтересованного лица в уставном (складочном) капитале юридического лица, являвшегося стороной в сделке</w:t>
            </w:r>
          </w:p>
        </w:tc>
        <w:tc>
          <w:tcPr>
            <w:tcW w:w="789"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Доля принадлежавших заинтересованному лицу акций юридического лица, являвшегося стороной в сделке</w:t>
            </w:r>
          </w:p>
        </w:tc>
      </w:tr>
      <w:tr>
        <w:trPr/>
        <w:tc>
          <w:tcPr>
            <w:tcW w:w="183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АО «РАО ЭС Востока»</w:t>
            </w:r>
          </w:p>
        </w:tc>
        <w:tc>
          <w:tcPr>
            <w:tcW w:w="2378"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контролирующее лицо ПАО «Камчатскэнерго» (прямой контроль),</w:t>
            </w:r>
          </w:p>
          <w:p>
            <w:pPr>
              <w:pStyle w:val="Normal"/>
              <w:widowControl w:val="false"/>
              <w:tabs>
                <w:tab w:val="clear" w:pos="720"/>
              </w:tabs>
              <w:spacing w:lineRule="auto" w:line="240" w:before="20" w:after="40"/>
              <w:contextualSpacing/>
              <w:rPr>
                <w:sz w:val="16"/>
                <w:szCs w:val="16"/>
              </w:rPr>
            </w:pPr>
            <w:r>
              <w:rPr>
                <w:b/>
                <w:bCs/>
                <w:i/>
                <w:iCs/>
                <w:sz w:val="16"/>
                <w:szCs w:val="16"/>
              </w:rPr>
              <w:t>являющееся одновременно контролирующим лицом стороны в сделке – ПАО «ДЭК» (прямой контроль)</w:t>
            </w:r>
          </w:p>
        </w:tc>
        <w:tc>
          <w:tcPr>
            <w:tcW w:w="1435"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71,31</w:t>
            </w:r>
          </w:p>
          <w:p>
            <w:pPr>
              <w:pStyle w:val="Normal"/>
              <w:widowControl w:val="false"/>
              <w:tabs>
                <w:tab w:val="clear" w:pos="720"/>
              </w:tabs>
              <w:spacing w:lineRule="auto" w:line="240"/>
              <w:rPr>
                <w:sz w:val="16"/>
                <w:szCs w:val="16"/>
              </w:rPr>
            </w:pPr>
            <w:r>
              <w:rPr>
                <w:b/>
                <w:bCs/>
                <w:i/>
                <w:iCs/>
                <w:sz w:val="16"/>
                <w:szCs w:val="16"/>
              </w:rPr>
              <w:t>(прямое участие)</w:t>
            </w:r>
          </w:p>
          <w:p>
            <w:pPr>
              <w:pStyle w:val="Normal"/>
              <w:widowControl w:val="false"/>
              <w:tabs>
                <w:tab w:val="clear" w:pos="720"/>
              </w:tabs>
              <w:spacing w:lineRule="auto" w:line="240" w:before="0" w:after="0"/>
              <w:contextualSpacing/>
              <w:rPr>
                <w:b/>
                <w:bCs/>
                <w:i/>
                <w:i/>
                <w:iCs/>
                <w:sz w:val="16"/>
                <w:szCs w:val="16"/>
              </w:rPr>
            </w:pPr>
            <w:r>
              <w:rPr>
                <w:b/>
                <w:bCs/>
                <w:i/>
                <w:iCs/>
                <w:sz w:val="16"/>
                <w:szCs w:val="16"/>
              </w:rPr>
            </w:r>
          </w:p>
        </w:tc>
        <w:tc>
          <w:tcPr>
            <w:tcW w:w="1362"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71,31</w:t>
            </w:r>
          </w:p>
        </w:tc>
        <w:tc>
          <w:tcPr>
            <w:tcW w:w="1390"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51.03</w:t>
            </w:r>
          </w:p>
          <w:p>
            <w:pPr>
              <w:pStyle w:val="Normal"/>
              <w:widowControl w:val="false"/>
              <w:tabs>
                <w:tab w:val="clear" w:pos="720"/>
              </w:tabs>
              <w:spacing w:lineRule="auto" w:line="240" w:before="20" w:after="40"/>
              <w:contextualSpacing/>
              <w:rPr>
                <w:sz w:val="16"/>
                <w:szCs w:val="16"/>
              </w:rPr>
            </w:pPr>
            <w:r>
              <w:rPr>
                <w:b/>
                <w:bCs/>
                <w:i/>
                <w:iCs/>
                <w:sz w:val="16"/>
                <w:szCs w:val="16"/>
              </w:rPr>
              <w:t>(прямое участие)</w:t>
            </w:r>
          </w:p>
        </w:tc>
        <w:tc>
          <w:tcPr>
            <w:tcW w:w="789"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51.03</w:t>
            </w:r>
          </w:p>
        </w:tc>
      </w:tr>
      <w:tr>
        <w:trPr/>
        <w:tc>
          <w:tcPr>
            <w:tcW w:w="183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ПАО «РусГидро»</w:t>
            </w:r>
          </w:p>
        </w:tc>
        <w:tc>
          <w:tcPr>
            <w:tcW w:w="2378"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контролирующее лицо ПАО «Камчатскэнерго» (косвенный контроль), являющееся одновременно контролирующим лицом стороны в сделке – ПАО «ДЭК» (косвенный контроль)</w:t>
            </w:r>
          </w:p>
        </w:tc>
        <w:tc>
          <w:tcPr>
            <w:tcW w:w="1435"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27,97</w:t>
            </w:r>
          </w:p>
          <w:p>
            <w:pPr>
              <w:pStyle w:val="Normal"/>
              <w:widowControl w:val="false"/>
              <w:tabs>
                <w:tab w:val="clear" w:pos="720"/>
              </w:tabs>
              <w:spacing w:lineRule="auto" w:line="240"/>
              <w:rPr>
                <w:sz w:val="16"/>
                <w:szCs w:val="16"/>
              </w:rPr>
            </w:pPr>
            <w:r>
              <w:rPr>
                <w:b/>
                <w:bCs/>
                <w:i/>
                <w:iCs/>
                <w:sz w:val="16"/>
                <w:szCs w:val="16"/>
              </w:rPr>
              <w:t>(прямое участие)</w:t>
            </w:r>
          </w:p>
          <w:p>
            <w:pPr>
              <w:pStyle w:val="Normal"/>
              <w:widowControl w:val="false"/>
              <w:tabs>
                <w:tab w:val="clear" w:pos="720"/>
              </w:tabs>
              <w:spacing w:lineRule="auto" w:line="240"/>
              <w:rPr>
                <w:sz w:val="16"/>
                <w:szCs w:val="16"/>
              </w:rPr>
            </w:pPr>
            <w:r>
              <w:rPr>
                <w:b/>
                <w:bCs/>
                <w:i/>
                <w:iCs/>
                <w:sz w:val="16"/>
                <w:szCs w:val="16"/>
              </w:rPr>
              <w:t>99,33</w:t>
            </w:r>
          </w:p>
          <w:p>
            <w:pPr>
              <w:pStyle w:val="Normal"/>
              <w:widowControl w:val="false"/>
              <w:tabs>
                <w:tab w:val="clear" w:pos="720"/>
              </w:tabs>
              <w:spacing w:lineRule="auto" w:line="240" w:before="20" w:after="40"/>
              <w:contextualSpacing/>
              <w:rPr>
                <w:sz w:val="16"/>
                <w:szCs w:val="16"/>
              </w:rPr>
            </w:pPr>
            <w:r>
              <w:rPr>
                <w:b/>
                <w:bCs/>
                <w:i/>
                <w:iCs/>
                <w:sz w:val="16"/>
                <w:szCs w:val="16"/>
              </w:rPr>
              <w:t>(косвенное участие)</w:t>
            </w:r>
          </w:p>
        </w:tc>
        <w:tc>
          <w:tcPr>
            <w:tcW w:w="1362"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27,97</w:t>
            </w:r>
          </w:p>
        </w:tc>
        <w:tc>
          <w:tcPr>
            <w:tcW w:w="1390"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94.51</w:t>
            </w:r>
          </w:p>
          <w:p>
            <w:pPr>
              <w:pStyle w:val="Normal"/>
              <w:widowControl w:val="false"/>
              <w:tabs>
                <w:tab w:val="clear" w:pos="720"/>
              </w:tabs>
              <w:spacing w:lineRule="auto" w:line="240" w:before="20" w:after="40"/>
              <w:contextualSpacing/>
              <w:rPr>
                <w:sz w:val="16"/>
                <w:szCs w:val="16"/>
              </w:rPr>
            </w:pPr>
            <w:r>
              <w:rPr>
                <w:b/>
                <w:bCs/>
                <w:i/>
                <w:iCs/>
                <w:sz w:val="16"/>
                <w:szCs w:val="16"/>
              </w:rPr>
              <w:t>(прямое и косвенное участие)</w:t>
            </w:r>
          </w:p>
        </w:tc>
        <w:tc>
          <w:tcPr>
            <w:tcW w:w="789"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94.51</w:t>
            </w:r>
          </w:p>
        </w:tc>
      </w:tr>
      <w:tr>
        <w:trPr/>
        <w:tc>
          <w:tcPr>
            <w:tcW w:w="183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Коптяков С.С.</w:t>
            </w:r>
          </w:p>
        </w:tc>
        <w:tc>
          <w:tcPr>
            <w:tcW w:w="2378"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член Совета директоров ПАО «Камчатскэнерго», одновременно являющийся членом Совета директоров стороны в сделке – ПАО «ДЭК».</w:t>
            </w:r>
          </w:p>
        </w:tc>
        <w:tc>
          <w:tcPr>
            <w:tcW w:w="1435"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0</w:t>
            </w:r>
          </w:p>
        </w:tc>
        <w:tc>
          <w:tcPr>
            <w:tcW w:w="1362"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0</w:t>
            </w:r>
          </w:p>
        </w:tc>
        <w:tc>
          <w:tcPr>
            <w:tcW w:w="1390"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0</w:t>
            </w:r>
          </w:p>
        </w:tc>
        <w:tc>
          <w:tcPr>
            <w:tcW w:w="789"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0</w:t>
            </w:r>
          </w:p>
        </w:tc>
      </w:tr>
    </w:tbl>
    <w:p>
      <w:pPr>
        <w:pStyle w:val="Normal"/>
        <w:widowControl w:val="false"/>
        <w:spacing w:lineRule="auto" w:line="240"/>
        <w:rPr>
          <w:rFonts w:cs="Times New Roman"/>
          <w:b/>
          <w:bCs/>
          <w:szCs w:val="20"/>
        </w:rPr>
      </w:pPr>
      <w:r>
        <w:rPr>
          <w:rFonts w:cs="Times New Roman"/>
          <w:b/>
          <w:bCs/>
          <w:szCs w:val="20"/>
        </w:rPr>
      </w:r>
    </w:p>
    <w:p>
      <w:pPr>
        <w:pStyle w:val="Normal"/>
        <w:spacing w:lineRule="auto" w:line="240"/>
        <w:jc w:val="left"/>
        <w:rPr>
          <w:rFonts w:cs="Times New Roman"/>
          <w:szCs w:val="20"/>
        </w:rPr>
      </w:pPr>
      <w:r>
        <w:rPr>
          <w:rFonts w:cs="Times New Roman"/>
          <w:szCs w:val="20"/>
        </w:rPr>
      </w:r>
    </w:p>
    <w:p>
      <w:pPr>
        <w:pStyle w:val="Normal"/>
        <w:spacing w:lineRule="auto" w:line="240"/>
        <w:jc w:val="left"/>
        <w:rPr>
          <w:b w:val="false"/>
          <w:bCs w:val="false"/>
        </w:rPr>
      </w:pPr>
      <w:r>
        <w:rPr>
          <w:rFonts w:cs="Times New Roman"/>
          <w:b w:val="false"/>
          <w:bCs w:val="false"/>
          <w:szCs w:val="20"/>
        </w:rPr>
        <w:t>8.</w:t>
      </w:r>
    </w:p>
    <w:p>
      <w:pPr>
        <w:pStyle w:val="Normal"/>
        <w:spacing w:lineRule="auto" w:line="240"/>
        <w:jc w:val="both"/>
        <w:rPr/>
      </w:pPr>
      <w:r>
        <w:rPr>
          <w:rFonts w:cs="Times New Roman"/>
          <w:b/>
          <w:bCs/>
          <w:i/>
          <w:iCs/>
          <w:szCs w:val="20"/>
        </w:rPr>
        <w:t>Дополнительное соглашение № 1 к Договору по морской перевозке нефтепродуктов от 18.02.2025 № 73600-ОСН ТОПЛИВО-2025-КамчЭн</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 xml:space="preserve">Дата совершения сделки, либо дата совершения первой сделки из последовательности взаимосвязанных: </w:t>
      </w:r>
      <w:r>
        <w:rPr>
          <w:rFonts w:cs="Times New Roman"/>
          <w:b/>
          <w:bCs/>
          <w:i/>
          <w:iCs/>
          <w:szCs w:val="20"/>
        </w:rPr>
        <w:t>от 04.08.2025</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Лицо (лица), признанное (признанные) в соответствии с законодательством Российской Федерации лицом (лицами), заинтересованным (заинтересованными) в совершении сделки:</w:t>
      </w:r>
      <w:r>
        <w:rPr>
          <w:rFonts w:cs="Times New Roman"/>
          <w:b/>
          <w:bCs/>
          <w:i/>
          <w:iCs/>
          <w:szCs w:val="20"/>
        </w:rPr>
        <w:t xml:space="preserve"> </w:t>
      </w:r>
    </w:p>
    <w:p>
      <w:pPr>
        <w:pStyle w:val="Normal"/>
        <w:spacing w:lineRule="auto" w:line="240"/>
        <w:jc w:val="both"/>
        <w:rPr/>
      </w:pPr>
      <w:r>
        <w:rPr>
          <w:rFonts w:cs="Times New Roman"/>
          <w:b/>
          <w:bCs/>
          <w:i/>
          <w:iCs/>
          <w:szCs w:val="20"/>
        </w:rPr>
        <w:t>АО «РАО ЭС Востока» - контролирующее лицо ПАО «Камчатскэнерго» (прямой контроль), являющееся одновременно контролирующим лицом стороны в сделке – АО «РГ Логистика» (косвенный контроль);</w:t>
      </w:r>
    </w:p>
    <w:p>
      <w:pPr>
        <w:pStyle w:val="Normal"/>
        <w:spacing w:lineRule="auto" w:line="240"/>
        <w:jc w:val="both"/>
        <w:rPr>
          <w:rFonts w:cs="Times New Roman"/>
          <w:b/>
          <w:bCs/>
          <w:i/>
          <w:i/>
          <w:iCs/>
          <w:szCs w:val="20"/>
        </w:rPr>
      </w:pPr>
      <w:r>
        <w:rPr>
          <w:rFonts w:cs="Times New Roman"/>
          <w:b/>
          <w:bCs/>
          <w:i/>
          <w:iCs/>
          <w:szCs w:val="20"/>
        </w:rPr>
      </w:r>
    </w:p>
    <w:p>
      <w:pPr>
        <w:pStyle w:val="Normal"/>
        <w:spacing w:lineRule="auto" w:line="240"/>
        <w:jc w:val="both"/>
        <w:rPr/>
      </w:pPr>
      <w:r>
        <w:rPr>
          <w:rFonts w:cs="Times New Roman"/>
          <w:b/>
          <w:bCs/>
          <w:i/>
          <w:iCs/>
          <w:szCs w:val="20"/>
        </w:rPr>
        <w:t>ПАО «РусГидро» - контролирующее лицо ПАО «Камчатскэнерго» (косвенный контроль), являющееся одновременно контролирующим лицом стороны в сделке – АО «РГ Логистика» (косвенный контроль);</w:t>
      </w:r>
    </w:p>
    <w:p>
      <w:pPr>
        <w:pStyle w:val="Normal"/>
        <w:spacing w:lineRule="auto" w:line="240"/>
        <w:jc w:val="both"/>
        <w:rPr>
          <w:rFonts w:cs="Times New Roman"/>
          <w:b/>
          <w:bCs/>
          <w:i/>
          <w:i/>
          <w:iCs/>
          <w:szCs w:val="20"/>
        </w:rPr>
      </w:pPr>
      <w:r>
        <w:rPr>
          <w:rFonts w:cs="Times New Roman"/>
          <w:b/>
          <w:bCs/>
          <w:i/>
          <w:iCs/>
          <w:szCs w:val="20"/>
        </w:rPr>
      </w:r>
    </w:p>
    <w:p>
      <w:pPr>
        <w:pStyle w:val="Normal"/>
        <w:shd w:fill="FFFFFF"/>
        <w:tabs>
          <w:tab w:val="clear" w:pos="720"/>
          <w:tab w:val="left" w:pos="426" w:leader="none"/>
        </w:tabs>
        <w:spacing w:lineRule="auto" w:line="240"/>
        <w:jc w:val="both"/>
        <w:rPr/>
      </w:pPr>
      <w:r>
        <w:rPr>
          <w:rFonts w:cs="Times New Roman"/>
          <w:b/>
          <w:bCs/>
          <w:i/>
          <w:iCs/>
          <w:szCs w:val="20"/>
        </w:rPr>
        <w:t>Ткачёва Н.Н. – член Совета директоров ПАО «Камчатскэнерго», одновременно являющаяся членом Совета директоров стороны в сделке - АО «РГ Логистика».</w:t>
      </w:r>
    </w:p>
    <w:p>
      <w:pPr>
        <w:pStyle w:val="Normal"/>
        <w:shd w:fill="FFFFFF"/>
        <w:tabs>
          <w:tab w:val="clear" w:pos="720"/>
          <w:tab w:val="left" w:pos="426" w:leader="none"/>
        </w:tabs>
        <w:spacing w:lineRule="auto" w:line="240"/>
        <w:jc w:val="both"/>
        <w:rPr>
          <w:rFonts w:cs="Times New Roman"/>
          <w:b/>
          <w:bCs/>
          <w:i/>
          <w:i/>
          <w:iCs/>
          <w:szCs w:val="20"/>
        </w:rPr>
      </w:pPr>
      <w:r>
        <w:rPr>
          <w:rFonts w:cs="Times New Roman"/>
          <w:b/>
          <w:bCs/>
          <w:i/>
          <w:iCs/>
          <w:szCs w:val="20"/>
        </w:rPr>
      </w:r>
    </w:p>
    <w:p>
      <w:pPr>
        <w:pStyle w:val="Normal"/>
        <w:spacing w:lineRule="auto" w:line="240"/>
        <w:jc w:val="both"/>
        <w:rPr/>
      </w:pPr>
      <w:r>
        <w:rPr>
          <w:rFonts w:cs="Times New Roman"/>
          <w:szCs w:val="20"/>
        </w:rPr>
        <w:t>Существенные условия сделки:</w:t>
      </w:r>
    </w:p>
    <w:p>
      <w:pPr>
        <w:pStyle w:val="Normal"/>
        <w:spacing w:lineRule="auto" w:line="240"/>
        <w:jc w:val="both"/>
        <w:rPr/>
      </w:pPr>
      <w:r>
        <w:rPr>
          <w:rFonts w:cs="Times New Roman"/>
          <w:b/>
          <w:bCs/>
          <w:i/>
          <w:iCs/>
          <w:szCs w:val="20"/>
        </w:rPr>
        <w:t>Стороны Дополнительного соглашения: Заказчик – ПАО «Камчатскэнерго»; Исполнитель – АО «РГ Логистика».</w:t>
      </w:r>
    </w:p>
    <w:p>
      <w:pPr>
        <w:pStyle w:val="Normal"/>
        <w:spacing w:lineRule="auto" w:line="240"/>
        <w:jc w:val="both"/>
        <w:rPr/>
      </w:pPr>
      <w:r>
        <w:rPr>
          <w:rFonts w:cs="Times New Roman"/>
          <w:b/>
          <w:bCs/>
          <w:i/>
          <w:iCs/>
          <w:szCs w:val="20"/>
        </w:rPr>
        <w:t>Предмет Дополнительного соглашения: Внесение следующих изменений в Договор: 1. Изложить пункт 1.6 Договора в следующей редакции:</w:t>
      </w:r>
    </w:p>
    <w:p>
      <w:pPr>
        <w:pStyle w:val="Normal"/>
        <w:spacing w:lineRule="auto" w:line="240"/>
        <w:jc w:val="both"/>
        <w:rPr/>
      </w:pPr>
      <w:r>
        <w:rPr>
          <w:rFonts w:cs="Times New Roman"/>
          <w:b/>
          <w:bCs/>
          <w:i/>
          <w:iCs/>
          <w:szCs w:val="20"/>
        </w:rPr>
        <w:t>«1.6. Общий срок оказания Услуг:</w:t>
      </w:r>
    </w:p>
    <w:p>
      <w:pPr>
        <w:pStyle w:val="Normal"/>
        <w:spacing w:lineRule="auto" w:line="240"/>
        <w:jc w:val="both"/>
        <w:rPr/>
      </w:pPr>
      <w:r>
        <w:rPr>
          <w:rFonts w:cs="Times New Roman"/>
          <w:b/>
          <w:bCs/>
          <w:i/>
          <w:iCs/>
          <w:szCs w:val="20"/>
        </w:rPr>
        <w:t>1.6.1. Начало оказания Услуг: 18.02.2025.</w:t>
      </w:r>
    </w:p>
    <w:p>
      <w:pPr>
        <w:pStyle w:val="Normal"/>
        <w:spacing w:lineRule="auto" w:line="240"/>
        <w:jc w:val="both"/>
        <w:rPr/>
      </w:pPr>
      <w:r>
        <w:rPr>
          <w:rFonts w:cs="Times New Roman"/>
          <w:b/>
          <w:bCs/>
          <w:i/>
          <w:iCs/>
          <w:szCs w:val="20"/>
        </w:rPr>
        <w:t>1.6.2. Окончание оказания Услуг: 31.12.2025».</w:t>
      </w:r>
    </w:p>
    <w:p>
      <w:pPr>
        <w:pStyle w:val="Normal"/>
        <w:spacing w:lineRule="auto" w:line="240"/>
        <w:jc w:val="both"/>
        <w:rPr/>
      </w:pPr>
      <w:r>
        <w:rPr>
          <w:rFonts w:cs="Times New Roman"/>
          <w:b/>
          <w:bCs/>
          <w:i/>
          <w:iCs/>
          <w:szCs w:val="20"/>
        </w:rPr>
        <w:t>2. Изложить пункт 14.1 Договора в следующей редакции:</w:t>
      </w:r>
    </w:p>
    <w:p>
      <w:pPr>
        <w:pStyle w:val="Normal"/>
        <w:spacing w:lineRule="auto" w:line="240"/>
        <w:jc w:val="both"/>
        <w:rPr/>
      </w:pPr>
      <w:r>
        <w:rPr>
          <w:rFonts w:cs="Times New Roman"/>
          <w:b/>
          <w:bCs/>
          <w:i/>
          <w:iCs/>
          <w:szCs w:val="20"/>
        </w:rPr>
        <w:t>«14.1. Договор вступает в силу с даты его подписания Сторонами и распространяет свое действие на правоотношения Сторон, возникшие с 18.02.2025, и действует до полного исполнения ими принятых на себя обязательств.».</w:t>
      </w:r>
    </w:p>
    <w:p>
      <w:pPr>
        <w:pStyle w:val="Normal"/>
        <w:spacing w:lineRule="auto" w:line="240"/>
        <w:jc w:val="both"/>
        <w:rPr/>
      </w:pPr>
      <w:r>
        <w:rPr>
          <w:rFonts w:cs="Times New Roman"/>
          <w:b/>
          <w:bCs/>
          <w:i/>
          <w:iCs/>
          <w:szCs w:val="20"/>
        </w:rPr>
        <w:t>Цена Договора (с учетом Дополнительного соглашения):</w:t>
      </w:r>
    </w:p>
    <w:p>
      <w:pPr>
        <w:pStyle w:val="Normal"/>
        <w:spacing w:lineRule="auto" w:line="240"/>
        <w:jc w:val="both"/>
        <w:rPr/>
      </w:pPr>
      <w:r>
        <w:rPr>
          <w:rFonts w:cs="Times New Roman"/>
          <w:b/>
          <w:bCs/>
          <w:i/>
          <w:iCs/>
          <w:szCs w:val="20"/>
        </w:rPr>
        <w:t>не меняется, является предельной и составляет 1 146 596 960 (Один миллиард сто сорок шесть миллионов пятьсот девяносто шесть тысяч девятьсот шестьдесят) рублей 00 копеек без учёта НДС, при этом НДС исчисляется дополнительно по ставке, установленной статьей 164 Налогового кодекса РФ.</w:t>
      </w:r>
    </w:p>
    <w:p>
      <w:pPr>
        <w:pStyle w:val="Normal"/>
        <w:spacing w:lineRule="auto" w:line="240"/>
        <w:jc w:val="both"/>
        <w:rPr/>
      </w:pPr>
      <w:r>
        <w:rPr>
          <w:rFonts w:cs="Times New Roman"/>
          <w:b/>
          <w:bCs/>
          <w:i/>
          <w:iCs/>
          <w:szCs w:val="20"/>
        </w:rPr>
        <w:t>Срок оказания услуг (с учетом Дополнительного соглашения): С 18.02.2025 по 31.12.2025.</w:t>
      </w:r>
    </w:p>
    <w:p>
      <w:pPr>
        <w:pStyle w:val="Normal"/>
        <w:spacing w:lineRule="auto" w:line="240"/>
        <w:jc w:val="both"/>
        <w:rPr/>
      </w:pPr>
      <w:r>
        <w:rPr>
          <w:rFonts w:cs="Times New Roman"/>
          <w:b/>
          <w:bCs/>
          <w:i/>
          <w:iCs/>
          <w:szCs w:val="20"/>
        </w:rPr>
        <w:t>Срок действия Дополнительного соглашения:</w:t>
      </w:r>
    </w:p>
    <w:p>
      <w:pPr>
        <w:pStyle w:val="Normal"/>
        <w:spacing w:lineRule="auto" w:line="240"/>
        <w:jc w:val="both"/>
        <w:rPr/>
      </w:pPr>
      <w:r>
        <w:rPr>
          <w:rFonts w:cs="Times New Roman"/>
          <w:b/>
          <w:bCs/>
          <w:i/>
          <w:iCs/>
          <w:szCs w:val="20"/>
        </w:rPr>
        <w:t>Соглашение вступает в силу с даты подписания Сторонами. В соответствии с пунктом 2 статьи 425 ГК РФ условия Соглашения применяются к отношениям Сторон, возникшим с 18.02.2025.</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 xml:space="preserve">Орган управления эмитента, принявший решение о согласии на ее совершение или ее последующем одобрении: </w:t>
      </w:r>
      <w:r>
        <w:rPr>
          <w:rFonts w:cs="Times New Roman"/>
          <w:b/>
          <w:bCs/>
          <w:i/>
          <w:iCs/>
          <w:szCs w:val="20"/>
        </w:rPr>
        <w:t>Совет директоров ПАО «Камчатскэнерго» (Протокол № 3 от 25.07.2025)</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 xml:space="preserve">Размер сделки (группы взаимосвязанных сделок) составлял 2 и более процента балансовой стоимости активов эмитента: </w:t>
      </w:r>
      <w:r>
        <w:rPr>
          <w:rFonts w:cs="Times New Roman"/>
          <w:b/>
          <w:bCs/>
          <w:i/>
          <w:iCs/>
          <w:szCs w:val="20"/>
        </w:rPr>
        <w:t>Да</w:t>
      </w:r>
    </w:p>
    <w:p>
      <w:pPr>
        <w:pStyle w:val="Normal"/>
        <w:spacing w:lineRule="auto" w:line="240" w:before="240" w:after="40"/>
        <w:contextualSpacing/>
        <w:jc w:val="both"/>
        <w:rPr/>
      </w:pPr>
      <w:r>
        <w:rPr/>
      </w:r>
    </w:p>
    <w:tbl>
      <w:tblPr>
        <w:tblW w:w="9413" w:type="dxa"/>
        <w:jc w:val="left"/>
        <w:tblInd w:w="86" w:type="dxa"/>
        <w:tblLayout w:type="fixed"/>
        <w:tblCellMar>
          <w:top w:w="0" w:type="dxa"/>
          <w:left w:w="72" w:type="dxa"/>
          <w:bottom w:w="0" w:type="dxa"/>
          <w:right w:w="72" w:type="dxa"/>
        </w:tblCellMar>
      </w:tblPr>
      <w:tblGrid>
        <w:gridCol w:w="1867"/>
        <w:gridCol w:w="2605"/>
        <w:gridCol w:w="1650"/>
        <w:gridCol w:w="1126"/>
        <w:gridCol w:w="1364"/>
        <w:gridCol w:w="800"/>
      </w:tblGrid>
      <w:tr>
        <w:trPr/>
        <w:tc>
          <w:tcPr>
            <w:tcW w:w="1867"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Наименование заинтересованного лица</w:t>
            </w:r>
          </w:p>
        </w:tc>
        <w:tc>
          <w:tcPr>
            <w:tcW w:w="2605"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Основание (основания), по которому (по которым) лицо признано заинтересованным в совершении сделки</w:t>
            </w:r>
          </w:p>
        </w:tc>
        <w:tc>
          <w:tcPr>
            <w:tcW w:w="1650"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Доля участия заинтересованного лица в уставном (складочном) капитале эмитента</w:t>
            </w:r>
          </w:p>
          <w:p>
            <w:pPr>
              <w:pStyle w:val="Normal"/>
              <w:widowControl w:val="false"/>
              <w:tabs>
                <w:tab w:val="clear" w:pos="720"/>
              </w:tabs>
              <w:spacing w:lineRule="auto" w:line="240"/>
              <w:jc w:val="both"/>
              <w:rPr>
                <w:sz w:val="16"/>
                <w:szCs w:val="16"/>
              </w:rPr>
            </w:pPr>
            <w:r>
              <w:rPr>
                <w:sz w:val="16"/>
                <w:szCs w:val="16"/>
              </w:rPr>
            </w:r>
          </w:p>
          <w:p>
            <w:pPr>
              <w:pStyle w:val="Normal"/>
              <w:widowControl w:val="false"/>
              <w:tabs>
                <w:tab w:val="clear" w:pos="720"/>
              </w:tabs>
              <w:spacing w:lineRule="auto" w:line="240" w:before="20" w:after="40"/>
              <w:contextualSpacing/>
              <w:jc w:val="both"/>
              <w:rPr>
                <w:sz w:val="16"/>
                <w:szCs w:val="16"/>
              </w:rPr>
            </w:pPr>
            <w:r>
              <w:rPr>
                <w:b/>
                <w:bCs/>
                <w:i/>
                <w:iCs/>
                <w:sz w:val="16"/>
                <w:szCs w:val="16"/>
              </w:rPr>
              <w:t>(по состоянию на дату заключения сделки)</w:t>
            </w:r>
          </w:p>
        </w:tc>
        <w:tc>
          <w:tcPr>
            <w:tcW w:w="1126"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Доля принадлежавших заинтересованному лицу акций эмитента</w:t>
            </w:r>
          </w:p>
        </w:tc>
        <w:tc>
          <w:tcPr>
            <w:tcW w:w="1364"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Доля участия заинтересованного лица в уставном (складочном) капитале юридического лица, являвшегося стороной в сделке</w:t>
            </w:r>
          </w:p>
        </w:tc>
        <w:tc>
          <w:tcPr>
            <w:tcW w:w="800"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Доля принадлежавших заинтересованному лицу акций юридического лица, являвшегося стороной в сделке</w:t>
            </w:r>
          </w:p>
        </w:tc>
      </w:tr>
      <w:tr>
        <w:trPr/>
        <w:tc>
          <w:tcPr>
            <w:tcW w:w="1867"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АО «РАО ЭС Востока»</w:t>
            </w:r>
          </w:p>
        </w:tc>
        <w:tc>
          <w:tcPr>
            <w:tcW w:w="2605"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контролирующее лицо ПАО «Камчатскэнерго» (прямой контроль),</w:t>
            </w:r>
          </w:p>
          <w:p>
            <w:pPr>
              <w:pStyle w:val="Normal"/>
              <w:widowControl w:val="false"/>
              <w:tabs>
                <w:tab w:val="clear" w:pos="720"/>
              </w:tabs>
              <w:spacing w:lineRule="auto" w:line="240" w:before="20" w:after="40"/>
              <w:contextualSpacing/>
              <w:jc w:val="both"/>
              <w:rPr>
                <w:sz w:val="16"/>
                <w:szCs w:val="16"/>
              </w:rPr>
            </w:pPr>
            <w:r>
              <w:rPr>
                <w:b/>
                <w:bCs/>
                <w:i/>
                <w:iCs/>
                <w:sz w:val="16"/>
                <w:szCs w:val="16"/>
              </w:rPr>
              <w:t>являющееся одновременно контролирующим лицом стороны в сделке – ПАО «ДЭК» (прямой контроль)</w:t>
            </w:r>
          </w:p>
        </w:tc>
        <w:tc>
          <w:tcPr>
            <w:tcW w:w="1650"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71,31</w:t>
            </w:r>
          </w:p>
          <w:p>
            <w:pPr>
              <w:pStyle w:val="Normal"/>
              <w:widowControl w:val="false"/>
              <w:tabs>
                <w:tab w:val="clear" w:pos="720"/>
              </w:tabs>
              <w:spacing w:lineRule="auto" w:line="240"/>
              <w:jc w:val="both"/>
              <w:rPr>
                <w:sz w:val="16"/>
                <w:szCs w:val="16"/>
              </w:rPr>
            </w:pPr>
            <w:r>
              <w:rPr>
                <w:b/>
                <w:bCs/>
                <w:i/>
                <w:iCs/>
                <w:sz w:val="16"/>
                <w:szCs w:val="16"/>
              </w:rPr>
              <w:t>(прямое участие)</w:t>
            </w:r>
          </w:p>
          <w:p>
            <w:pPr>
              <w:pStyle w:val="Normal"/>
              <w:widowControl w:val="false"/>
              <w:tabs>
                <w:tab w:val="clear" w:pos="720"/>
              </w:tabs>
              <w:spacing w:lineRule="auto" w:line="240" w:before="0" w:after="0"/>
              <w:contextualSpacing/>
              <w:jc w:val="both"/>
              <w:rPr>
                <w:b/>
                <w:bCs/>
                <w:i/>
                <w:i/>
                <w:iCs/>
                <w:sz w:val="16"/>
                <w:szCs w:val="16"/>
              </w:rPr>
            </w:pPr>
            <w:r>
              <w:rPr>
                <w:b/>
                <w:bCs/>
                <w:i/>
                <w:iCs/>
                <w:sz w:val="16"/>
                <w:szCs w:val="16"/>
              </w:rPr>
            </w:r>
          </w:p>
        </w:tc>
        <w:tc>
          <w:tcPr>
            <w:tcW w:w="1126"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71,31</w:t>
            </w:r>
          </w:p>
        </w:tc>
        <w:tc>
          <w:tcPr>
            <w:tcW w:w="1364"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59,92</w:t>
            </w:r>
          </w:p>
          <w:p>
            <w:pPr>
              <w:pStyle w:val="Normal"/>
              <w:widowControl w:val="false"/>
              <w:tabs>
                <w:tab w:val="clear" w:pos="720"/>
              </w:tabs>
              <w:spacing w:lineRule="auto" w:line="240" w:before="20" w:after="40"/>
              <w:contextualSpacing/>
              <w:jc w:val="both"/>
              <w:rPr>
                <w:sz w:val="16"/>
                <w:szCs w:val="16"/>
              </w:rPr>
            </w:pPr>
            <w:r>
              <w:rPr>
                <w:b/>
                <w:bCs/>
                <w:i/>
                <w:iCs/>
                <w:sz w:val="16"/>
                <w:szCs w:val="16"/>
              </w:rPr>
              <w:t>(прямое участие)</w:t>
            </w:r>
          </w:p>
        </w:tc>
        <w:tc>
          <w:tcPr>
            <w:tcW w:w="800"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59,92</w:t>
            </w:r>
          </w:p>
        </w:tc>
      </w:tr>
      <w:tr>
        <w:trPr/>
        <w:tc>
          <w:tcPr>
            <w:tcW w:w="1867"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ПАО «РусГидро»</w:t>
            </w:r>
          </w:p>
        </w:tc>
        <w:tc>
          <w:tcPr>
            <w:tcW w:w="2605"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контролирующее лицо ПАО «Камчатскэнерго» (косвенный контроль), являющееся одновременно контролирующим лицом стороны в сделке – ПАО «ДЭК» (косвенный контроль)</w:t>
            </w:r>
          </w:p>
        </w:tc>
        <w:tc>
          <w:tcPr>
            <w:tcW w:w="1650"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27,97</w:t>
            </w:r>
          </w:p>
          <w:p>
            <w:pPr>
              <w:pStyle w:val="Normal"/>
              <w:widowControl w:val="false"/>
              <w:tabs>
                <w:tab w:val="clear" w:pos="720"/>
              </w:tabs>
              <w:spacing w:lineRule="auto" w:line="240"/>
              <w:jc w:val="both"/>
              <w:rPr>
                <w:sz w:val="16"/>
                <w:szCs w:val="16"/>
              </w:rPr>
            </w:pPr>
            <w:r>
              <w:rPr>
                <w:b/>
                <w:bCs/>
                <w:i/>
                <w:iCs/>
                <w:sz w:val="16"/>
                <w:szCs w:val="16"/>
              </w:rPr>
              <w:t>(прямое участие)</w:t>
            </w:r>
          </w:p>
          <w:p>
            <w:pPr>
              <w:pStyle w:val="Normal"/>
              <w:widowControl w:val="false"/>
              <w:tabs>
                <w:tab w:val="clear" w:pos="720"/>
              </w:tabs>
              <w:spacing w:lineRule="auto" w:line="240"/>
              <w:jc w:val="both"/>
              <w:rPr>
                <w:sz w:val="16"/>
                <w:szCs w:val="16"/>
              </w:rPr>
            </w:pPr>
            <w:r>
              <w:rPr>
                <w:b/>
                <w:bCs/>
                <w:i/>
                <w:iCs/>
                <w:sz w:val="16"/>
                <w:szCs w:val="16"/>
              </w:rPr>
              <w:t>99,33</w:t>
            </w:r>
          </w:p>
          <w:p>
            <w:pPr>
              <w:pStyle w:val="Normal"/>
              <w:widowControl w:val="false"/>
              <w:tabs>
                <w:tab w:val="clear" w:pos="720"/>
              </w:tabs>
              <w:spacing w:lineRule="auto" w:line="240" w:before="20" w:after="40"/>
              <w:contextualSpacing/>
              <w:jc w:val="both"/>
              <w:rPr>
                <w:sz w:val="16"/>
                <w:szCs w:val="16"/>
              </w:rPr>
            </w:pPr>
            <w:r>
              <w:rPr>
                <w:b/>
                <w:bCs/>
                <w:i/>
                <w:iCs/>
                <w:sz w:val="16"/>
                <w:szCs w:val="16"/>
              </w:rPr>
              <w:t>(косвенное участие)</w:t>
            </w:r>
          </w:p>
        </w:tc>
        <w:tc>
          <w:tcPr>
            <w:tcW w:w="1126"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27,97</w:t>
            </w:r>
          </w:p>
        </w:tc>
        <w:tc>
          <w:tcPr>
            <w:tcW w:w="1364"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89,28</w:t>
            </w:r>
          </w:p>
          <w:p>
            <w:pPr>
              <w:pStyle w:val="Normal"/>
              <w:widowControl w:val="false"/>
              <w:tabs>
                <w:tab w:val="clear" w:pos="720"/>
              </w:tabs>
              <w:spacing w:lineRule="auto" w:line="240" w:before="20" w:after="40"/>
              <w:contextualSpacing/>
              <w:jc w:val="both"/>
              <w:rPr>
                <w:sz w:val="16"/>
                <w:szCs w:val="16"/>
              </w:rPr>
            </w:pPr>
            <w:r>
              <w:rPr>
                <w:b/>
                <w:bCs/>
                <w:i/>
                <w:iCs/>
                <w:sz w:val="16"/>
                <w:szCs w:val="16"/>
              </w:rPr>
              <w:t>(косвенное участие)</w:t>
            </w:r>
          </w:p>
        </w:tc>
        <w:tc>
          <w:tcPr>
            <w:tcW w:w="800"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0</w:t>
            </w:r>
          </w:p>
        </w:tc>
      </w:tr>
      <w:tr>
        <w:trPr/>
        <w:tc>
          <w:tcPr>
            <w:tcW w:w="1867" w:type="dxa"/>
            <w:tcBorders>
              <w:left w:val="single" w:sz="6" w:space="0" w:color="000000"/>
              <w:bottom w:val="single" w:sz="6" w:space="0" w:color="000000"/>
              <w:right w:val="single" w:sz="6" w:space="0" w:color="000000"/>
            </w:tcBorders>
          </w:tcPr>
          <w:p>
            <w:pPr>
              <w:pStyle w:val="Normal"/>
              <w:widowControl w:val="false"/>
              <w:shd w:fill="FFFFFF"/>
              <w:tabs>
                <w:tab w:val="clear" w:pos="720"/>
                <w:tab w:val="left" w:pos="426" w:leader="none"/>
              </w:tabs>
              <w:spacing w:lineRule="auto" w:line="240" w:before="23" w:after="40"/>
              <w:contextualSpacing/>
              <w:jc w:val="both"/>
              <w:rPr>
                <w:sz w:val="16"/>
                <w:szCs w:val="16"/>
              </w:rPr>
            </w:pPr>
            <w:r>
              <w:rPr>
                <w:b/>
                <w:bCs/>
                <w:i/>
                <w:iCs/>
                <w:sz w:val="16"/>
                <w:szCs w:val="16"/>
              </w:rPr>
              <w:t>Ткачёва Н.Н.</w:t>
            </w:r>
          </w:p>
        </w:tc>
        <w:tc>
          <w:tcPr>
            <w:tcW w:w="2605" w:type="dxa"/>
            <w:tcBorders>
              <w:left w:val="single" w:sz="6" w:space="0" w:color="000000"/>
              <w:bottom w:val="single" w:sz="6" w:space="0" w:color="000000"/>
              <w:right w:val="single" w:sz="6" w:space="0" w:color="000000"/>
            </w:tcBorders>
          </w:tcPr>
          <w:p>
            <w:pPr>
              <w:pStyle w:val="Normal"/>
              <w:widowControl w:val="false"/>
              <w:shd w:fill="FFFFFF"/>
              <w:tabs>
                <w:tab w:val="clear" w:pos="720"/>
                <w:tab w:val="left" w:pos="426" w:leader="none"/>
              </w:tabs>
              <w:spacing w:lineRule="auto" w:line="240" w:before="23" w:after="40"/>
              <w:contextualSpacing/>
              <w:jc w:val="both"/>
              <w:rPr>
                <w:sz w:val="16"/>
                <w:szCs w:val="16"/>
              </w:rPr>
            </w:pPr>
            <w:r>
              <w:rPr>
                <w:b/>
                <w:bCs/>
                <w:i/>
                <w:iCs/>
                <w:sz w:val="16"/>
                <w:szCs w:val="16"/>
              </w:rPr>
              <w:t>член Совета директоров ПАО «Камчатскэнерго», одновременно являющаяся членом Совета директоров стороны в сделке - АО «РГ Логистика»</w:t>
            </w:r>
          </w:p>
        </w:tc>
        <w:tc>
          <w:tcPr>
            <w:tcW w:w="1650" w:type="dxa"/>
            <w:tcBorders>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0</w:t>
            </w:r>
          </w:p>
        </w:tc>
        <w:tc>
          <w:tcPr>
            <w:tcW w:w="1126" w:type="dxa"/>
            <w:tcBorders>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0</w:t>
            </w:r>
          </w:p>
        </w:tc>
        <w:tc>
          <w:tcPr>
            <w:tcW w:w="1364" w:type="dxa"/>
            <w:tcBorders>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0</w:t>
            </w:r>
          </w:p>
        </w:tc>
        <w:tc>
          <w:tcPr>
            <w:tcW w:w="800" w:type="dxa"/>
            <w:tcBorders>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0</w:t>
            </w:r>
          </w:p>
        </w:tc>
      </w:tr>
    </w:tbl>
    <w:p>
      <w:pPr>
        <w:pStyle w:val="Normal"/>
        <w:widowControl w:val="false"/>
        <w:spacing w:lineRule="auto" w:line="240"/>
        <w:jc w:val="both"/>
        <w:rPr>
          <w:rFonts w:cs="Times New Roman"/>
          <w:b/>
          <w:bCs/>
          <w:szCs w:val="20"/>
        </w:rPr>
      </w:pPr>
      <w:r>
        <w:rPr>
          <w:rFonts w:cs="Times New Roman"/>
          <w:b/>
          <w:bCs/>
          <w:szCs w:val="20"/>
        </w:rPr>
      </w:r>
    </w:p>
    <w:p>
      <w:pPr>
        <w:pStyle w:val="Normal"/>
        <w:spacing w:lineRule="auto" w:line="240"/>
        <w:jc w:val="left"/>
        <w:rPr>
          <w:highlight w:val="none"/>
          <w:shd w:fill="auto" w:val="clear"/>
        </w:rPr>
      </w:pPr>
      <w:r>
        <w:rPr>
          <w:rFonts w:cs="Times New Roman"/>
          <w:szCs w:val="20"/>
        </w:rPr>
        <w:t>9.</w:t>
      </w:r>
    </w:p>
    <w:p>
      <w:pPr>
        <w:pStyle w:val="Normal"/>
        <w:shd w:fill="FFFFFF"/>
        <w:spacing w:lineRule="auto" w:line="240" w:before="0" w:after="0"/>
        <w:ind w:left="0" w:right="140" w:hanging="0"/>
        <w:contextualSpacing/>
        <w:jc w:val="both"/>
        <w:rPr>
          <w:highlight w:val="none"/>
          <w:shd w:fill="auto" w:val="clear"/>
        </w:rPr>
      </w:pPr>
      <w:r>
        <w:rPr>
          <w:rFonts w:cs="Times New Roman"/>
          <w:b/>
          <w:bCs/>
          <w:i/>
          <w:iCs/>
          <w:szCs w:val="20"/>
          <w:shd w:fill="auto" w:val="clear"/>
        </w:rPr>
        <w:t>Дополнительное соглашение № 3 к Договору займа от 24.07.2018 № 1010-252-26-2018.</w:t>
      </w:r>
    </w:p>
    <w:p>
      <w:pPr>
        <w:pStyle w:val="Normal"/>
        <w:spacing w:lineRule="auto" w:line="240"/>
        <w:jc w:val="both"/>
        <w:rPr>
          <w:rFonts w:cs="Times New Roman"/>
          <w:szCs w:val="20"/>
          <w:highlight w:val="none"/>
          <w:shd w:fill="auto" w:val="clear"/>
        </w:rPr>
      </w:pPr>
      <w:r>
        <w:rPr>
          <w:rFonts w:cs="Times New Roman"/>
          <w:szCs w:val="20"/>
          <w:shd w:fill="auto" w:val="clear"/>
        </w:rPr>
      </w:r>
    </w:p>
    <w:p>
      <w:pPr>
        <w:pStyle w:val="Normal"/>
        <w:spacing w:lineRule="auto" w:line="240"/>
        <w:jc w:val="both"/>
        <w:rPr/>
      </w:pPr>
      <w:r>
        <w:rPr>
          <w:rFonts w:cs="Times New Roman"/>
          <w:szCs w:val="20"/>
          <w:shd w:fill="auto" w:val="clear"/>
        </w:rPr>
        <w:t>Дата совершения сделки, либо дата совершения первой сделки из последовательност</w:t>
      </w:r>
      <w:r>
        <w:rPr>
          <w:rFonts w:cs="Times New Roman"/>
          <w:szCs w:val="20"/>
        </w:rPr>
        <w:t xml:space="preserve">и взаимосвязанных: </w:t>
      </w:r>
      <w:r>
        <w:rPr>
          <w:rFonts w:cs="Times New Roman"/>
          <w:b/>
          <w:bCs/>
          <w:i/>
          <w:iCs/>
          <w:szCs w:val="20"/>
        </w:rPr>
        <w:t>29.09.2025</w:t>
      </w:r>
    </w:p>
    <w:p>
      <w:pPr>
        <w:pStyle w:val="Normal"/>
        <w:spacing w:lineRule="auto" w:line="240"/>
        <w:jc w:val="both"/>
        <w:rPr>
          <w:rFonts w:cs="Times New Roman"/>
          <w:szCs w:val="20"/>
        </w:rPr>
      </w:pPr>
      <w:r>
        <w:rPr>
          <w:rFonts w:cs="Times New Roman"/>
          <w:szCs w:val="20"/>
        </w:rPr>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Лицо (лица), признанное (признанные) в соответствии с законодательством Российской Федерации лицом (лицами), заинтересованным (заинтересованными) в совершении сделки:</w:t>
      </w:r>
      <w:r>
        <w:rPr>
          <w:rFonts w:cs="Times New Roman"/>
          <w:b/>
          <w:bCs/>
          <w:i/>
          <w:iCs/>
          <w:szCs w:val="20"/>
        </w:rPr>
        <w:t xml:space="preserve"> </w:t>
      </w:r>
    </w:p>
    <w:p>
      <w:pPr>
        <w:pStyle w:val="Normal"/>
        <w:spacing w:lineRule="auto" w:line="240"/>
        <w:jc w:val="both"/>
        <w:rPr/>
      </w:pPr>
      <w:r>
        <w:rPr>
          <w:rFonts w:cs="Arial Narrow"/>
          <w:b/>
          <w:bCs/>
          <w:i/>
          <w:iCs/>
          <w:szCs w:val="20"/>
        </w:rPr>
        <w:t>ПАО «РусГидро» - контролирующее лицо ПАО «Камчатскэнерго» (косвенный контроль), является одновременно стороной в сделке.</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Существенные условия сделки:</w:t>
      </w:r>
    </w:p>
    <w:p>
      <w:pPr>
        <w:pStyle w:val="Normal"/>
        <w:spacing w:lineRule="auto" w:line="240"/>
        <w:ind w:left="0" w:right="0" w:hanging="0"/>
        <w:jc w:val="both"/>
        <w:rPr/>
      </w:pPr>
      <w:r>
        <w:rPr>
          <w:rFonts w:cs="Arial Narrow"/>
          <w:b/>
          <w:bCs/>
          <w:i/>
          <w:iCs/>
          <w:szCs w:val="20"/>
        </w:rPr>
        <w:t>Стороны по сделке: Заемщик – ПАО «Камчатскэнерго»; Займодавец – ПАО «РусГидро».</w:t>
      </w:r>
    </w:p>
    <w:p>
      <w:pPr>
        <w:pStyle w:val="Normal"/>
        <w:spacing w:lineRule="auto" w:line="240"/>
        <w:ind w:left="0" w:right="0" w:hanging="0"/>
        <w:jc w:val="both"/>
        <w:rPr/>
      </w:pPr>
      <w:r>
        <w:rPr>
          <w:rFonts w:cs="Arial Narrow"/>
          <w:b/>
          <w:bCs/>
          <w:i/>
          <w:iCs/>
          <w:szCs w:val="20"/>
        </w:rPr>
        <w:t>Предмет сделки: Изменение срока займа: заем предоставляется на срок до востребования, но не позднее 28.11.2025 (включительно).</w:t>
      </w:r>
    </w:p>
    <w:p>
      <w:pPr>
        <w:pStyle w:val="Style50"/>
        <w:widowControl w:val="false"/>
        <w:shd w:fill="FFFFFF"/>
        <w:tabs>
          <w:tab w:val="clear" w:pos="720"/>
          <w:tab w:val="left" w:pos="1134" w:leader="none"/>
        </w:tabs>
        <w:bidi w:val="0"/>
        <w:spacing w:lineRule="auto" w:line="240" w:before="0" w:after="0"/>
        <w:ind w:left="0" w:right="0" w:hanging="0"/>
        <w:contextualSpacing/>
        <w:jc w:val="both"/>
        <w:rPr>
          <w:rFonts w:ascii="0" w:hAnsi="0" w:eastAsia="0" w:cs="Arial Narrow"/>
          <w:b/>
          <w:bCs/>
          <w:i/>
          <w:i/>
          <w:iCs/>
          <w:color w:val="000000"/>
          <w:kern w:val="0"/>
          <w:sz w:val="20"/>
          <w:szCs w:val="20"/>
          <w:lang w:val="ru-RU" w:eastAsia="zh-CN" w:bidi="hi-IN"/>
        </w:rPr>
      </w:pPr>
      <w:r>
        <w:rPr>
          <w:rFonts w:eastAsia="0" w:cs="Arial Narrow" w:ascii="0" w:hAnsi="0"/>
          <w:b/>
          <w:bCs/>
          <w:i/>
          <w:iCs/>
          <w:color w:val="000000"/>
          <w:kern w:val="0"/>
          <w:sz w:val="20"/>
          <w:szCs w:val="20"/>
          <w:lang w:val="ru-RU" w:eastAsia="zh-CN" w:bidi="hi-IN"/>
        </w:rPr>
        <w:t>Изменение с 27.06.2025 (включительно) процентной ставки: за пользование займом Заемщик выплачивает Займодавцу проценты в размере:</w:t>
      </w:r>
      <w:bookmarkStart w:id="3" w:name="_GoBack_Копия_2"/>
    </w:p>
    <w:p>
      <w:pPr>
        <w:pStyle w:val="Normal"/>
        <w:tabs>
          <w:tab w:val="clear" w:pos="720"/>
          <w:tab w:val="left" w:pos="7230" w:leader="none"/>
        </w:tabs>
        <w:spacing w:lineRule="auto" w:line="240" w:before="0" w:after="0"/>
        <w:contextualSpacing/>
        <w:jc w:val="both"/>
        <w:rPr/>
      </w:pPr>
      <w:r>
        <w:rPr>
          <w:rFonts w:eastAsia="0" w:cs="Arial Narrow"/>
          <w:b/>
          <w:bCs/>
          <w:i/>
          <w:iCs/>
          <w:color w:val="000000"/>
          <w:kern w:val="0"/>
          <w:sz w:val="20"/>
          <w:szCs w:val="20"/>
          <w:lang w:val="ru-RU" w:eastAsia="zh-CN" w:bidi="hi-IN"/>
        </w:rPr>
        <w:t>- с 24.07.2018 (включительно) по 31.07.20</w:t>
      </w:r>
      <w:r>
        <w:rPr>
          <w:rFonts w:cs="Arial Narrow"/>
          <w:b/>
          <w:bCs/>
          <w:i/>
          <w:iCs/>
          <w:szCs w:val="20"/>
        </w:rPr>
        <w:t>20 (включительно) – по ставке 7,507% (Семь целых пятьсот семь тысячных процентов) годовых;</w:t>
      </w:r>
    </w:p>
    <w:p>
      <w:pPr>
        <w:pStyle w:val="Normal"/>
        <w:tabs>
          <w:tab w:val="clear" w:pos="720"/>
          <w:tab w:val="left" w:pos="7230" w:leader="none"/>
        </w:tabs>
        <w:spacing w:lineRule="auto" w:line="240" w:before="0" w:after="0"/>
        <w:contextualSpacing/>
        <w:jc w:val="both"/>
        <w:rPr/>
      </w:pPr>
      <w:r>
        <w:rPr>
          <w:rFonts w:cs="Arial Narrow"/>
          <w:b/>
          <w:bCs/>
          <w:i/>
          <w:iCs/>
          <w:szCs w:val="20"/>
        </w:rPr>
        <w:t>- с 01.08.2020 (включительно) по 26.06.2025 (включительно) - по ставке - 6,507% (Шесть целых пятьсот семь тысячных процентов) годовых;</w:t>
      </w:r>
    </w:p>
    <w:p>
      <w:pPr>
        <w:pStyle w:val="Normal"/>
        <w:tabs>
          <w:tab w:val="clear" w:pos="720"/>
          <w:tab w:val="left" w:pos="7230" w:leader="none"/>
        </w:tabs>
        <w:spacing w:lineRule="auto" w:line="240" w:before="0" w:after="0"/>
        <w:contextualSpacing/>
        <w:jc w:val="both"/>
        <w:rPr/>
      </w:pPr>
      <w:r>
        <w:rPr>
          <w:rFonts w:cs="Arial Narrow"/>
          <w:b/>
          <w:bCs/>
          <w:i/>
          <w:iCs/>
          <w:szCs w:val="20"/>
        </w:rPr>
        <w:t>- с 27.06.2025 (включительно) - по ставке – 19,117% (Девятнадцать целых сто семнадцать тысячных процентов) годовых.</w:t>
      </w:r>
    </w:p>
    <w:p>
      <w:pPr>
        <w:pStyle w:val="212"/>
        <w:widowControl w:val="false"/>
        <w:tabs>
          <w:tab w:val="clear" w:pos="720"/>
          <w:tab w:val="left" w:pos="0" w:leader="none"/>
        </w:tabs>
        <w:bidi w:val="0"/>
        <w:spacing w:lineRule="auto" w:line="240" w:before="0" w:after="0"/>
        <w:ind w:left="0" w:right="0" w:firstLine="567"/>
        <w:contextualSpacing/>
        <w:rPr/>
      </w:pPr>
      <w:r>
        <w:rPr>
          <w:rFonts w:cs="Arial Narrow"/>
          <w:b/>
          <w:bCs/>
          <w:i/>
          <w:iCs/>
          <w:szCs w:val="20"/>
          <w:lang w:eastAsia="ru-RU"/>
        </w:rPr>
        <w:t>Процентная ставка по Договору подлежит пересмотру и устанавливается Займодавцем на ежеквартальной основе.</w:t>
      </w:r>
    </w:p>
    <w:p>
      <w:pPr>
        <w:pStyle w:val="212"/>
        <w:widowControl w:val="false"/>
        <w:tabs>
          <w:tab w:val="clear" w:pos="720"/>
          <w:tab w:val="left" w:pos="0" w:leader="none"/>
        </w:tabs>
        <w:bidi w:val="0"/>
        <w:spacing w:lineRule="auto" w:line="240" w:before="0" w:after="0"/>
        <w:ind w:left="0" w:right="0" w:firstLine="567"/>
        <w:contextualSpacing/>
        <w:rPr/>
      </w:pPr>
      <w:r>
        <w:rPr>
          <w:rFonts w:cs="Arial Narrow"/>
          <w:b/>
          <w:bCs/>
          <w:i/>
          <w:iCs/>
          <w:szCs w:val="20"/>
          <w:lang w:eastAsia="ru-RU"/>
        </w:rPr>
        <w:t>Займодавец уведомляет Заемщика о значении процентной ставки. Уведомление о значении ставки по форме Приложения № 3 к Договору должно быть направлено одним из способов, указанных в разделе 12 Договора.</w:t>
      </w:r>
    </w:p>
    <w:p>
      <w:pPr>
        <w:pStyle w:val="Normal"/>
        <w:spacing w:lineRule="auto" w:line="240"/>
        <w:jc w:val="both"/>
        <w:rPr/>
      </w:pPr>
      <w:r>
        <w:rPr>
          <w:rFonts w:cs="Arial Narrow"/>
          <w:b/>
          <w:bCs/>
          <w:i/>
          <w:iCs/>
          <w:szCs w:val="20"/>
        </w:rPr>
        <w:t>Заем предоставляется на срок до востребования, но не позднее 28.11.2025 (в</w:t>
      </w:r>
      <w:r>
        <w:rPr>
          <w:rFonts w:eastAsia="0" w:cs="Arial Narrow"/>
          <w:b/>
          <w:bCs/>
          <w:i/>
          <w:iCs/>
          <w:color w:val="000000"/>
          <w:kern w:val="0"/>
          <w:sz w:val="20"/>
          <w:szCs w:val="20"/>
          <w:lang w:val="ru-RU" w:eastAsia="zh-CN" w:bidi="hi-IN"/>
        </w:rPr>
        <w:t>ключительно).</w:t>
      </w:r>
    </w:p>
    <w:p>
      <w:pPr>
        <w:pStyle w:val="Style50"/>
        <w:widowControl w:val="false"/>
        <w:shd w:fill="FFFFFF"/>
        <w:tabs>
          <w:tab w:val="clear" w:pos="720"/>
          <w:tab w:val="left" w:pos="1134" w:leader="none"/>
        </w:tabs>
        <w:bidi w:val="0"/>
        <w:spacing w:lineRule="auto" w:line="240" w:before="0" w:after="0"/>
        <w:ind w:left="0" w:right="0" w:hanging="0"/>
        <w:contextualSpacing/>
        <w:jc w:val="both"/>
        <w:rPr>
          <w:rFonts w:ascii="0" w:hAnsi="0" w:eastAsia="0" w:cs="Arial Narrow"/>
          <w:b/>
          <w:bCs/>
          <w:i/>
          <w:i/>
          <w:iCs/>
          <w:color w:val="000000"/>
          <w:kern w:val="0"/>
          <w:sz w:val="20"/>
          <w:szCs w:val="20"/>
          <w:lang w:val="ru-RU" w:eastAsia="zh-CN" w:bidi="hi-IN"/>
        </w:rPr>
      </w:pPr>
      <w:r>
        <w:rPr>
          <w:rFonts w:eastAsia="0" w:cs="Arial Narrow" w:ascii="0" w:hAnsi="0"/>
          <w:b/>
          <w:bCs/>
          <w:i/>
          <w:iCs/>
          <w:color w:val="000000"/>
          <w:kern w:val="0"/>
          <w:sz w:val="20"/>
          <w:szCs w:val="20"/>
          <w:lang w:val="ru-RU" w:eastAsia="zh-CN" w:bidi="hi-IN"/>
        </w:rPr>
        <w:t>Цена Дополнительного соглашения № 3:</w:t>
      </w:r>
    </w:p>
    <w:p>
      <w:pPr>
        <w:pStyle w:val="Style50"/>
        <w:widowControl w:val="false"/>
        <w:shd w:fill="FFFFFF"/>
        <w:tabs>
          <w:tab w:val="clear" w:pos="720"/>
          <w:tab w:val="left" w:pos="1134" w:leader="none"/>
        </w:tabs>
        <w:bidi w:val="0"/>
        <w:spacing w:lineRule="auto" w:line="240" w:before="0" w:after="0"/>
        <w:ind w:left="0" w:right="0" w:hanging="0"/>
        <w:contextualSpacing/>
        <w:jc w:val="both"/>
        <w:rPr>
          <w:rFonts w:ascii="0" w:hAnsi="0" w:eastAsia="0" w:cs="Arial Narrow"/>
          <w:b/>
          <w:bCs/>
          <w:i/>
          <w:i/>
          <w:iCs/>
          <w:color w:val="000000"/>
          <w:kern w:val="0"/>
          <w:sz w:val="20"/>
          <w:szCs w:val="20"/>
          <w:lang w:val="ru-RU" w:eastAsia="zh-CN" w:bidi="hi-IN"/>
        </w:rPr>
      </w:pPr>
      <w:r>
        <w:rPr>
          <w:rFonts w:eastAsia="0" w:cs="Arial Narrow" w:ascii="0" w:hAnsi="0"/>
          <w:b/>
          <w:bCs/>
          <w:i/>
          <w:iCs/>
          <w:color w:val="000000"/>
          <w:kern w:val="0"/>
          <w:sz w:val="20"/>
          <w:szCs w:val="20"/>
          <w:lang w:val="ru-RU" w:eastAsia="zh-CN" w:bidi="hi-IN"/>
        </w:rPr>
        <w:t>составляет 4 296 324 951,37 руб., в том числе: основной долг - 3 975 000 000,00 руб., проценты за пользование займом - 321 324 951,37 руб.</w:t>
      </w:r>
    </w:p>
    <w:p>
      <w:pPr>
        <w:pStyle w:val="Style50"/>
        <w:widowControl w:val="false"/>
        <w:shd w:fill="FFFFFF"/>
        <w:tabs>
          <w:tab w:val="clear" w:pos="720"/>
          <w:tab w:val="left" w:pos="1134" w:leader="none"/>
        </w:tabs>
        <w:bidi w:val="0"/>
        <w:spacing w:lineRule="auto" w:line="240" w:before="0" w:after="0"/>
        <w:ind w:left="0" w:right="0" w:hanging="0"/>
        <w:contextualSpacing/>
        <w:jc w:val="both"/>
        <w:rPr>
          <w:rFonts w:ascii="0" w:hAnsi="0" w:eastAsia="0" w:cs="Arial Narrow"/>
          <w:b/>
          <w:bCs/>
          <w:i/>
          <w:i/>
          <w:iCs/>
          <w:color w:val="000000"/>
          <w:kern w:val="0"/>
          <w:sz w:val="20"/>
          <w:szCs w:val="20"/>
          <w:lang w:val="ru-RU" w:eastAsia="zh-CN" w:bidi="hi-IN"/>
        </w:rPr>
      </w:pPr>
      <w:r>
        <w:rPr>
          <w:rFonts w:eastAsia="0" w:cs="Arial Narrow" w:ascii="0" w:hAnsi="0"/>
          <w:b/>
          <w:bCs/>
          <w:i/>
          <w:iCs/>
          <w:color w:val="000000"/>
          <w:kern w:val="0"/>
          <w:sz w:val="20"/>
          <w:szCs w:val="20"/>
          <w:lang w:val="ru-RU" w:eastAsia="zh-CN" w:bidi="hi-IN"/>
        </w:rPr>
        <w:t>Цена Договора с учетом Дополнительного соглашения № 3:</w:t>
      </w:r>
    </w:p>
    <w:p>
      <w:pPr>
        <w:pStyle w:val="212"/>
        <w:widowControl w:val="false"/>
        <w:tabs>
          <w:tab w:val="clear" w:pos="720"/>
          <w:tab w:val="left" w:pos="0" w:leader="none"/>
        </w:tabs>
        <w:bidi w:val="0"/>
        <w:spacing w:lineRule="auto" w:line="240" w:before="0" w:after="0"/>
        <w:contextualSpacing/>
        <w:rPr/>
      </w:pPr>
      <w:r>
        <w:rPr>
          <w:rFonts w:cs="Arial Narrow"/>
          <w:b/>
          <w:bCs/>
          <w:i/>
          <w:iCs/>
          <w:szCs w:val="20"/>
          <w:lang w:eastAsia="ru-RU"/>
        </w:rPr>
        <w:t xml:space="preserve">• </w:t>
      </w:r>
      <w:r>
        <w:rPr>
          <w:rFonts w:cs="Arial Narrow"/>
          <w:b/>
          <w:bCs/>
          <w:i/>
          <w:iCs/>
          <w:szCs w:val="20"/>
          <w:lang w:eastAsia="ru-RU"/>
        </w:rPr>
        <w:t>сумма займа – 3 975 000 000 (Три миллиарда девятьсот семьдесят пять миллионов) рублей 00 копеек;</w:t>
      </w:r>
    </w:p>
    <w:p>
      <w:pPr>
        <w:pStyle w:val="212"/>
        <w:widowControl w:val="false"/>
        <w:tabs>
          <w:tab w:val="clear" w:pos="720"/>
          <w:tab w:val="left" w:pos="0" w:leader="none"/>
        </w:tabs>
        <w:bidi w:val="0"/>
        <w:spacing w:lineRule="auto" w:line="240" w:before="0" w:after="0"/>
        <w:contextualSpacing/>
        <w:rPr/>
      </w:pPr>
      <w:r>
        <w:rPr>
          <w:rFonts w:cs="Arial Narrow"/>
          <w:b/>
          <w:bCs/>
          <w:i/>
          <w:iCs/>
          <w:szCs w:val="20"/>
          <w:lang w:eastAsia="ru-RU"/>
        </w:rPr>
        <w:t xml:space="preserve">• </w:t>
      </w:r>
      <w:r>
        <w:rPr>
          <w:rFonts w:cs="Arial Narrow"/>
          <w:b/>
          <w:bCs/>
          <w:i/>
          <w:iCs/>
          <w:szCs w:val="20"/>
          <w:lang w:eastAsia="ru-RU"/>
        </w:rPr>
        <w:t>проценты за пользование заемными средствами – 2 187 458 403 (Два миллиарда сто восемьдесят семь миллионов четыреста пятьдесят восемь тысяч четыреста три) рубля 55 копеек.</w:t>
      </w:r>
    </w:p>
    <w:p>
      <w:pPr>
        <w:pStyle w:val="Normal"/>
        <w:keepNext w:val="true"/>
        <w:spacing w:lineRule="auto" w:line="240"/>
        <w:jc w:val="both"/>
        <w:rPr/>
      </w:pPr>
      <w:r>
        <w:rPr>
          <w:rFonts w:cs="Arial Narrow"/>
          <w:b/>
          <w:bCs/>
          <w:i/>
          <w:iCs/>
          <w:szCs w:val="20"/>
        </w:rPr>
        <w:t>Общая цена – 6 162 458 403,55 руб. НДС не облагается.</w:t>
      </w:r>
    </w:p>
    <w:p>
      <w:pPr>
        <w:pStyle w:val="Normal"/>
        <w:spacing w:lineRule="auto" w:line="240"/>
        <w:ind w:left="0" w:right="0" w:hanging="0"/>
        <w:jc w:val="both"/>
        <w:rPr/>
      </w:pPr>
      <w:r>
        <w:rPr>
          <w:rFonts w:cs="Arial Narrow"/>
          <w:b/>
          <w:bCs/>
          <w:i/>
          <w:iCs/>
          <w:szCs w:val="20"/>
        </w:rPr>
        <w:t>Срок Дополнительного соглашения: Соглашение вступает в силу с даты его подписания Сторонами и является неотъемлемой частью Договора. В соответствии с п.2 ст.425 ГК РФ условия Соглашения применяются к отношениям Сторон, фактически возникшим с 26.06.2025.</w:t>
      </w:r>
    </w:p>
    <w:p>
      <w:pPr>
        <w:pStyle w:val="Normal"/>
        <w:spacing w:lineRule="auto" w:line="240"/>
        <w:jc w:val="left"/>
        <w:rPr>
          <w:rFonts w:cs="Times New Roman"/>
          <w:szCs w:val="20"/>
        </w:rPr>
      </w:pPr>
      <w:r>
        <w:rPr>
          <w:rFonts w:cs="Times New Roman"/>
          <w:szCs w:val="20"/>
        </w:rPr>
      </w:r>
    </w:p>
    <w:p>
      <w:pPr>
        <w:pStyle w:val="Normal"/>
        <w:spacing w:lineRule="auto" w:line="240"/>
        <w:jc w:val="left"/>
        <w:rPr/>
      </w:pPr>
      <w:r>
        <w:rPr>
          <w:rFonts w:cs="Times New Roman"/>
          <w:szCs w:val="20"/>
        </w:rPr>
        <w:t xml:space="preserve">Орган управления эмитента, принявший решение о согласии на ее совершение или ее последующем одобрении: </w:t>
      </w:r>
      <w:r>
        <w:rPr>
          <w:rFonts w:cs="Arial Narrow"/>
          <w:b/>
          <w:bCs/>
          <w:i/>
          <w:iCs/>
          <w:szCs w:val="20"/>
        </w:rPr>
        <w:t>Решение о согласии на совершение сделки не принималось. Применен Уведомительный порядок.</w:t>
      </w:r>
    </w:p>
    <w:p>
      <w:pPr>
        <w:pStyle w:val="Normal"/>
        <w:spacing w:lineRule="auto" w:line="240"/>
        <w:jc w:val="left"/>
        <w:rPr>
          <w:rFonts w:cs="Times New Roman"/>
          <w:szCs w:val="20"/>
        </w:rPr>
      </w:pPr>
      <w:r>
        <w:rPr>
          <w:rFonts w:cs="Times New Roman"/>
          <w:szCs w:val="20"/>
        </w:rPr>
      </w:r>
    </w:p>
    <w:p>
      <w:pPr>
        <w:pStyle w:val="Normal"/>
        <w:spacing w:lineRule="auto" w:line="240"/>
        <w:jc w:val="left"/>
        <w:rPr/>
      </w:pPr>
      <w:r>
        <w:rPr>
          <w:rFonts w:cs="Times New Roman"/>
          <w:szCs w:val="20"/>
        </w:rPr>
        <w:t xml:space="preserve">Размер сделки (группы взаимосвязанных сделок) составлял 2 и более процента балансовой стоимости активов эмитента: </w:t>
      </w:r>
      <w:r>
        <w:rPr>
          <w:rFonts w:cs="Arial Narrow"/>
          <w:b/>
          <w:bCs/>
          <w:i/>
          <w:iCs/>
          <w:szCs w:val="20"/>
        </w:rPr>
        <w:t>Да</w:t>
      </w:r>
    </w:p>
    <w:p>
      <w:pPr>
        <w:pStyle w:val="Normal"/>
        <w:spacing w:lineRule="auto" w:line="240"/>
        <w:jc w:val="both"/>
        <w:rPr/>
      </w:pPr>
      <w:r>
        <w:rPr>
          <w:rFonts w:eastAsia="0" w:cs="Times New Roman"/>
          <w:color w:val="000000"/>
          <w:kern w:val="0"/>
          <w:sz w:val="20"/>
          <w:szCs w:val="20"/>
          <w:lang w:val="ru-RU" w:eastAsia="zh-CN" w:bidi="hi-IN"/>
        </w:rPr>
        <w:t xml:space="preserve">Наименование заинтересованного лица и основание (основания), по которому (по которым) лицо признано заинтересованным в совершении сделки: </w:t>
      </w:r>
      <w:r>
        <w:rPr>
          <w:rFonts w:cs="Arial Narrow"/>
          <w:b/>
          <w:bCs/>
          <w:i/>
          <w:iCs/>
          <w:szCs w:val="20"/>
          <w:lang w:eastAsia="ru-RU"/>
        </w:rPr>
        <w:t>ПАО «РусГидро» - контролирующее лицо ПАО «Камчатскэнерго» (косвенный контроль), является одновременно стороной в сделке.</w:t>
      </w:r>
    </w:p>
    <w:p>
      <w:pPr>
        <w:pStyle w:val="Normal"/>
        <w:widowControl w:val="false"/>
        <w:tabs>
          <w:tab w:val="clear" w:pos="720"/>
        </w:tabs>
        <w:spacing w:lineRule="auto" w:line="240" w:before="20" w:after="40"/>
        <w:contextualSpacing/>
        <w:jc w:val="both"/>
        <w:rPr>
          <w:sz w:val="16"/>
          <w:szCs w:val="16"/>
        </w:rPr>
      </w:pPr>
      <w:r>
        <w:rPr>
          <w:rFonts w:eastAsia="0" w:cs="Times New Roman"/>
          <w:color w:val="000000"/>
          <w:kern w:val="0"/>
          <w:sz w:val="20"/>
          <w:szCs w:val="20"/>
          <w:lang w:val="ru-RU" w:eastAsia="zh-CN" w:bidi="hi-IN"/>
        </w:rPr>
        <w:t xml:space="preserve">Доля участия заинтересованного лица в уставном (складочном) капитале эмитента (по состоянию на дату заключения сделки): </w:t>
      </w:r>
      <w:r>
        <w:rPr>
          <w:rFonts w:cs="Arial Narrow"/>
          <w:b/>
          <w:bCs/>
          <w:i/>
          <w:iCs/>
          <w:szCs w:val="20"/>
          <w:lang w:eastAsia="ru-RU"/>
        </w:rPr>
        <w:t>Доля участия ПАО «РусГидро» в уставном капитале ПАО «Камчатскэнерго» (доля принадлежащих заинтересованному лицу акций) составляет 27,97 % (прямое распоряжение), 99,33% (прямое и косвенное распоряжение).</w:t>
      </w:r>
    </w:p>
    <w:p>
      <w:pPr>
        <w:pStyle w:val="Normal"/>
        <w:spacing w:lineRule="auto" w:line="240"/>
        <w:jc w:val="left"/>
        <w:rPr>
          <w:rFonts w:cs="Times New Roman"/>
          <w:szCs w:val="20"/>
        </w:rPr>
      </w:pPr>
      <w:r>
        <w:rPr>
          <w:rFonts w:cs="Times New Roman"/>
          <w:szCs w:val="20"/>
        </w:rPr>
      </w:r>
    </w:p>
    <w:p>
      <w:pPr>
        <w:pStyle w:val="Normal"/>
        <w:spacing w:lineRule="auto" w:line="240"/>
        <w:jc w:val="left"/>
        <w:rPr>
          <w:b w:val="false"/>
          <w:bCs w:val="false"/>
          <w:i/>
          <w:i/>
          <w:iCs/>
        </w:rPr>
      </w:pPr>
      <w:r>
        <w:rPr>
          <w:rFonts w:cs="Times New Roman"/>
          <w:b w:val="false"/>
          <w:bCs w:val="false"/>
          <w:i/>
          <w:iCs/>
          <w:szCs w:val="20"/>
        </w:rPr>
        <w:t>10.</w:t>
      </w:r>
    </w:p>
    <w:p>
      <w:pPr>
        <w:pStyle w:val="Normal"/>
        <w:spacing w:lineRule="auto" w:line="240" w:before="0" w:after="0"/>
        <w:contextualSpacing/>
        <w:jc w:val="both"/>
        <w:rPr/>
      </w:pPr>
      <w:r>
        <w:rPr>
          <w:rFonts w:cs="Arial Narrow"/>
          <w:b/>
          <w:bCs/>
          <w:i/>
          <w:iCs/>
          <w:szCs w:val="20"/>
        </w:rPr>
        <w:t>Договор подряда на выполнение проектно-изыскательских работ № 109300-КС ПИР СМР-2025-КамчЭн</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Дата совершения сделки, либо дата совершения первой сделки из последовательности взаимосвязанных:</w:t>
      </w:r>
      <w:r>
        <w:rPr>
          <w:rFonts w:cs="Arial Narrow"/>
          <w:b/>
          <w:bCs/>
          <w:i/>
          <w:iCs/>
          <w:szCs w:val="20"/>
        </w:rPr>
        <w:t xml:space="preserve"> 07.10.2025</w:t>
      </w:r>
    </w:p>
    <w:p>
      <w:pPr>
        <w:pStyle w:val="Normal"/>
        <w:spacing w:lineRule="auto" w:line="240"/>
        <w:jc w:val="both"/>
        <w:rPr>
          <w:rFonts w:cs="Times New Roman"/>
          <w:szCs w:val="20"/>
        </w:rPr>
      </w:pPr>
      <w:r>
        <w:rPr>
          <w:rFonts w:cs="Times New Roman"/>
          <w:szCs w:val="20"/>
        </w:rPr>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Лицо (лица), признанное (признанные) в соответствии с законодательством Российской Федерации лицом (лицами), заинтересованным (заинтересованными) в совершении сделки:</w:t>
      </w:r>
      <w:r>
        <w:rPr>
          <w:rFonts w:cs="Times New Roman"/>
          <w:b/>
          <w:bCs/>
          <w:i/>
          <w:iCs/>
          <w:szCs w:val="20"/>
        </w:rPr>
        <w:t xml:space="preserve"> </w:t>
      </w:r>
    </w:p>
    <w:p>
      <w:pPr>
        <w:pStyle w:val="Normal"/>
        <w:spacing w:lineRule="auto" w:line="240"/>
        <w:jc w:val="both"/>
        <w:rPr/>
      </w:pPr>
      <w:r>
        <w:rPr>
          <w:rFonts w:cs="Arial Narrow"/>
          <w:b/>
          <w:bCs/>
          <w:i/>
          <w:iCs/>
          <w:szCs w:val="20"/>
        </w:rPr>
        <w:t>ПАО «РусГидро» - контролирующее лицо ПАО «Камчатскэнерго» (косвенный контроль), являющееся одновременно контролирующим лицом стороны в сделке – АО «Ленгидропроект» (прямой контроль).</w:t>
      </w:r>
    </w:p>
    <w:p>
      <w:pPr>
        <w:pStyle w:val="Normal"/>
        <w:spacing w:lineRule="auto" w:line="240"/>
        <w:jc w:val="both"/>
        <w:rPr>
          <w:rFonts w:cs="Arial Narrow"/>
          <w:b/>
          <w:bCs/>
          <w:i/>
          <w:i/>
          <w:iCs/>
          <w:szCs w:val="20"/>
        </w:rPr>
      </w:pPr>
      <w:r>
        <w:rPr>
          <w:rFonts w:cs="Arial Narrow"/>
          <w:b/>
          <w:bCs/>
          <w:i/>
          <w:iCs/>
          <w:szCs w:val="20"/>
        </w:rPr>
      </w:r>
    </w:p>
    <w:p>
      <w:pPr>
        <w:pStyle w:val="Normal"/>
        <w:spacing w:lineRule="auto" w:line="240"/>
        <w:jc w:val="both"/>
        <w:rPr/>
      </w:pPr>
      <w:r>
        <w:rPr>
          <w:rFonts w:cs="Times New Roman"/>
          <w:szCs w:val="20"/>
        </w:rPr>
        <w:t>Существенные условия сделки:</w:t>
      </w:r>
    </w:p>
    <w:p>
      <w:pPr>
        <w:pStyle w:val="Normal"/>
        <w:spacing w:lineRule="auto" w:line="240"/>
        <w:jc w:val="both"/>
        <w:rPr/>
      </w:pPr>
      <w:r>
        <w:rPr>
          <w:rFonts w:cs="Times New Roman"/>
          <w:b/>
          <w:bCs/>
          <w:i/>
          <w:iCs/>
          <w:szCs w:val="20"/>
        </w:rPr>
        <w:t>Стороны Договора: Заказчик – ПАО «Камчатскэнерго»; Исполнитель – АО «Ленгидропроект».</w:t>
      </w:r>
    </w:p>
    <w:p>
      <w:pPr>
        <w:pStyle w:val="Normal"/>
        <w:spacing w:lineRule="auto" w:line="240"/>
        <w:jc w:val="both"/>
        <w:rPr/>
      </w:pPr>
      <w:r>
        <w:rPr>
          <w:rFonts w:cs="Times New Roman"/>
          <w:b/>
          <w:bCs/>
          <w:i/>
          <w:iCs/>
          <w:szCs w:val="20"/>
        </w:rPr>
        <w:t>Предмет Договора: Подрядчик обязуется по заданию Заказчика в соответствии с Техническим заданием (Приложение 5 к решению) выполнить работы по Разработке проектно-сметной документации «Строительство МГеоЭС-2», а также сдать Результат работ Заказчику, а Заказчик обязуется создать Подрядчику указанные в Договоре условия для выполнения Работ, принять Результат Работ и уплатить Цену Договора.</w:t>
      </w:r>
    </w:p>
    <w:p>
      <w:pPr>
        <w:pStyle w:val="Normal"/>
        <w:spacing w:lineRule="auto" w:line="240"/>
        <w:jc w:val="both"/>
        <w:rPr/>
      </w:pPr>
      <w:r>
        <w:rPr>
          <w:rFonts w:cs="Times New Roman"/>
          <w:b/>
          <w:bCs/>
          <w:i/>
          <w:iCs/>
          <w:szCs w:val="20"/>
        </w:rPr>
        <w:t>Цена Договора: составляет 1 083 333 333 (Один миллиард восемьдесят три миллиона триста тридцать три тысячи триста тридцать три) рубля 33 копейки без учета НДС, при этом НДС исчисляется дополнительно по ставке, установленной статьей 164 Налогового кодекса РФ.</w:t>
      </w:r>
    </w:p>
    <w:p>
      <w:pPr>
        <w:pStyle w:val="Normal"/>
        <w:spacing w:lineRule="auto" w:line="240"/>
        <w:jc w:val="both"/>
        <w:rPr/>
      </w:pPr>
      <w:r>
        <w:rPr>
          <w:rFonts w:cs="Times New Roman"/>
          <w:b/>
          <w:bCs/>
          <w:i/>
          <w:iCs/>
          <w:szCs w:val="20"/>
        </w:rPr>
        <w:t>Срок выполнения Работ: Начало выполнения Работ: С даты, следующей за датой заключения Договора.</w:t>
      </w:r>
    </w:p>
    <w:p>
      <w:pPr>
        <w:pStyle w:val="Normal"/>
        <w:spacing w:lineRule="auto" w:line="240"/>
        <w:jc w:val="both"/>
        <w:rPr/>
      </w:pPr>
      <w:r>
        <w:rPr>
          <w:rFonts w:cs="Times New Roman"/>
          <w:b/>
          <w:bCs/>
          <w:i/>
          <w:iCs/>
          <w:szCs w:val="20"/>
        </w:rPr>
        <w:t>Окончание выполнения Работ: 31.12.2028</w:t>
      </w:r>
    </w:p>
    <w:p>
      <w:pPr>
        <w:pStyle w:val="Normal"/>
        <w:spacing w:lineRule="auto" w:line="240"/>
        <w:jc w:val="left"/>
        <w:rPr>
          <w:rFonts w:cs="Times New Roman"/>
          <w:szCs w:val="20"/>
        </w:rPr>
      </w:pPr>
      <w:r>
        <w:rPr>
          <w:rFonts w:cs="Times New Roman"/>
          <w:szCs w:val="20"/>
        </w:rPr>
      </w:r>
    </w:p>
    <w:p>
      <w:pPr>
        <w:pStyle w:val="Normal"/>
        <w:spacing w:lineRule="auto" w:line="240"/>
        <w:jc w:val="both"/>
        <w:rPr/>
      </w:pPr>
      <w:r>
        <w:rPr>
          <w:rFonts w:cs="Times New Roman"/>
          <w:szCs w:val="20"/>
        </w:rPr>
        <w:t xml:space="preserve">Орган управления эмитента, принявший решение о согласии на ее совершение или ее последующем одобрении: </w:t>
      </w:r>
      <w:r>
        <w:rPr>
          <w:rFonts w:cs="Times New Roman"/>
          <w:b/>
          <w:bCs/>
          <w:i/>
          <w:iCs/>
          <w:szCs w:val="20"/>
        </w:rPr>
        <w:t>Совет директоров ПАО «Камчатскэнерго» (Протокол № 5 от 30.09.2025)</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 xml:space="preserve">Размер сделки (группы взаимосвязанных сделок) составлял 2 и более процента балансовой стоимости активов эмитента: </w:t>
      </w:r>
      <w:r>
        <w:rPr>
          <w:rFonts w:cs="Times New Roman"/>
          <w:b/>
          <w:bCs/>
          <w:i/>
          <w:iCs/>
          <w:szCs w:val="20"/>
        </w:rPr>
        <w:t>Да</w:t>
      </w:r>
    </w:p>
    <w:p>
      <w:pPr>
        <w:pStyle w:val="ListNumber"/>
        <w:tabs>
          <w:tab w:val="clear" w:pos="720"/>
          <w:tab w:val="left" w:pos="708" w:leader="none"/>
        </w:tabs>
        <w:bidi w:val="0"/>
        <w:spacing w:lineRule="auto" w:line="240"/>
        <w:jc w:val="both"/>
        <w:rPr>
          <w:rFonts w:cs="Arial Narrow"/>
          <w:b/>
          <w:bCs/>
          <w:i/>
          <w:i/>
          <w:iCs/>
          <w:szCs w:val="20"/>
          <w:lang w:eastAsia="ru-RU"/>
        </w:rPr>
      </w:pPr>
      <w:r>
        <w:rPr>
          <w:rFonts w:cs="Arial Narrow"/>
          <w:b/>
          <w:bCs/>
          <w:i/>
          <w:iCs/>
          <w:szCs w:val="20"/>
          <w:lang w:eastAsia="ru-RU"/>
        </w:rPr>
      </w:r>
    </w:p>
    <w:tbl>
      <w:tblPr>
        <w:tblW w:w="9125" w:type="dxa"/>
        <w:jc w:val="left"/>
        <w:tblInd w:w="59" w:type="dxa"/>
        <w:tblLayout w:type="fixed"/>
        <w:tblCellMar>
          <w:top w:w="0" w:type="dxa"/>
          <w:left w:w="72" w:type="dxa"/>
          <w:bottom w:w="0" w:type="dxa"/>
          <w:right w:w="72" w:type="dxa"/>
        </w:tblCellMar>
      </w:tblPr>
      <w:tblGrid>
        <w:gridCol w:w="1894"/>
        <w:gridCol w:w="2530"/>
        <w:gridCol w:w="1698"/>
        <w:gridCol w:w="854"/>
        <w:gridCol w:w="1411"/>
        <w:gridCol w:w="737"/>
      </w:tblGrid>
      <w:tr>
        <w:trPr/>
        <w:tc>
          <w:tcPr>
            <w:tcW w:w="1894"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Наименование заинтересованного лица</w:t>
            </w:r>
          </w:p>
        </w:tc>
        <w:tc>
          <w:tcPr>
            <w:tcW w:w="2530"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Основание (основания), по которому (по которым) лицо признано заинтересованным в совершении сделки</w:t>
            </w:r>
          </w:p>
        </w:tc>
        <w:tc>
          <w:tcPr>
            <w:tcW w:w="1698"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Доля участия заинтересованного лица в уставном (складочном) капитале эмитента</w:t>
            </w:r>
          </w:p>
          <w:p>
            <w:pPr>
              <w:pStyle w:val="Normal"/>
              <w:widowControl w:val="false"/>
              <w:tabs>
                <w:tab w:val="clear" w:pos="720"/>
              </w:tabs>
              <w:spacing w:lineRule="auto" w:line="240"/>
              <w:jc w:val="both"/>
              <w:rPr>
                <w:sz w:val="16"/>
                <w:szCs w:val="16"/>
              </w:rPr>
            </w:pPr>
            <w:r>
              <w:rPr>
                <w:sz w:val="16"/>
                <w:szCs w:val="16"/>
              </w:rPr>
            </w:r>
          </w:p>
          <w:p>
            <w:pPr>
              <w:pStyle w:val="Normal"/>
              <w:widowControl w:val="false"/>
              <w:tabs>
                <w:tab w:val="clear" w:pos="720"/>
              </w:tabs>
              <w:spacing w:lineRule="auto" w:line="240" w:before="20" w:after="40"/>
              <w:contextualSpacing/>
              <w:jc w:val="both"/>
              <w:rPr>
                <w:sz w:val="16"/>
                <w:szCs w:val="16"/>
              </w:rPr>
            </w:pPr>
            <w:r>
              <w:rPr>
                <w:b/>
                <w:bCs/>
                <w:i/>
                <w:iCs/>
                <w:sz w:val="16"/>
                <w:szCs w:val="16"/>
              </w:rPr>
              <w:t>(по состоянию на дату заключения сделки)</w:t>
            </w:r>
          </w:p>
        </w:tc>
        <w:tc>
          <w:tcPr>
            <w:tcW w:w="854"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Доля принадлежавших заинтересованному лицу акций эмитента</w:t>
            </w:r>
          </w:p>
        </w:tc>
        <w:tc>
          <w:tcPr>
            <w:tcW w:w="1411"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Доля участия заинтересованного лица в уставном (складочном) капитале юридического лица, являвшегося стороной в сделке</w:t>
            </w:r>
          </w:p>
        </w:tc>
        <w:tc>
          <w:tcPr>
            <w:tcW w:w="737"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Доля принадлежавших заинтересованному лицу акций юридического лица, являвшегося стороной в сделке</w:t>
            </w:r>
          </w:p>
        </w:tc>
      </w:tr>
      <w:tr>
        <w:trPr/>
        <w:tc>
          <w:tcPr>
            <w:tcW w:w="1894"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ПАО «РусГидро»</w:t>
            </w:r>
          </w:p>
        </w:tc>
        <w:tc>
          <w:tcPr>
            <w:tcW w:w="2530"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left"/>
              <w:rPr>
                <w:sz w:val="16"/>
                <w:szCs w:val="16"/>
              </w:rPr>
            </w:pPr>
            <w:r>
              <w:rPr>
                <w:b/>
                <w:bCs/>
                <w:i/>
                <w:iCs/>
                <w:sz w:val="16"/>
                <w:szCs w:val="16"/>
              </w:rPr>
              <w:t>контролирующее лицо ПАО «Камчатскэнерго» (косвенный контроль), являющееся одновременно контролирующим лицом АО «Ленгидропроект» стороны в сделке – (прямой контроль)</w:t>
            </w:r>
          </w:p>
        </w:tc>
        <w:tc>
          <w:tcPr>
            <w:tcW w:w="1698"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27,97</w:t>
            </w:r>
          </w:p>
          <w:p>
            <w:pPr>
              <w:pStyle w:val="Normal"/>
              <w:widowControl w:val="false"/>
              <w:tabs>
                <w:tab w:val="clear" w:pos="720"/>
              </w:tabs>
              <w:spacing w:lineRule="auto" w:line="240"/>
              <w:jc w:val="both"/>
              <w:rPr>
                <w:sz w:val="16"/>
                <w:szCs w:val="16"/>
              </w:rPr>
            </w:pPr>
            <w:r>
              <w:rPr>
                <w:b/>
                <w:bCs/>
                <w:i/>
                <w:iCs/>
                <w:sz w:val="16"/>
                <w:szCs w:val="16"/>
              </w:rPr>
              <w:t>(прямое участие)</w:t>
            </w:r>
          </w:p>
          <w:p>
            <w:pPr>
              <w:pStyle w:val="Normal"/>
              <w:widowControl w:val="false"/>
              <w:tabs>
                <w:tab w:val="clear" w:pos="720"/>
              </w:tabs>
              <w:spacing w:lineRule="auto" w:line="240"/>
              <w:jc w:val="both"/>
              <w:rPr>
                <w:sz w:val="16"/>
                <w:szCs w:val="16"/>
              </w:rPr>
            </w:pPr>
            <w:r>
              <w:rPr>
                <w:b/>
                <w:bCs/>
                <w:i/>
                <w:iCs/>
                <w:sz w:val="16"/>
                <w:szCs w:val="16"/>
              </w:rPr>
              <w:t>99,33</w:t>
            </w:r>
          </w:p>
          <w:p>
            <w:pPr>
              <w:pStyle w:val="Normal"/>
              <w:widowControl w:val="false"/>
              <w:tabs>
                <w:tab w:val="clear" w:pos="720"/>
              </w:tabs>
              <w:spacing w:lineRule="auto" w:line="240" w:before="20" w:after="40"/>
              <w:contextualSpacing/>
              <w:jc w:val="both"/>
              <w:rPr>
                <w:sz w:val="16"/>
                <w:szCs w:val="16"/>
              </w:rPr>
            </w:pPr>
            <w:r>
              <w:rPr>
                <w:b/>
                <w:bCs/>
                <w:i/>
                <w:iCs/>
                <w:sz w:val="16"/>
                <w:szCs w:val="16"/>
              </w:rPr>
              <w:t>(косвенное участие)</w:t>
            </w:r>
          </w:p>
        </w:tc>
        <w:tc>
          <w:tcPr>
            <w:tcW w:w="854"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27,97</w:t>
            </w:r>
          </w:p>
        </w:tc>
        <w:tc>
          <w:tcPr>
            <w:tcW w:w="1411"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100</w:t>
            </w:r>
          </w:p>
          <w:p>
            <w:pPr>
              <w:pStyle w:val="Normal"/>
              <w:widowControl w:val="false"/>
              <w:tabs>
                <w:tab w:val="clear" w:pos="720"/>
              </w:tabs>
              <w:spacing w:lineRule="auto" w:line="240" w:before="20" w:after="40"/>
              <w:contextualSpacing/>
              <w:jc w:val="both"/>
              <w:rPr>
                <w:sz w:val="16"/>
                <w:szCs w:val="16"/>
              </w:rPr>
            </w:pPr>
            <w:r>
              <w:rPr>
                <w:b/>
                <w:bCs/>
                <w:i/>
                <w:iCs/>
                <w:sz w:val="16"/>
                <w:szCs w:val="16"/>
              </w:rPr>
              <w:t>(прямой контроль)</w:t>
            </w:r>
          </w:p>
        </w:tc>
        <w:tc>
          <w:tcPr>
            <w:tcW w:w="737"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100</w:t>
            </w:r>
          </w:p>
        </w:tc>
      </w:tr>
    </w:tbl>
    <w:p>
      <w:pPr>
        <w:pStyle w:val="Normal"/>
        <w:widowControl w:val="false"/>
        <w:spacing w:lineRule="auto" w:line="240"/>
        <w:jc w:val="both"/>
        <w:rPr>
          <w:rFonts w:cs="Times New Roman"/>
          <w:b/>
          <w:bCs/>
          <w:szCs w:val="20"/>
        </w:rPr>
      </w:pPr>
      <w:r>
        <w:rPr>
          <w:rFonts w:cs="Times New Roman"/>
          <w:b/>
          <w:bCs/>
          <w:szCs w:val="20"/>
        </w:rPr>
      </w:r>
    </w:p>
    <w:p>
      <w:pPr>
        <w:pStyle w:val="Normal"/>
        <w:spacing w:lineRule="auto" w:line="240"/>
        <w:jc w:val="left"/>
        <w:rPr>
          <w:rFonts w:cs="Times New Roman"/>
          <w:szCs w:val="20"/>
        </w:rPr>
      </w:pPr>
      <w:r>
        <w:rPr>
          <w:rFonts w:cs="Times New Roman"/>
          <w:szCs w:val="20"/>
        </w:rPr>
      </w:r>
    </w:p>
    <w:p>
      <w:pPr>
        <w:pStyle w:val="Normal"/>
        <w:spacing w:lineRule="auto" w:line="240"/>
        <w:jc w:val="left"/>
        <w:rPr/>
      </w:pPr>
      <w:r>
        <w:rPr>
          <w:rFonts w:cs="Times New Roman"/>
          <w:szCs w:val="20"/>
        </w:rPr>
        <w:t>11.</w:t>
      </w:r>
    </w:p>
    <w:p>
      <w:pPr>
        <w:pStyle w:val="Normal"/>
        <w:spacing w:lineRule="auto" w:line="240"/>
        <w:jc w:val="left"/>
        <w:rPr/>
      </w:pPr>
      <w:r>
        <w:rPr>
          <w:rFonts w:cs="Times New Roman"/>
          <w:b/>
          <w:bCs/>
          <w:i/>
          <w:iCs/>
          <w:szCs w:val="20"/>
        </w:rPr>
        <w:t>Договор поставки № 1900-РЕМ ПРОД-2026-КамчЭн</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 xml:space="preserve">Дата совершения сделки, либо дата совершения первой сделки из последовательности взаимосвязанных: </w:t>
      </w:r>
      <w:r>
        <w:rPr>
          <w:rFonts w:cs="Times New Roman"/>
          <w:b/>
          <w:bCs/>
          <w:i/>
          <w:iCs/>
          <w:szCs w:val="20"/>
        </w:rPr>
        <w:t xml:space="preserve"> 07.10.2026</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Лицо (лица), признанное (признанные) в соответствии с законодательством Российской Федерации лицом (лицами), заинтересованным (заинтересованными) в совершении сделки:</w:t>
      </w:r>
      <w:r>
        <w:rPr>
          <w:rFonts w:cs="Times New Roman"/>
          <w:b/>
          <w:bCs/>
          <w:i/>
          <w:iCs/>
          <w:szCs w:val="20"/>
        </w:rPr>
        <w:t xml:space="preserve"> </w:t>
      </w:r>
    </w:p>
    <w:p>
      <w:pPr>
        <w:pStyle w:val="Normal"/>
        <w:spacing w:lineRule="auto" w:line="240"/>
        <w:jc w:val="both"/>
        <w:rPr/>
      </w:pPr>
      <w:r>
        <w:rPr>
          <w:rFonts w:cs="Times New Roman"/>
          <w:b/>
          <w:bCs/>
          <w:i/>
          <w:iCs/>
          <w:szCs w:val="20"/>
        </w:rPr>
        <w:t>АО «РАО ЭС Востока» - контролирующее лицо ПАО «Камчатскэнерго» (прямой контроль), являющееся одновременно контролирующим лицом стороны в сделке – АО «ХРМК» (косвенный контроль);</w:t>
      </w:r>
    </w:p>
    <w:p>
      <w:pPr>
        <w:pStyle w:val="Normal"/>
        <w:spacing w:lineRule="auto" w:line="240"/>
        <w:jc w:val="both"/>
        <w:rPr/>
      </w:pPr>
      <w:r>
        <w:rPr>
          <w:rFonts w:cs="Times New Roman"/>
          <w:b/>
          <w:bCs/>
          <w:i/>
          <w:iCs/>
          <w:szCs w:val="20"/>
        </w:rPr>
        <w:t>ПАО «РусГидро» - контролирующее лицо ПАО «Камчатскэнерго» (косвенный контроль), являющееся одновременно контролирующим лицом стороны в сделке – АО «ХРМК» (косвенный контроль).</w:t>
      </w:r>
    </w:p>
    <w:p>
      <w:pPr>
        <w:pStyle w:val="Normal"/>
        <w:spacing w:lineRule="auto" w:line="240"/>
        <w:jc w:val="both"/>
        <w:rPr>
          <w:rFonts w:cs="Times New Roman"/>
          <w:b/>
          <w:bCs/>
          <w:i/>
          <w:i/>
          <w:iCs/>
          <w:szCs w:val="20"/>
        </w:rPr>
      </w:pPr>
      <w:r>
        <w:rPr>
          <w:rFonts w:cs="Times New Roman"/>
          <w:b/>
          <w:bCs/>
          <w:i/>
          <w:iCs/>
          <w:szCs w:val="20"/>
        </w:rPr>
      </w:r>
    </w:p>
    <w:p>
      <w:pPr>
        <w:pStyle w:val="Normal"/>
        <w:spacing w:lineRule="auto" w:line="240"/>
        <w:jc w:val="both"/>
        <w:rPr/>
      </w:pPr>
      <w:r>
        <w:rPr>
          <w:rFonts w:cs="Times New Roman"/>
          <w:szCs w:val="20"/>
        </w:rPr>
        <w:t>Существенные условия сделки:</w:t>
      </w:r>
    </w:p>
    <w:p>
      <w:pPr>
        <w:pStyle w:val="Normal"/>
        <w:spacing w:lineRule="auto" w:line="240"/>
        <w:jc w:val="both"/>
        <w:rPr/>
      </w:pPr>
      <w:r>
        <w:rPr>
          <w:rFonts w:cs="Times New Roman"/>
          <w:b/>
          <w:bCs/>
          <w:i/>
          <w:iCs/>
          <w:szCs w:val="20"/>
        </w:rPr>
        <w:t>Стороны Договора: Поставщик – АО «ХРМК»; Покупатель – ПАО «Камчатскэнерго».</w:t>
      </w:r>
    </w:p>
    <w:p>
      <w:pPr>
        <w:pStyle w:val="Normal"/>
        <w:spacing w:lineRule="auto" w:line="240"/>
        <w:jc w:val="both"/>
        <w:rPr/>
      </w:pPr>
      <w:r>
        <w:rPr>
          <w:rFonts w:cs="Times New Roman"/>
          <w:b/>
          <w:bCs/>
          <w:i/>
          <w:iCs/>
          <w:szCs w:val="20"/>
        </w:rPr>
        <w:t>Предмет договора: Поставщик обязуется в порядке и сроки, установленные Договором, передать в собственность Покупателю запасные части к котлам БКЗ (далее – Товар) в соответствии с Приложением 7 к решению, а Покупатель обязуется принять Товар и уплатить Цену Договора.</w:t>
      </w:r>
    </w:p>
    <w:p>
      <w:pPr>
        <w:pStyle w:val="Normal"/>
        <w:spacing w:lineRule="auto" w:line="240"/>
        <w:jc w:val="both"/>
        <w:rPr/>
      </w:pPr>
      <w:r>
        <w:rPr>
          <w:rFonts w:cs="Times New Roman"/>
          <w:b/>
          <w:bCs/>
          <w:i/>
          <w:iCs/>
          <w:szCs w:val="20"/>
        </w:rPr>
        <w:t>Цена Договора: является твердой и составляет 79 258 264 (Семьдесят девять миллионов двести пятьдесят восемь тысяч двести шестьдесят четыре) рубля 32 копейки без учета НДС, при этом НДС исчисляется дополнительно по ставке, установленной статьей 164 Налогового кодекса Российской Федерации.</w:t>
      </w:r>
    </w:p>
    <w:p>
      <w:pPr>
        <w:pStyle w:val="Normal"/>
        <w:spacing w:lineRule="auto" w:line="240"/>
        <w:jc w:val="both"/>
        <w:rPr/>
      </w:pPr>
      <w:r>
        <w:rPr>
          <w:rFonts w:cs="Times New Roman"/>
          <w:b/>
          <w:bCs/>
          <w:i/>
          <w:iCs/>
          <w:szCs w:val="20"/>
        </w:rPr>
        <w:t>Срок выполнения Поставки: Начало выполнения Поставки: с даты подписания Договора обеими Сторонами.</w:t>
      </w:r>
    </w:p>
    <w:p>
      <w:pPr>
        <w:pStyle w:val="Normal"/>
        <w:spacing w:lineRule="auto" w:line="240"/>
        <w:jc w:val="both"/>
        <w:rPr/>
      </w:pPr>
      <w:r>
        <w:rPr>
          <w:rFonts w:cs="Times New Roman"/>
          <w:b/>
          <w:bCs/>
          <w:i/>
          <w:iCs/>
          <w:szCs w:val="20"/>
        </w:rPr>
        <w:t>Окончание выполнения Поставки: в течение 150 календарных дней с даты подписания Договора обеими Сторонами.</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 xml:space="preserve">Орган управления эмитента, принявший решение о согласии на ее совершение или ее последующем одобрении: </w:t>
      </w:r>
      <w:r>
        <w:rPr>
          <w:rFonts w:cs="Times New Roman"/>
          <w:b/>
          <w:bCs/>
          <w:i/>
          <w:iCs/>
          <w:szCs w:val="20"/>
        </w:rPr>
        <w:t>Совет директоров ПАО «Камчатскэнерго» (Протокол № 5 от 30.09.2025)</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Размер сделки (группы взаимосвязанных сделок) составлял 2 и более процента балансовой стоимости активов эмитента:</w:t>
      </w:r>
      <w:r>
        <w:rPr>
          <w:rFonts w:cs="Times New Roman"/>
          <w:b/>
          <w:bCs/>
          <w:i/>
          <w:iCs/>
          <w:szCs w:val="20"/>
        </w:rPr>
        <w:t xml:space="preserve"> Нет</w:t>
      </w:r>
    </w:p>
    <w:p>
      <w:pPr>
        <w:pStyle w:val="Normal"/>
        <w:spacing w:lineRule="auto" w:line="240"/>
        <w:jc w:val="both"/>
        <w:rPr>
          <w:rFonts w:cs="Times New Roman"/>
          <w:b/>
          <w:bCs/>
          <w:i/>
          <w:i/>
          <w:iCs/>
          <w:szCs w:val="20"/>
        </w:rPr>
      </w:pPr>
      <w:r>
        <w:rPr>
          <w:rFonts w:cs="Times New Roman"/>
          <w:b/>
          <w:bCs/>
          <w:i/>
          <w:iCs/>
          <w:szCs w:val="20"/>
        </w:rPr>
      </w:r>
    </w:p>
    <w:p>
      <w:pPr>
        <w:pStyle w:val="Normal"/>
        <w:spacing w:lineRule="auto" w:line="240"/>
        <w:jc w:val="left"/>
        <w:rPr>
          <w:rFonts w:cs="Times New Roman"/>
          <w:szCs w:val="20"/>
        </w:rPr>
      </w:pPr>
      <w:r>
        <w:rPr>
          <w:rFonts w:cs="Times New Roman"/>
          <w:szCs w:val="20"/>
        </w:rPr>
      </w:r>
    </w:p>
    <w:p>
      <w:pPr>
        <w:pStyle w:val="Normal"/>
        <w:spacing w:lineRule="auto" w:line="240"/>
        <w:jc w:val="left"/>
        <w:rPr/>
      </w:pPr>
      <w:r>
        <w:rPr>
          <w:rFonts w:cs="Times New Roman"/>
          <w:szCs w:val="20"/>
        </w:rPr>
        <w:t>12.</w:t>
      </w:r>
    </w:p>
    <w:p>
      <w:pPr>
        <w:pStyle w:val="Normal"/>
        <w:spacing w:lineRule="auto" w:line="240"/>
        <w:jc w:val="both"/>
        <w:rPr>
          <w:rFonts w:cs="Times New Roman"/>
          <w:b/>
          <w:bCs/>
          <w:i/>
          <w:i/>
          <w:iCs/>
          <w:szCs w:val="20"/>
        </w:rPr>
      </w:pPr>
      <w:r>
        <w:rPr>
          <w:rFonts w:cs="Times New Roman"/>
          <w:b/>
          <w:bCs/>
          <w:i/>
          <w:iCs/>
          <w:szCs w:val="20"/>
        </w:rPr>
      </w:r>
    </w:p>
    <w:p>
      <w:pPr>
        <w:pStyle w:val="Normal"/>
        <w:spacing w:lineRule="auto" w:line="240"/>
        <w:jc w:val="both"/>
        <w:rPr/>
      </w:pPr>
      <w:r>
        <w:rPr>
          <w:rFonts w:cs="Times New Roman"/>
          <w:b/>
          <w:bCs/>
          <w:i/>
          <w:iCs/>
          <w:szCs w:val="20"/>
        </w:rPr>
        <w:t>Дополнительное соглашение № 3 к Договору по морской перевозке нефтепродуктов от 18.02.2025 № 73600-ОСН ТОПЛИВО-2025-КамчЭн между ПАО «Камчатскэнерго» и АО «РГ Логистика»</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 xml:space="preserve">Дата совершения сделки, либо дата совершения первой сделки из последовательности взаимосвязанных: </w:t>
      </w:r>
      <w:r>
        <w:rPr>
          <w:rFonts w:cs="Times New Roman"/>
          <w:b/>
          <w:bCs/>
          <w:i/>
          <w:iCs/>
          <w:szCs w:val="20"/>
        </w:rPr>
        <w:t>30.10.2025</w:t>
      </w:r>
    </w:p>
    <w:p>
      <w:pPr>
        <w:pStyle w:val="Normal"/>
        <w:spacing w:lineRule="auto" w:line="240"/>
        <w:jc w:val="both"/>
        <w:rPr/>
      </w:pPr>
      <w:r>
        <w:rPr>
          <w:rFonts w:cs="Times New Roman"/>
          <w:szCs w:val="20"/>
        </w:rPr>
        <w:t>Лицо (лица), признанное (признанные) в соответствии с законодательством Российской Федерации лицом (лицами), заинтересованным (заинтересованными) в совершении сделки:</w:t>
      </w:r>
      <w:r>
        <w:rPr>
          <w:rFonts w:cs="Times New Roman"/>
          <w:b/>
          <w:bCs/>
          <w:i/>
          <w:iCs/>
          <w:szCs w:val="20"/>
        </w:rPr>
        <w:t xml:space="preserve"> </w:t>
      </w:r>
    </w:p>
    <w:p>
      <w:pPr>
        <w:pStyle w:val="Normal"/>
        <w:spacing w:lineRule="auto" w:line="240"/>
        <w:jc w:val="both"/>
        <w:rPr/>
      </w:pPr>
      <w:r>
        <w:rPr>
          <w:rFonts w:cs="Times New Roman"/>
          <w:b/>
          <w:bCs/>
          <w:i/>
          <w:iCs/>
          <w:szCs w:val="20"/>
        </w:rPr>
        <w:t>АО «РАО ЭС Востока» - контролирующее лицо ПАО «Камчатскэнерго» (прямой контроль), являющееся одновременно контролирующим лицом стороны в сделке – АО «РГ Логистика» (косвенный контроль);</w:t>
      </w:r>
    </w:p>
    <w:p>
      <w:pPr>
        <w:pStyle w:val="Normal"/>
        <w:spacing w:lineRule="auto" w:line="240"/>
        <w:jc w:val="both"/>
        <w:rPr>
          <w:rFonts w:cs="Times New Roman"/>
          <w:b/>
          <w:bCs/>
          <w:i/>
          <w:i/>
          <w:iCs/>
          <w:szCs w:val="20"/>
        </w:rPr>
      </w:pPr>
      <w:r>
        <w:rPr>
          <w:rFonts w:cs="Times New Roman"/>
          <w:b/>
          <w:bCs/>
          <w:i/>
          <w:iCs/>
          <w:szCs w:val="20"/>
        </w:rPr>
      </w:r>
    </w:p>
    <w:p>
      <w:pPr>
        <w:pStyle w:val="Normal"/>
        <w:spacing w:lineRule="auto" w:line="240"/>
        <w:jc w:val="both"/>
        <w:rPr/>
      </w:pPr>
      <w:r>
        <w:rPr>
          <w:rFonts w:cs="Times New Roman"/>
          <w:b/>
          <w:bCs/>
          <w:i/>
          <w:iCs/>
          <w:szCs w:val="20"/>
        </w:rPr>
        <w:t>ПАО «РусГидро» - контролирующее лицо ПАО «Камчатскэнерго» (косвенный контроль), являющееся одновременно контролирующим лицом стороны в сделке – АО «РГ Логистика» (косвенный контроль);</w:t>
      </w:r>
    </w:p>
    <w:p>
      <w:pPr>
        <w:pStyle w:val="Normal"/>
        <w:spacing w:lineRule="auto" w:line="240"/>
        <w:jc w:val="both"/>
        <w:rPr>
          <w:rFonts w:cs="Times New Roman"/>
          <w:b/>
          <w:bCs/>
          <w:i/>
          <w:i/>
          <w:iCs/>
          <w:szCs w:val="20"/>
        </w:rPr>
      </w:pPr>
      <w:r>
        <w:rPr>
          <w:rFonts w:cs="Times New Roman"/>
          <w:b/>
          <w:bCs/>
          <w:i/>
          <w:iCs/>
          <w:szCs w:val="20"/>
        </w:rPr>
      </w:r>
    </w:p>
    <w:p>
      <w:pPr>
        <w:pStyle w:val="Normal"/>
        <w:spacing w:lineRule="auto" w:line="240"/>
        <w:jc w:val="both"/>
        <w:rPr/>
      </w:pPr>
      <w:r>
        <w:rPr>
          <w:rFonts w:cs="Times New Roman"/>
          <w:b/>
          <w:bCs/>
          <w:i/>
          <w:iCs/>
          <w:szCs w:val="20"/>
        </w:rPr>
        <w:t>Ткачева Н.Н. - член Совета директоров ПАО «Камчатскэнерго», одновременно являющийся членом Совета директоров стороны в сделке – АО «РГ Логистика».</w:t>
      </w:r>
    </w:p>
    <w:p>
      <w:pPr>
        <w:pStyle w:val="Normal"/>
        <w:spacing w:lineRule="auto" w:line="240"/>
        <w:jc w:val="both"/>
        <w:rPr>
          <w:rFonts w:cs="Times New Roman"/>
          <w:b/>
          <w:bCs/>
          <w:i/>
          <w:i/>
          <w:iCs/>
          <w:szCs w:val="20"/>
        </w:rPr>
      </w:pPr>
      <w:r>
        <w:rPr>
          <w:rFonts w:cs="Times New Roman"/>
          <w:b/>
          <w:bCs/>
          <w:i/>
          <w:iCs/>
          <w:szCs w:val="20"/>
        </w:rPr>
      </w:r>
    </w:p>
    <w:p>
      <w:pPr>
        <w:pStyle w:val="Normal"/>
        <w:spacing w:lineRule="auto" w:line="240"/>
        <w:jc w:val="both"/>
        <w:rPr/>
      </w:pPr>
      <w:r>
        <w:rPr>
          <w:rFonts w:cs="Times New Roman"/>
          <w:szCs w:val="20"/>
        </w:rPr>
        <w:t>Существенные условия сделки:</w:t>
      </w:r>
    </w:p>
    <w:p>
      <w:pPr>
        <w:pStyle w:val="Normal"/>
        <w:spacing w:lineRule="auto" w:line="240"/>
        <w:jc w:val="both"/>
        <w:rPr/>
      </w:pPr>
      <w:r>
        <w:rPr>
          <w:rFonts w:cs="Times New Roman"/>
          <w:b/>
          <w:bCs/>
          <w:i/>
          <w:iCs/>
          <w:szCs w:val="20"/>
        </w:rPr>
        <w:t>Стороны Дополнительного соглашения: Фрахтователь – ПАО «Камчатскэнерго»; Перевозчик – АО «РГ Логистика».</w:t>
      </w:r>
    </w:p>
    <w:p>
      <w:pPr>
        <w:pStyle w:val="Normal"/>
        <w:spacing w:lineRule="auto" w:line="240"/>
        <w:jc w:val="both"/>
        <w:rPr/>
      </w:pPr>
      <w:r>
        <w:rPr>
          <w:rFonts w:cs="Times New Roman"/>
          <w:b/>
          <w:bCs/>
          <w:i/>
          <w:iCs/>
          <w:szCs w:val="20"/>
        </w:rPr>
        <w:t>Предмет Дополнительного соглашения: Внесение следующих изменений в Договор: изложить пункт 4.1. Договора в следующей редакции:</w:t>
      </w:r>
    </w:p>
    <w:p>
      <w:pPr>
        <w:pStyle w:val="Normal"/>
        <w:spacing w:lineRule="auto" w:line="240"/>
        <w:jc w:val="both"/>
        <w:rPr/>
      </w:pPr>
      <w:r>
        <w:rPr>
          <w:rFonts w:cs="Times New Roman"/>
          <w:b/>
          <w:bCs/>
          <w:i/>
          <w:iCs/>
          <w:szCs w:val="20"/>
        </w:rPr>
        <w:t>«4.1. Минимальная ставка фрахта (стоимость перевозки одной тонны груза) составляет 4 215,43 рублей за одну метрическую тонну без НДС (при танкерной партии свыше 14 000 тонн) и остается неизменной на протяжении всего срока действия договора. При этом НДС исчисляется дополнительно по ставке, установленной ст. 164 Налогового кодекса Российской Федерации.</w:t>
      </w:r>
    </w:p>
    <w:p>
      <w:pPr>
        <w:pStyle w:val="Normal"/>
        <w:spacing w:lineRule="auto" w:line="240"/>
        <w:jc w:val="both"/>
        <w:rPr/>
      </w:pPr>
      <w:r>
        <w:rPr>
          <w:rFonts w:cs="Times New Roman"/>
          <w:b/>
          <w:bCs/>
          <w:i/>
          <w:iCs/>
          <w:szCs w:val="20"/>
        </w:rPr>
        <w:t>Стоимость Услуг по Договору (Цена Договора) является предельной и составляет 1 355 260 745 (Один миллиард триста пятьдесят пять миллионов двести шестьдесят тысяч семьсот сорок пять) рублей 00 копеек без учёта НДС, при этом НДС исчисляется дополнительно по ставке, установленной статьей 164 Налогового кодекса РФ.»;</w:t>
      </w:r>
    </w:p>
    <w:p>
      <w:pPr>
        <w:pStyle w:val="Normal"/>
        <w:spacing w:lineRule="auto" w:line="240"/>
        <w:jc w:val="both"/>
        <w:rPr/>
      </w:pPr>
      <w:r>
        <w:rPr>
          <w:rFonts w:cs="Times New Roman"/>
          <w:b/>
          <w:bCs/>
          <w:i/>
          <w:iCs/>
          <w:szCs w:val="20"/>
        </w:rPr>
        <w:t>Цена Договора (с учетом Дополнительного соглашения):</w:t>
      </w:r>
    </w:p>
    <w:p>
      <w:pPr>
        <w:pStyle w:val="Normal"/>
        <w:spacing w:lineRule="auto" w:line="240"/>
        <w:jc w:val="both"/>
        <w:rPr/>
      </w:pPr>
      <w:r>
        <w:rPr>
          <w:rFonts w:cs="Times New Roman"/>
          <w:b/>
          <w:bCs/>
          <w:i/>
          <w:iCs/>
          <w:szCs w:val="20"/>
        </w:rPr>
        <w:t>предельная стоимость составляет 1 355 260 745 (Один миллиард триста пятьдесят пять миллионов двести шестьдесят тысяч семьсот сорок пять) рублей 00 копеек без учёта НДС, при этом НДС исчисляется дополнительно по ставке, установленной статьей 164 Налогового кодекса РФ.</w:t>
      </w:r>
    </w:p>
    <w:p>
      <w:pPr>
        <w:pStyle w:val="Normal"/>
        <w:spacing w:lineRule="auto" w:line="240"/>
        <w:jc w:val="both"/>
        <w:rPr/>
      </w:pPr>
      <w:r>
        <w:rPr/>
      </w:r>
    </w:p>
    <w:p>
      <w:pPr>
        <w:pStyle w:val="Normal"/>
        <w:spacing w:lineRule="auto" w:line="240"/>
        <w:jc w:val="both"/>
        <w:rPr/>
      </w:pPr>
      <w:r>
        <w:rPr>
          <w:rFonts w:cs="Times New Roman"/>
          <w:szCs w:val="20"/>
        </w:rPr>
        <w:t xml:space="preserve">Орган управления эмитента, принявший решение о согласии на ее совершение или ее последующем одобрении: </w:t>
      </w:r>
      <w:r>
        <w:rPr>
          <w:rFonts w:cs="Times New Roman"/>
          <w:b/>
          <w:bCs/>
          <w:i/>
          <w:iCs/>
          <w:szCs w:val="20"/>
        </w:rPr>
        <w:t>Совет директоров ПАО «Камчатскэнерго» (Протокол № 6 от 30.10.2025)</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 xml:space="preserve">Размер сделки (группы взаимосвязанных сделок) составлял 2 и более процента балансовой стоимости активов эмитента: </w:t>
      </w:r>
      <w:r>
        <w:rPr>
          <w:rFonts w:cs="Times New Roman"/>
          <w:b/>
          <w:bCs/>
          <w:i/>
          <w:iCs/>
          <w:szCs w:val="20"/>
        </w:rPr>
        <w:t>Да</w:t>
      </w:r>
    </w:p>
    <w:p>
      <w:pPr>
        <w:pStyle w:val="Normal"/>
        <w:spacing w:lineRule="auto" w:line="240"/>
        <w:jc w:val="both"/>
        <w:rPr>
          <w:sz w:val="16"/>
          <w:szCs w:val="16"/>
        </w:rPr>
      </w:pPr>
      <w:r>
        <w:rPr>
          <w:sz w:val="16"/>
          <w:szCs w:val="16"/>
        </w:rPr>
      </w:r>
    </w:p>
    <w:tbl>
      <w:tblPr>
        <w:tblW w:w="9695" w:type="dxa"/>
        <w:jc w:val="left"/>
        <w:tblInd w:w="59" w:type="dxa"/>
        <w:tblLayout w:type="fixed"/>
        <w:tblCellMar>
          <w:top w:w="0" w:type="dxa"/>
          <w:left w:w="72" w:type="dxa"/>
          <w:bottom w:w="0" w:type="dxa"/>
          <w:right w:w="72" w:type="dxa"/>
        </w:tblCellMar>
      </w:tblPr>
      <w:tblGrid>
        <w:gridCol w:w="1650"/>
        <w:gridCol w:w="2713"/>
        <w:gridCol w:w="1650"/>
        <w:gridCol w:w="1139"/>
        <w:gridCol w:w="1480"/>
        <w:gridCol w:w="1062"/>
      </w:tblGrid>
      <w:tr>
        <w:trPr/>
        <w:tc>
          <w:tcPr>
            <w:tcW w:w="1650"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Наименование заинтересованного лица</w:t>
            </w:r>
          </w:p>
        </w:tc>
        <w:tc>
          <w:tcPr>
            <w:tcW w:w="271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Основание (основания), по которому (по которым) лицо признано заинтересованным в совершении сделки</w:t>
            </w:r>
          </w:p>
        </w:tc>
        <w:tc>
          <w:tcPr>
            <w:tcW w:w="1650"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Доля участия заинтересованного лица в уставном (складочном) капитале эмитента</w:t>
            </w:r>
          </w:p>
          <w:p>
            <w:pPr>
              <w:pStyle w:val="Normal"/>
              <w:widowControl w:val="false"/>
              <w:tabs>
                <w:tab w:val="clear" w:pos="720"/>
              </w:tabs>
              <w:spacing w:lineRule="auto" w:line="240"/>
              <w:jc w:val="both"/>
              <w:rPr>
                <w:sz w:val="16"/>
                <w:szCs w:val="16"/>
              </w:rPr>
            </w:pPr>
            <w:r>
              <w:rPr>
                <w:sz w:val="16"/>
                <w:szCs w:val="16"/>
              </w:rPr>
            </w:r>
          </w:p>
          <w:p>
            <w:pPr>
              <w:pStyle w:val="Normal"/>
              <w:widowControl w:val="false"/>
              <w:tabs>
                <w:tab w:val="clear" w:pos="720"/>
              </w:tabs>
              <w:spacing w:lineRule="auto" w:line="240" w:before="20" w:after="40"/>
              <w:contextualSpacing/>
              <w:jc w:val="both"/>
              <w:rPr>
                <w:sz w:val="16"/>
                <w:szCs w:val="16"/>
              </w:rPr>
            </w:pPr>
            <w:r>
              <w:rPr>
                <w:b/>
                <w:bCs/>
                <w:i/>
                <w:iCs/>
                <w:sz w:val="16"/>
                <w:szCs w:val="16"/>
              </w:rPr>
              <w:t>(по состоянию на дату заключения сделки)</w:t>
            </w:r>
          </w:p>
        </w:tc>
        <w:tc>
          <w:tcPr>
            <w:tcW w:w="1139"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Доля принадлежавших заинтересованному лицу акций эмитента</w:t>
            </w:r>
          </w:p>
        </w:tc>
        <w:tc>
          <w:tcPr>
            <w:tcW w:w="1480"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Доля участия заинтересованного лица в уставном (складочном) капитале юридического лица, являвшегося стороной в сделке</w:t>
            </w:r>
          </w:p>
        </w:tc>
        <w:tc>
          <w:tcPr>
            <w:tcW w:w="1062"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Доля принадлежавших заинтересованному лицу акций юридического лица, являвшегося стороной в сделке</w:t>
            </w:r>
          </w:p>
        </w:tc>
      </w:tr>
      <w:tr>
        <w:trPr/>
        <w:tc>
          <w:tcPr>
            <w:tcW w:w="1650"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АО «РАО ЭС Востока»</w:t>
            </w:r>
          </w:p>
        </w:tc>
        <w:tc>
          <w:tcPr>
            <w:tcW w:w="271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контролирующее лицо ПАО «Камчатскэнерго» (прямой контроль),</w:t>
            </w:r>
          </w:p>
          <w:p>
            <w:pPr>
              <w:pStyle w:val="Normal"/>
              <w:widowControl w:val="false"/>
              <w:tabs>
                <w:tab w:val="clear" w:pos="720"/>
              </w:tabs>
              <w:spacing w:lineRule="auto" w:line="240" w:before="20" w:after="40"/>
              <w:contextualSpacing/>
              <w:jc w:val="both"/>
              <w:rPr>
                <w:sz w:val="16"/>
                <w:szCs w:val="16"/>
              </w:rPr>
            </w:pPr>
            <w:r>
              <w:rPr>
                <w:b/>
                <w:bCs/>
                <w:i/>
                <w:iCs/>
                <w:sz w:val="16"/>
                <w:szCs w:val="16"/>
              </w:rPr>
              <w:t>являющееся одновременно контролирующим лицом стороны в сделке – ПАО «ДЭК» (прямой контроль)</w:t>
            </w:r>
          </w:p>
        </w:tc>
        <w:tc>
          <w:tcPr>
            <w:tcW w:w="1650"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71,31</w:t>
            </w:r>
          </w:p>
          <w:p>
            <w:pPr>
              <w:pStyle w:val="Normal"/>
              <w:widowControl w:val="false"/>
              <w:tabs>
                <w:tab w:val="clear" w:pos="720"/>
              </w:tabs>
              <w:spacing w:lineRule="auto" w:line="240"/>
              <w:jc w:val="both"/>
              <w:rPr>
                <w:sz w:val="16"/>
                <w:szCs w:val="16"/>
              </w:rPr>
            </w:pPr>
            <w:r>
              <w:rPr>
                <w:b/>
                <w:bCs/>
                <w:i/>
                <w:iCs/>
                <w:sz w:val="16"/>
                <w:szCs w:val="16"/>
              </w:rPr>
              <w:t>(прямое участие)</w:t>
            </w:r>
          </w:p>
          <w:p>
            <w:pPr>
              <w:pStyle w:val="Normal"/>
              <w:widowControl w:val="false"/>
              <w:tabs>
                <w:tab w:val="clear" w:pos="720"/>
              </w:tabs>
              <w:spacing w:lineRule="auto" w:line="240" w:before="0" w:after="0"/>
              <w:contextualSpacing/>
              <w:jc w:val="both"/>
              <w:rPr>
                <w:b/>
                <w:bCs/>
                <w:i/>
                <w:i/>
                <w:iCs/>
                <w:sz w:val="16"/>
                <w:szCs w:val="16"/>
              </w:rPr>
            </w:pPr>
            <w:r>
              <w:rPr>
                <w:b/>
                <w:bCs/>
                <w:i/>
                <w:iCs/>
                <w:sz w:val="16"/>
                <w:szCs w:val="16"/>
              </w:rPr>
            </w:r>
          </w:p>
        </w:tc>
        <w:tc>
          <w:tcPr>
            <w:tcW w:w="1139"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71,31</w:t>
            </w:r>
          </w:p>
        </w:tc>
        <w:tc>
          <w:tcPr>
            <w:tcW w:w="1480"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59,92</w:t>
            </w:r>
          </w:p>
          <w:p>
            <w:pPr>
              <w:pStyle w:val="Normal"/>
              <w:widowControl w:val="false"/>
              <w:tabs>
                <w:tab w:val="clear" w:pos="720"/>
              </w:tabs>
              <w:spacing w:lineRule="auto" w:line="240" w:before="20" w:after="40"/>
              <w:contextualSpacing/>
              <w:jc w:val="both"/>
              <w:rPr>
                <w:sz w:val="16"/>
                <w:szCs w:val="16"/>
              </w:rPr>
            </w:pPr>
            <w:r>
              <w:rPr>
                <w:b/>
                <w:bCs/>
                <w:i/>
                <w:iCs/>
                <w:sz w:val="16"/>
                <w:szCs w:val="16"/>
              </w:rPr>
              <w:t>(прямое участие)</w:t>
            </w:r>
          </w:p>
        </w:tc>
        <w:tc>
          <w:tcPr>
            <w:tcW w:w="1062"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59,92</w:t>
            </w:r>
          </w:p>
        </w:tc>
      </w:tr>
      <w:tr>
        <w:trPr/>
        <w:tc>
          <w:tcPr>
            <w:tcW w:w="1650"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ПАО «РусГидро»</w:t>
            </w:r>
          </w:p>
        </w:tc>
        <w:tc>
          <w:tcPr>
            <w:tcW w:w="271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контролирующее лицо ПАО «Камчатскэнерго» (косвенный контроль), являющееся одновременно контролирующим лицом стороны в сделке – ПАО «ДЭК» (косвенный контроль)</w:t>
            </w:r>
          </w:p>
        </w:tc>
        <w:tc>
          <w:tcPr>
            <w:tcW w:w="1650"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27,97</w:t>
            </w:r>
          </w:p>
          <w:p>
            <w:pPr>
              <w:pStyle w:val="Normal"/>
              <w:widowControl w:val="false"/>
              <w:tabs>
                <w:tab w:val="clear" w:pos="720"/>
              </w:tabs>
              <w:spacing w:lineRule="auto" w:line="240"/>
              <w:jc w:val="both"/>
              <w:rPr>
                <w:sz w:val="16"/>
                <w:szCs w:val="16"/>
              </w:rPr>
            </w:pPr>
            <w:r>
              <w:rPr>
                <w:b/>
                <w:bCs/>
                <w:i/>
                <w:iCs/>
                <w:sz w:val="16"/>
                <w:szCs w:val="16"/>
              </w:rPr>
              <w:t>(прямое участие)</w:t>
            </w:r>
          </w:p>
          <w:p>
            <w:pPr>
              <w:pStyle w:val="Normal"/>
              <w:widowControl w:val="false"/>
              <w:tabs>
                <w:tab w:val="clear" w:pos="720"/>
              </w:tabs>
              <w:spacing w:lineRule="auto" w:line="240"/>
              <w:jc w:val="both"/>
              <w:rPr>
                <w:sz w:val="16"/>
                <w:szCs w:val="16"/>
              </w:rPr>
            </w:pPr>
            <w:r>
              <w:rPr>
                <w:b/>
                <w:bCs/>
                <w:i/>
                <w:iCs/>
                <w:sz w:val="16"/>
                <w:szCs w:val="16"/>
              </w:rPr>
              <w:t>99,33</w:t>
            </w:r>
          </w:p>
          <w:p>
            <w:pPr>
              <w:pStyle w:val="Normal"/>
              <w:widowControl w:val="false"/>
              <w:tabs>
                <w:tab w:val="clear" w:pos="720"/>
              </w:tabs>
              <w:spacing w:lineRule="auto" w:line="240" w:before="20" w:after="40"/>
              <w:contextualSpacing/>
              <w:jc w:val="both"/>
              <w:rPr>
                <w:sz w:val="16"/>
                <w:szCs w:val="16"/>
              </w:rPr>
            </w:pPr>
            <w:r>
              <w:rPr>
                <w:b/>
                <w:bCs/>
                <w:i/>
                <w:iCs/>
                <w:sz w:val="16"/>
                <w:szCs w:val="16"/>
              </w:rPr>
              <w:t>(косвенное участие)</w:t>
            </w:r>
          </w:p>
        </w:tc>
        <w:tc>
          <w:tcPr>
            <w:tcW w:w="1139"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27,97</w:t>
            </w:r>
          </w:p>
        </w:tc>
        <w:tc>
          <w:tcPr>
            <w:tcW w:w="1480"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89,28</w:t>
            </w:r>
          </w:p>
          <w:p>
            <w:pPr>
              <w:pStyle w:val="Normal"/>
              <w:widowControl w:val="false"/>
              <w:tabs>
                <w:tab w:val="clear" w:pos="720"/>
              </w:tabs>
              <w:spacing w:lineRule="auto" w:line="240" w:before="20" w:after="40"/>
              <w:contextualSpacing/>
              <w:jc w:val="both"/>
              <w:rPr>
                <w:sz w:val="16"/>
                <w:szCs w:val="16"/>
              </w:rPr>
            </w:pPr>
            <w:r>
              <w:rPr>
                <w:b/>
                <w:bCs/>
                <w:i/>
                <w:iCs/>
                <w:sz w:val="16"/>
                <w:szCs w:val="16"/>
              </w:rPr>
              <w:t>(косвенное участие)</w:t>
            </w:r>
          </w:p>
        </w:tc>
        <w:tc>
          <w:tcPr>
            <w:tcW w:w="1062"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0</w:t>
            </w:r>
          </w:p>
        </w:tc>
      </w:tr>
      <w:tr>
        <w:trPr/>
        <w:tc>
          <w:tcPr>
            <w:tcW w:w="1650" w:type="dxa"/>
            <w:tcBorders>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Ткачева Н.Н.</w:t>
            </w:r>
          </w:p>
        </w:tc>
        <w:tc>
          <w:tcPr>
            <w:tcW w:w="2713" w:type="dxa"/>
            <w:tcBorders>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член Совета директоров ПАО «Камчатскэнерго», одновременно являющийся членом Совета директоров стороны в сделке – АО «РГ Логистика».</w:t>
            </w:r>
          </w:p>
        </w:tc>
        <w:tc>
          <w:tcPr>
            <w:tcW w:w="1650" w:type="dxa"/>
            <w:tcBorders>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0</w:t>
            </w:r>
          </w:p>
        </w:tc>
        <w:tc>
          <w:tcPr>
            <w:tcW w:w="1139" w:type="dxa"/>
            <w:tcBorders>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0</w:t>
            </w:r>
          </w:p>
        </w:tc>
        <w:tc>
          <w:tcPr>
            <w:tcW w:w="1480" w:type="dxa"/>
            <w:tcBorders>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0</w:t>
            </w:r>
          </w:p>
        </w:tc>
        <w:tc>
          <w:tcPr>
            <w:tcW w:w="1062" w:type="dxa"/>
            <w:tcBorders>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0</w:t>
            </w:r>
          </w:p>
        </w:tc>
      </w:tr>
    </w:tbl>
    <w:p>
      <w:pPr>
        <w:pStyle w:val="Normal"/>
        <w:widowControl w:val="false"/>
        <w:spacing w:lineRule="auto" w:line="240"/>
        <w:jc w:val="both"/>
        <w:rPr>
          <w:rFonts w:cs="Times New Roman"/>
          <w:sz w:val="16"/>
          <w:szCs w:val="16"/>
        </w:rPr>
      </w:pPr>
      <w:r>
        <w:rPr>
          <w:rFonts w:cs="Times New Roman"/>
          <w:sz w:val="16"/>
          <w:szCs w:val="16"/>
        </w:rPr>
      </w:r>
    </w:p>
    <w:p>
      <w:pPr>
        <w:pStyle w:val="Normal"/>
        <w:spacing w:lineRule="auto" w:line="240"/>
        <w:jc w:val="left"/>
        <w:rPr/>
      </w:pPr>
      <w:r>
        <w:rPr>
          <w:rFonts w:cs="Times New Roman"/>
          <w:szCs w:val="20"/>
        </w:rPr>
        <w:t>13.</w:t>
      </w:r>
    </w:p>
    <w:p>
      <w:pPr>
        <w:pStyle w:val="Normal"/>
        <w:spacing w:lineRule="auto" w:line="240"/>
        <w:jc w:val="both"/>
        <w:rPr/>
      </w:pPr>
      <w:r>
        <w:rPr>
          <w:rFonts w:cs="Times New Roman"/>
          <w:b/>
          <w:bCs/>
          <w:i/>
          <w:iCs/>
          <w:szCs w:val="20"/>
        </w:rPr>
        <w:t>Дополнительное соглашение № 3 к Агентскому Договору от 09.04.2024 № 95400-ПРО ДЭК-2024-КамчЭн</w:t>
      </w:r>
    </w:p>
    <w:p>
      <w:pPr>
        <w:pStyle w:val="Normal"/>
        <w:spacing w:lineRule="auto" w:line="240"/>
        <w:jc w:val="both"/>
        <w:rPr>
          <w:rFonts w:cs="Times New Roman"/>
          <w:b/>
          <w:bCs/>
          <w:i/>
          <w:i/>
          <w:iCs/>
          <w:szCs w:val="20"/>
        </w:rPr>
      </w:pPr>
      <w:r>
        <w:rPr>
          <w:rFonts w:cs="Times New Roman"/>
          <w:b/>
          <w:bCs/>
          <w:i/>
          <w:iCs/>
          <w:szCs w:val="20"/>
        </w:rPr>
      </w:r>
    </w:p>
    <w:p>
      <w:pPr>
        <w:pStyle w:val="Normal"/>
        <w:spacing w:lineRule="auto" w:line="240"/>
        <w:jc w:val="both"/>
        <w:rPr/>
      </w:pPr>
      <w:r>
        <w:rPr>
          <w:rFonts w:cs="Times New Roman"/>
          <w:szCs w:val="20"/>
        </w:rPr>
        <w:t xml:space="preserve">Дата совершения сделки, либо дата совершения первой сделки из последовательности взаимосвязанных:  </w:t>
      </w:r>
      <w:r>
        <w:rPr>
          <w:rFonts w:cs="Times New Roman"/>
          <w:b/>
          <w:bCs/>
          <w:i/>
          <w:iCs/>
          <w:szCs w:val="20"/>
        </w:rPr>
        <w:t>17.11.2025</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Лицо (лица), признанное (признанные) в соответствии с законодательством Российской Федерации лицом (лицами), заинтересованным (заинтересованными) в совершении сделки:</w:t>
      </w:r>
      <w:r>
        <w:rPr>
          <w:rFonts w:cs="Times New Roman"/>
          <w:b/>
          <w:bCs/>
          <w:i/>
          <w:iCs/>
          <w:szCs w:val="20"/>
        </w:rPr>
        <w:t xml:space="preserve"> </w:t>
      </w:r>
    </w:p>
    <w:p>
      <w:pPr>
        <w:pStyle w:val="Normal"/>
        <w:spacing w:lineRule="auto" w:line="240"/>
        <w:jc w:val="both"/>
        <w:rPr/>
      </w:pPr>
      <w:r>
        <w:rPr>
          <w:rFonts w:cs="Times New Roman"/>
          <w:b/>
          <w:bCs/>
          <w:i/>
          <w:iCs/>
          <w:szCs w:val="20"/>
        </w:rPr>
        <w:t>ПАО «РусГидро» - контролирующее лицо ПАО «Камчатскэнерго» (косвенный контроль), являющееся одновременно контролирующим лицом стороны в сделке – АО «УК ГидроОГК» (прямой контроль).</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Существенные условия сделки:</w:t>
      </w:r>
    </w:p>
    <w:p>
      <w:pPr>
        <w:pStyle w:val="Normal"/>
        <w:spacing w:lineRule="auto" w:line="240"/>
        <w:jc w:val="both"/>
        <w:rPr/>
      </w:pPr>
      <w:r>
        <w:rPr>
          <w:rFonts w:cs="Times New Roman"/>
          <w:b/>
          <w:bCs/>
          <w:i/>
          <w:iCs/>
          <w:szCs w:val="20"/>
        </w:rPr>
        <w:t>Стороны Дополнительного соглашения: Принципал – ПАО «Камчатскэнерго»;</w:t>
      </w:r>
    </w:p>
    <w:p>
      <w:pPr>
        <w:pStyle w:val="Normal"/>
        <w:spacing w:lineRule="auto" w:line="240"/>
        <w:jc w:val="both"/>
        <w:rPr/>
      </w:pPr>
      <w:r>
        <w:rPr>
          <w:rFonts w:cs="Times New Roman"/>
          <w:b/>
          <w:bCs/>
          <w:i/>
          <w:iCs/>
          <w:szCs w:val="20"/>
        </w:rPr>
        <w:t>Агент – АО «УК ГидроОГК».</w:t>
      </w:r>
    </w:p>
    <w:p>
      <w:pPr>
        <w:pStyle w:val="Normal"/>
        <w:spacing w:lineRule="auto" w:line="240"/>
        <w:jc w:val="both"/>
        <w:rPr/>
      </w:pPr>
      <w:r>
        <w:rPr>
          <w:rFonts w:cs="Times New Roman"/>
          <w:b/>
          <w:bCs/>
          <w:i/>
          <w:iCs/>
          <w:szCs w:val="20"/>
        </w:rPr>
        <w:t>Предмет Дополнительного соглашения: Продление срока оказания Услуг по Договору. Срок оказания услуг (с учетом Дополнительного соглашения):</w:t>
      </w:r>
    </w:p>
    <w:p>
      <w:pPr>
        <w:pStyle w:val="Normal"/>
        <w:spacing w:lineRule="auto" w:line="240"/>
        <w:jc w:val="both"/>
        <w:rPr/>
      </w:pPr>
      <w:r>
        <w:rPr>
          <w:rFonts w:cs="Times New Roman"/>
          <w:b/>
          <w:bCs/>
          <w:i/>
          <w:iCs/>
          <w:szCs w:val="20"/>
        </w:rPr>
        <w:t>С 15.03.2024 до даты ввода последнего из Объектов в эксплуатацию, но не позднее 30.06.2026.</w:t>
      </w:r>
    </w:p>
    <w:p>
      <w:pPr>
        <w:pStyle w:val="Normal"/>
        <w:spacing w:lineRule="auto" w:line="240"/>
        <w:jc w:val="both"/>
        <w:rPr/>
      </w:pPr>
      <w:r>
        <w:rPr>
          <w:rFonts w:cs="Times New Roman"/>
          <w:b/>
          <w:bCs/>
          <w:i/>
          <w:iCs/>
          <w:szCs w:val="20"/>
        </w:rPr>
        <w:t>Цена Договора (с учетом Дополнительного соглашения): предельная стоимость услуг остается неизменной и составляет 121 231 291 (Сто двадцать один миллион двести тридцать одна тысяча двести девяносто один) рубль 22 копейки без учета НДС, при этом НДС исчисляется дополнительно по ставке, установленной статьей 164 Налогового кодекса Российской Федерации.</w:t>
      </w:r>
    </w:p>
    <w:p>
      <w:pPr>
        <w:pStyle w:val="Normal"/>
        <w:spacing w:lineRule="auto" w:line="240"/>
        <w:jc w:val="both"/>
        <w:rPr/>
      </w:pPr>
      <w:r>
        <w:rPr>
          <w:rFonts w:cs="Times New Roman"/>
          <w:b/>
          <w:bCs/>
          <w:i/>
          <w:iCs/>
          <w:szCs w:val="20"/>
        </w:rPr>
        <w:t>Срок действия Дополнительного соглашения: Дополнительное соглашение вступает в силу с даты его подписания Сторонами. В соответствии с пунктом 2 статьи 425 Гражданского кодекса РФ, условия Дополнительного соглашения применяются к отношениям Сторон с 01.01.2025.</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 xml:space="preserve">Орган управления эмитента, принявший решение о согласии на ее совершение или ее последующем одобрении: </w:t>
      </w:r>
      <w:r>
        <w:rPr>
          <w:rFonts w:cs="Times New Roman"/>
          <w:b/>
          <w:bCs/>
          <w:i/>
          <w:iCs/>
          <w:szCs w:val="20"/>
        </w:rPr>
        <w:t>Совет директоров ПАО «Камчатскэнерго» (Протокол № 7 от 12.11.2025)</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Размер сделки (группы взаимосвязанных сделок) составлял 2 и более процента балансовой стоимости активов эмитента:</w:t>
      </w:r>
      <w:r>
        <w:rPr>
          <w:rFonts w:cs="Times New Roman"/>
          <w:b/>
          <w:bCs/>
          <w:i/>
          <w:iCs/>
          <w:szCs w:val="20"/>
        </w:rPr>
        <w:t xml:space="preserve"> Нет</w:t>
      </w:r>
    </w:p>
    <w:p>
      <w:pPr>
        <w:pStyle w:val="Normal"/>
        <w:spacing w:lineRule="auto" w:line="240"/>
        <w:jc w:val="both"/>
        <w:rPr>
          <w:rFonts w:cs="Times New Roman"/>
          <w:b/>
          <w:bCs/>
          <w:i/>
          <w:i/>
          <w:iCs/>
          <w:szCs w:val="20"/>
        </w:rPr>
      </w:pPr>
      <w:r>
        <w:rPr>
          <w:rFonts w:cs="Times New Roman"/>
          <w:b/>
          <w:bCs/>
          <w:i/>
          <w:iCs/>
          <w:szCs w:val="20"/>
        </w:rPr>
      </w:r>
    </w:p>
    <w:p>
      <w:pPr>
        <w:pStyle w:val="Normal"/>
        <w:spacing w:lineRule="auto" w:line="240"/>
        <w:jc w:val="both"/>
        <w:rPr/>
      </w:pPr>
      <w:r>
        <w:rPr>
          <w:rFonts w:cs="Times New Roman"/>
          <w:szCs w:val="20"/>
        </w:rPr>
        <w:t>14.</w:t>
      </w:r>
    </w:p>
    <w:p>
      <w:pPr>
        <w:pStyle w:val="Normal"/>
        <w:spacing w:lineRule="auto" w:line="240"/>
        <w:jc w:val="both"/>
        <w:rPr>
          <w:rFonts w:cs="Times New Roman"/>
          <w:b/>
          <w:bCs/>
          <w:i/>
          <w:i/>
          <w:iCs/>
          <w:szCs w:val="20"/>
        </w:rPr>
      </w:pPr>
      <w:r>
        <w:rPr>
          <w:rFonts w:cs="Times New Roman"/>
          <w:b/>
          <w:bCs/>
          <w:i/>
          <w:iCs/>
          <w:szCs w:val="20"/>
        </w:rPr>
      </w:r>
    </w:p>
    <w:p>
      <w:pPr>
        <w:pStyle w:val="Normal"/>
        <w:spacing w:lineRule="auto" w:line="240"/>
        <w:jc w:val="both"/>
        <w:rPr/>
      </w:pPr>
      <w:r>
        <w:rPr>
          <w:rFonts w:cs="Times New Roman"/>
          <w:b/>
          <w:bCs/>
          <w:i/>
          <w:iCs/>
          <w:szCs w:val="20"/>
        </w:rPr>
        <w:t>Дополнительное соглашение № 4 к Договору подряда на выполнение проектно-изыскательских работ от 22.12.2023 № 115800-ТПИР ОБСЛ-2023-КамчЭн</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 xml:space="preserve">Дата совершения сделки, либо дата совершения первой сделки из последовательности взаимосвязанных: </w:t>
      </w:r>
      <w:r>
        <w:rPr>
          <w:rFonts w:cs="Times New Roman"/>
          <w:b/>
          <w:bCs/>
          <w:i/>
          <w:iCs/>
          <w:szCs w:val="20"/>
        </w:rPr>
        <w:t>24.11.2025</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Лицо (лица), признанное (признанные) в соответствии с законодательством Российской Федерации лицом (лицами), заинтересованным (заинтересованными) в совершении сделки:</w:t>
      </w:r>
      <w:r>
        <w:rPr>
          <w:rFonts w:cs="Times New Roman"/>
          <w:b/>
          <w:bCs/>
          <w:i/>
          <w:iCs/>
          <w:szCs w:val="20"/>
        </w:rPr>
        <w:t xml:space="preserve"> </w:t>
      </w:r>
    </w:p>
    <w:p>
      <w:pPr>
        <w:pStyle w:val="Normal"/>
        <w:spacing w:lineRule="auto" w:line="240"/>
        <w:jc w:val="both"/>
        <w:rPr/>
      </w:pPr>
      <w:r>
        <w:rPr>
          <w:rFonts w:cs="Times New Roman"/>
          <w:b/>
          <w:bCs/>
          <w:i/>
          <w:iCs/>
          <w:szCs w:val="20"/>
        </w:rPr>
        <w:t>ПАО «РусГидро» - контролирующее лицо ПАО «Камчатскэнерго» (косвенный контроль), являющееся одновременно контролирующим лицом стороны в сделке – АО «Ленгидропроект» (прямой контроль).</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Существенные условия сделки:</w:t>
      </w:r>
    </w:p>
    <w:p>
      <w:pPr>
        <w:pStyle w:val="Normal"/>
        <w:spacing w:lineRule="auto" w:line="240"/>
        <w:jc w:val="both"/>
        <w:rPr/>
      </w:pPr>
      <w:r>
        <w:rPr>
          <w:rFonts w:cs="Times New Roman"/>
          <w:b/>
          <w:bCs/>
          <w:i/>
          <w:iCs/>
          <w:szCs w:val="20"/>
        </w:rPr>
        <w:t>Стороны Дополнительного соглашения: Заказчик — ПАО «Камчатскэнерго»; Подрядчик - АО «Ленгидропроект».</w:t>
      </w:r>
    </w:p>
    <w:p>
      <w:pPr>
        <w:pStyle w:val="Normal"/>
        <w:spacing w:lineRule="auto" w:line="240"/>
        <w:jc w:val="both"/>
        <w:rPr/>
      </w:pPr>
      <w:r>
        <w:rPr>
          <w:rFonts w:cs="Times New Roman"/>
          <w:b/>
          <w:bCs/>
          <w:i/>
          <w:iCs/>
          <w:szCs w:val="20"/>
        </w:rPr>
        <w:t>Предмет Дополнительного соглашения: Внесение следующих изменений в Договор: 1. В связи с принятием Заказчиком решения об изменении наименования сооружаемой электростанции с «Мутновская ГеоЭС-1» на «Скалистая ГеоЭС» изложить пункт 1.1. Договора в следующей редакции:</w:t>
      </w:r>
    </w:p>
    <w:p>
      <w:pPr>
        <w:pStyle w:val="Normal"/>
        <w:spacing w:lineRule="auto" w:line="240"/>
        <w:jc w:val="both"/>
        <w:rPr/>
      </w:pPr>
      <w:r>
        <w:rPr>
          <w:rFonts w:cs="Times New Roman"/>
          <w:b/>
          <w:bCs/>
          <w:i/>
          <w:iCs/>
          <w:szCs w:val="20"/>
        </w:rPr>
        <w:t>«1.1. Подрядчик обязуется по заданию Заказчика в соответствии с Техническим заданием по титулу «Разработка проектно-сметной документации «Комплекс электроснабжения. Строительство Скалистой ГеоЭС» (Приложение № 1 к Договору) выполнить работы по «ОКПД2 71.12.12.221 Выполнение проектно-изыскательских работ по объекту «Разработка проектно-сметной документации. «Комплекс электроснабжения. Строительство Скалистой ГеоЭС» для нужд ПАО «Камчатскэнерго» в рамках инвестиционного проекта №_ФВЭ_509-3968 (далее по тексту – «Работы»), а также сдать Результат работ Заказчику, а Заказчик обязуется создать Подрядчику указанные в Договоре условия для выполнения Работ, принять Результат Работ и уплатить Цену Договора.».</w:t>
      </w:r>
    </w:p>
    <w:p>
      <w:pPr>
        <w:pStyle w:val="Normal"/>
        <w:spacing w:lineRule="auto" w:line="240"/>
        <w:jc w:val="both"/>
        <w:rPr/>
      </w:pPr>
      <w:r>
        <w:rPr>
          <w:rFonts w:cs="Times New Roman"/>
          <w:b/>
          <w:bCs/>
          <w:i/>
          <w:iCs/>
          <w:szCs w:val="20"/>
        </w:rPr>
        <w:t>2. Техническое задание изложить в редакции согласно Приложению 2 к решению.</w:t>
      </w:r>
    </w:p>
    <w:p>
      <w:pPr>
        <w:pStyle w:val="Normal"/>
        <w:spacing w:lineRule="auto" w:line="240"/>
        <w:jc w:val="both"/>
        <w:rPr/>
      </w:pPr>
      <w:r>
        <w:rPr>
          <w:rFonts w:cs="Times New Roman"/>
          <w:b/>
          <w:bCs/>
          <w:i/>
          <w:iCs/>
          <w:szCs w:val="20"/>
        </w:rPr>
        <w:t>Цена Договора (с учетом Дополнительного соглашения): предельная стоимость работ не меняется и составляет 385 200 000 (Триста восемьдесят пять миллионов двести тысяч) рублей 00 копеек, без учета НДС, при этом НДС исчисляется дополнительно по ставке, установленной статьей 164 Налогового кодекса Российской Федерации.</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 xml:space="preserve">Орган управления эмитента, принявший решение о согласии на ее совершение или ее последующем одобрении: </w:t>
      </w:r>
      <w:r>
        <w:rPr>
          <w:rFonts w:cs="Times New Roman"/>
          <w:b/>
          <w:bCs/>
          <w:i/>
          <w:iCs/>
          <w:szCs w:val="20"/>
        </w:rPr>
        <w:t>Совет директоров ПАО «Камчатскэнерго» (Протокол № 7 от 12.11.2025)</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 xml:space="preserve">Размер сделки (группы взаимосвязанных сделок) составлял 2 и более процента балансовой стоимости активов эмитента: </w:t>
      </w:r>
      <w:r>
        <w:rPr>
          <w:rFonts w:cs="Times New Roman"/>
          <w:b/>
          <w:bCs/>
          <w:i/>
          <w:iCs/>
          <w:szCs w:val="20"/>
        </w:rPr>
        <w:t>Нет</w:t>
      </w:r>
    </w:p>
    <w:p>
      <w:pPr>
        <w:pStyle w:val="Normal"/>
        <w:spacing w:lineRule="auto" w:line="240"/>
        <w:jc w:val="both"/>
        <w:rPr>
          <w:rFonts w:cs="Times New Roman"/>
          <w:b/>
          <w:bCs/>
          <w:szCs w:val="20"/>
        </w:rPr>
      </w:pPr>
      <w:r>
        <w:rPr>
          <w:rFonts w:cs="Times New Roman"/>
          <w:b/>
          <w:bCs/>
          <w:szCs w:val="20"/>
        </w:rPr>
      </w:r>
    </w:p>
    <w:p>
      <w:pPr>
        <w:pStyle w:val="Normal"/>
        <w:spacing w:lineRule="auto" w:line="240"/>
        <w:jc w:val="both"/>
        <w:rPr>
          <w:b w:val="false"/>
          <w:bCs w:val="false"/>
        </w:rPr>
      </w:pPr>
      <w:r>
        <w:rPr>
          <w:rFonts w:cs="Times New Roman"/>
          <w:b w:val="false"/>
          <w:bCs w:val="false"/>
          <w:szCs w:val="20"/>
        </w:rPr>
        <w:t>15.</w:t>
      </w:r>
    </w:p>
    <w:p>
      <w:pPr>
        <w:pStyle w:val="Normal"/>
        <w:shd w:fill="FFFFFF"/>
        <w:spacing w:lineRule="auto" w:line="240" w:before="0" w:after="0"/>
        <w:ind w:left="0" w:right="140" w:hanging="0"/>
        <w:contextualSpacing/>
        <w:jc w:val="both"/>
        <w:rPr>
          <w:rFonts w:cs="Times New Roman"/>
          <w:b w:val="false"/>
          <w:bCs w:val="false"/>
          <w:i/>
          <w:i/>
          <w:iCs/>
          <w:szCs w:val="20"/>
          <w:highlight w:val="none"/>
          <w:shd w:fill="auto" w:val="clear"/>
        </w:rPr>
      </w:pPr>
      <w:r>
        <w:rPr>
          <w:rFonts w:cs="Times New Roman"/>
          <w:b w:val="false"/>
          <w:bCs w:val="false"/>
          <w:i/>
          <w:iCs/>
          <w:szCs w:val="20"/>
          <w:shd w:fill="auto" w:val="clear"/>
        </w:rPr>
      </w:r>
    </w:p>
    <w:p>
      <w:pPr>
        <w:pStyle w:val="Normal"/>
        <w:shd w:fill="FFFFFF"/>
        <w:spacing w:lineRule="auto" w:line="240" w:before="0" w:after="0"/>
        <w:ind w:left="0" w:right="140" w:hanging="0"/>
        <w:contextualSpacing/>
        <w:jc w:val="both"/>
        <w:rPr>
          <w:highlight w:val="none"/>
          <w:shd w:fill="auto" w:val="clear"/>
        </w:rPr>
      </w:pPr>
      <w:r>
        <w:rPr>
          <w:rFonts w:cs="Times New Roman"/>
          <w:b/>
          <w:bCs/>
          <w:i/>
          <w:iCs/>
          <w:szCs w:val="20"/>
          <w:shd w:fill="auto" w:val="clear"/>
        </w:rPr>
        <w:t>Договор займа № 1010-926-2025</w:t>
      </w:r>
    </w:p>
    <w:p>
      <w:pPr>
        <w:pStyle w:val="Normal"/>
        <w:spacing w:lineRule="auto" w:line="240"/>
        <w:jc w:val="both"/>
        <w:rPr>
          <w:rFonts w:cs="Times New Roman"/>
          <w:szCs w:val="20"/>
          <w:highlight w:val="none"/>
          <w:shd w:fill="auto" w:val="clear"/>
        </w:rPr>
      </w:pPr>
      <w:r>
        <w:rPr>
          <w:rFonts w:cs="Times New Roman"/>
          <w:szCs w:val="20"/>
          <w:shd w:fill="auto" w:val="clear"/>
        </w:rPr>
      </w:r>
    </w:p>
    <w:p>
      <w:pPr>
        <w:pStyle w:val="Normal"/>
        <w:spacing w:lineRule="auto" w:line="240"/>
        <w:jc w:val="both"/>
        <w:rPr/>
      </w:pPr>
      <w:r>
        <w:rPr>
          <w:rFonts w:cs="Times New Roman"/>
          <w:szCs w:val="20"/>
        </w:rPr>
        <w:t xml:space="preserve">Дата совершения сделки, либо дата совершения первой сделки из последовательности взаимосвязанных: </w:t>
      </w:r>
      <w:r>
        <w:rPr>
          <w:rFonts w:cs="Times New Roman"/>
          <w:b/>
          <w:bCs/>
          <w:i/>
          <w:iCs/>
          <w:szCs w:val="20"/>
        </w:rPr>
        <w:t>28.11.2025</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Лицо (лица), признанное (признанные) в соответствии с законодательством Российской Федерации лицом (лицами), заинтересованным (заинтересованными) в совершении сделки:</w:t>
      </w:r>
      <w:r>
        <w:rPr>
          <w:rFonts w:cs="Times New Roman"/>
          <w:b/>
          <w:bCs/>
          <w:i/>
          <w:iCs/>
          <w:szCs w:val="20"/>
        </w:rPr>
        <w:t xml:space="preserve"> </w:t>
      </w:r>
    </w:p>
    <w:p>
      <w:pPr>
        <w:pStyle w:val="Normal"/>
        <w:spacing w:lineRule="auto" w:line="240"/>
        <w:jc w:val="both"/>
        <w:rPr/>
      </w:pPr>
      <w:r>
        <w:rPr>
          <w:rFonts w:cs="Times New Roman"/>
          <w:b/>
          <w:bCs/>
          <w:i/>
          <w:iCs/>
          <w:szCs w:val="20"/>
        </w:rPr>
        <w:t>ПАО «РусГидро» - контролирующее лицо ПАО «Камчатскэнерго» (косвенный контроль), является одновременно стороной в сделке.</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Существенные условия сделки:</w:t>
      </w:r>
    </w:p>
    <w:p>
      <w:pPr>
        <w:pStyle w:val="Normal"/>
        <w:spacing w:lineRule="auto" w:line="240"/>
        <w:ind w:left="0" w:right="0" w:hanging="0"/>
        <w:jc w:val="both"/>
        <w:rPr/>
      </w:pPr>
      <w:r>
        <w:rPr>
          <w:rFonts w:cs="Times New Roman"/>
          <w:b/>
          <w:bCs/>
          <w:i/>
          <w:iCs/>
          <w:szCs w:val="20"/>
        </w:rPr>
        <w:t>Стороны Договора: Заемщик – ПАО «Камчатскэнерго»; Займодавец – ПАО «РусГидро».</w:t>
      </w:r>
    </w:p>
    <w:p>
      <w:pPr>
        <w:pStyle w:val="Normal"/>
        <w:spacing w:lineRule="auto" w:line="240"/>
        <w:ind w:left="0" w:right="0" w:hanging="0"/>
        <w:jc w:val="both"/>
        <w:rPr/>
      </w:pPr>
      <w:r>
        <w:rPr>
          <w:rFonts w:cs="Times New Roman"/>
          <w:b/>
          <w:bCs/>
          <w:i/>
          <w:iCs/>
          <w:szCs w:val="20"/>
        </w:rPr>
        <w:t>Предмет сделки: По Договору Займодавец обязуется передать в собственность Заемщику денежные средства (далее – «Сумма займа, заём») в размере не более 1 502 962 000 (Один миллиард пятьсот два миллиона девятьсот шестьдесят две тысячи) рублей 00 копеек, а Заемщик обязуется возвратить Займодавцу полученную Сумму займа по Договору, а также уплатить проценты за пользование займом и другие платежи в порядке и на условиях, установленных Договором.</w:t>
      </w:r>
    </w:p>
    <w:p>
      <w:pPr>
        <w:pStyle w:val="Normal"/>
        <w:spacing w:lineRule="auto" w:line="240" w:before="0" w:after="0"/>
        <w:contextualSpacing/>
        <w:jc w:val="both"/>
        <w:rPr/>
      </w:pPr>
      <w:r>
        <w:rPr>
          <w:rFonts w:cs="Times New Roman"/>
          <w:b/>
          <w:bCs/>
          <w:i/>
          <w:iCs/>
          <w:szCs w:val="20"/>
        </w:rPr>
        <w:t>Предельная Сумма займа: 1 502 962 000 (Один миллиард пятьсот два миллиона девятьсот шестьдесят две тысячи) рублей 00 копеек.</w:t>
      </w:r>
    </w:p>
    <w:p>
      <w:pPr>
        <w:pStyle w:val="Normal"/>
        <w:spacing w:lineRule="auto" w:line="240" w:before="0" w:after="0"/>
        <w:contextualSpacing/>
        <w:jc w:val="both"/>
        <w:rPr/>
      </w:pPr>
      <w:r>
        <w:rPr>
          <w:rFonts w:cs="Times New Roman"/>
          <w:b/>
          <w:bCs/>
          <w:i/>
          <w:iCs/>
          <w:szCs w:val="20"/>
        </w:rPr>
        <w:t>Срок возврата Суммы займа: не позднее 15 лет с даты заключения Договора.</w:t>
      </w:r>
    </w:p>
    <w:p>
      <w:pPr>
        <w:pStyle w:val="Normal"/>
        <w:spacing w:lineRule="auto" w:line="240" w:before="0" w:after="0"/>
        <w:contextualSpacing/>
        <w:jc w:val="both"/>
        <w:rPr/>
      </w:pPr>
      <w:r>
        <w:rPr>
          <w:rFonts w:cs="Times New Roman"/>
          <w:b/>
          <w:bCs/>
          <w:i/>
          <w:iCs/>
          <w:szCs w:val="20"/>
        </w:rPr>
        <w:t>Процентная ставка за пользование Суммы займа: 19,025% годовых. Процентная ставка по Договору подлежит пересмотру и устанавливается Займодавцем на ежеквартальной основе.</w:t>
      </w:r>
    </w:p>
    <w:p>
      <w:pPr>
        <w:pStyle w:val="Normal"/>
        <w:spacing w:lineRule="auto" w:line="240" w:before="0" w:after="0"/>
        <w:contextualSpacing/>
        <w:jc w:val="both"/>
        <w:rPr/>
      </w:pPr>
      <w:r>
        <w:rPr>
          <w:rFonts w:cs="Times New Roman"/>
          <w:b/>
          <w:bCs/>
          <w:i/>
          <w:iCs/>
          <w:szCs w:val="20"/>
        </w:rPr>
        <w:t>Целевое использование Суммы займа:</w:t>
      </w:r>
    </w:p>
    <w:p>
      <w:pPr>
        <w:pStyle w:val="Normal"/>
        <w:spacing w:lineRule="auto" w:line="240" w:before="0" w:after="0"/>
        <w:contextualSpacing/>
        <w:jc w:val="both"/>
        <w:rPr/>
      </w:pPr>
      <w:r>
        <w:rPr>
          <w:rFonts w:cs="Times New Roman"/>
          <w:b/>
          <w:bCs/>
          <w:i/>
          <w:iCs/>
          <w:szCs w:val="20"/>
        </w:rPr>
        <w:t>Финансирование расходов по электроснабжению туристическо-рекреационной зоны «Парк Три Вулкана» (Сооружение ВЛ-110 кВ от ПС 220/110/35/10 кВ Авача до ПС 110/35/10 кВ «Сопка Горячая», со строительством ПС 110/35/10 кВ «Сопка Горячая», КЛ 35 кВ от ПС 110/35/10 кВ до ПС 35/10 кВ «Горнолыжный комплекс, со строительством ПС 35/10 кВ «Горнолыжный комплекс» и КЛ 10 кВ до электроустановок Заявителя).</w:t>
      </w:r>
    </w:p>
    <w:p>
      <w:pPr>
        <w:pStyle w:val="Normal"/>
        <w:spacing w:lineRule="auto" w:line="240" w:before="0" w:after="0"/>
        <w:contextualSpacing/>
        <w:jc w:val="both"/>
        <w:rPr/>
      </w:pPr>
      <w:r>
        <w:rPr>
          <w:rFonts w:cs="Times New Roman"/>
          <w:b/>
          <w:bCs/>
          <w:i/>
          <w:iCs/>
          <w:szCs w:val="20"/>
        </w:rPr>
        <w:t>Условия предоставления Суммы займа: невозобновляемыми траншами на основании заявки Заемщика.</w:t>
      </w:r>
    </w:p>
    <w:p>
      <w:pPr>
        <w:pStyle w:val="Normal"/>
        <w:spacing w:lineRule="auto" w:line="240" w:before="0" w:after="0"/>
        <w:contextualSpacing/>
        <w:jc w:val="both"/>
        <w:rPr/>
      </w:pPr>
      <w:r>
        <w:rPr>
          <w:rFonts w:cs="Times New Roman"/>
          <w:b/>
          <w:bCs/>
          <w:i/>
          <w:iCs/>
          <w:szCs w:val="20"/>
        </w:rPr>
        <w:t>Условия досрочного возврата Суммы займа: Займодавец имеет право потребовать от Заемщика досрочного возврата займа. Заемщик имеет право досрочно частично или полностью возвратить заем.</w:t>
      </w:r>
    </w:p>
    <w:p>
      <w:pPr>
        <w:pStyle w:val="Normal"/>
        <w:keepNext w:val="true"/>
        <w:spacing w:lineRule="auto" w:line="240"/>
        <w:jc w:val="both"/>
        <w:rPr/>
      </w:pPr>
      <w:r>
        <w:rPr>
          <w:rFonts w:cs="Times New Roman"/>
          <w:b/>
          <w:bCs/>
          <w:i/>
          <w:iCs/>
          <w:szCs w:val="20"/>
        </w:rPr>
        <w:t>Цена Договора - 3 767 521 821,21 руб. НДС не облагается, в том числе:</w:t>
      </w:r>
    </w:p>
    <w:p>
      <w:pPr>
        <w:pStyle w:val="Normal"/>
        <w:tabs>
          <w:tab w:val="clear" w:pos="720"/>
          <w:tab w:val="left" w:pos="-735" w:leader="none"/>
          <w:tab w:val="left" w:pos="-615" w:leader="none"/>
          <w:tab w:val="left" w:pos="-570" w:leader="none"/>
        </w:tabs>
        <w:spacing w:lineRule="auto" w:line="240" w:before="0" w:after="0"/>
        <w:ind w:left="0" w:right="0" w:hanging="0"/>
        <w:contextualSpacing/>
        <w:jc w:val="both"/>
        <w:rPr/>
      </w:pPr>
      <w:r>
        <w:rPr>
          <w:rFonts w:cs="Times New Roman"/>
          <w:b/>
          <w:bCs/>
          <w:i/>
          <w:iCs/>
          <w:szCs w:val="20"/>
        </w:rPr>
        <w:t>- сумма займа – 1 502 962 000 (Один миллиард пятьсот два миллиона девятьсот шестьдесят две тысячи) рублей 00 копеек;</w:t>
      </w:r>
    </w:p>
    <w:p>
      <w:pPr>
        <w:pStyle w:val="Normal"/>
        <w:tabs>
          <w:tab w:val="clear" w:pos="720"/>
          <w:tab w:val="left" w:pos="-735" w:leader="none"/>
          <w:tab w:val="left" w:pos="-615" w:leader="none"/>
          <w:tab w:val="left" w:pos="-570" w:leader="none"/>
        </w:tabs>
        <w:spacing w:lineRule="auto" w:line="240" w:before="0" w:after="0"/>
        <w:ind w:left="0" w:right="0" w:hanging="0"/>
        <w:contextualSpacing/>
        <w:jc w:val="both"/>
        <w:rPr/>
      </w:pPr>
      <w:r>
        <w:rPr>
          <w:rFonts w:cs="Times New Roman"/>
          <w:b/>
          <w:bCs/>
          <w:i/>
          <w:iCs/>
          <w:szCs w:val="20"/>
        </w:rPr>
        <w:t>- проценты за пользование заемными средствами – 2 264 559 821 (Два миллиарда двести шестьдесят четыре миллиона пятьсот пятьдесят девять тысяч восемьсот двадцать один) рубль 21 копейка.</w:t>
      </w:r>
    </w:p>
    <w:p>
      <w:pPr>
        <w:pStyle w:val="Normal"/>
        <w:spacing w:lineRule="auto" w:line="240"/>
        <w:ind w:left="0" w:right="0" w:hanging="0"/>
        <w:jc w:val="both"/>
        <w:rPr/>
      </w:pPr>
      <w:r>
        <w:rPr>
          <w:rFonts w:cs="Times New Roman"/>
          <w:b/>
          <w:bCs/>
          <w:i/>
          <w:iCs/>
          <w:szCs w:val="20"/>
        </w:rPr>
        <w:t>Договор вступает в силу с даты заключения Договора и действует до полного выполнения Сторонами принятых обязательств.</w:t>
      </w:r>
    </w:p>
    <w:p>
      <w:pPr>
        <w:pStyle w:val="Normal"/>
        <w:spacing w:lineRule="auto" w:line="240"/>
        <w:jc w:val="left"/>
        <w:rPr>
          <w:rFonts w:cs="Times New Roman"/>
          <w:szCs w:val="20"/>
        </w:rPr>
      </w:pPr>
      <w:r>
        <w:rPr>
          <w:rFonts w:cs="Times New Roman"/>
          <w:szCs w:val="20"/>
        </w:rPr>
      </w:r>
    </w:p>
    <w:p>
      <w:pPr>
        <w:pStyle w:val="Normal"/>
        <w:spacing w:lineRule="auto" w:line="240"/>
        <w:jc w:val="both"/>
        <w:rPr/>
      </w:pPr>
      <w:r>
        <w:rPr>
          <w:rFonts w:cs="Times New Roman"/>
          <w:szCs w:val="20"/>
        </w:rPr>
        <w:t xml:space="preserve">Орган управления эмитента, принявший решение о согласии на ее совершение или ее последующем одобрении: </w:t>
      </w:r>
      <w:r>
        <w:rPr>
          <w:rFonts w:cs="Times New Roman"/>
          <w:b/>
          <w:bCs/>
          <w:i/>
          <w:iCs/>
          <w:szCs w:val="20"/>
        </w:rPr>
        <w:t>Решение о согласии на совершение сделки не принималось. Применен Уведомительный порядок.</w:t>
      </w:r>
    </w:p>
    <w:p>
      <w:pPr>
        <w:pStyle w:val="Normal"/>
        <w:spacing w:lineRule="auto" w:line="240"/>
        <w:jc w:val="left"/>
        <w:rPr>
          <w:rFonts w:cs="Times New Roman"/>
          <w:b/>
          <w:bCs/>
          <w:i/>
          <w:i/>
          <w:iCs/>
          <w:szCs w:val="20"/>
        </w:rPr>
      </w:pPr>
      <w:r>
        <w:rPr>
          <w:rFonts w:cs="Times New Roman"/>
          <w:b/>
          <w:bCs/>
          <w:i/>
          <w:iCs/>
          <w:szCs w:val="20"/>
        </w:rPr>
      </w:r>
    </w:p>
    <w:p>
      <w:pPr>
        <w:pStyle w:val="Normal"/>
        <w:spacing w:lineRule="auto" w:line="240"/>
        <w:jc w:val="left"/>
        <w:rPr/>
      </w:pPr>
      <w:r>
        <w:rPr>
          <w:rFonts w:cs="Times New Roman"/>
          <w:szCs w:val="20"/>
        </w:rPr>
        <w:t xml:space="preserve">Размер сделки (группы взаимосвязанных сделок) составлял 2 и более процента балансовой стоимости активов эмитента: </w:t>
      </w:r>
      <w:r>
        <w:rPr>
          <w:rFonts w:cs="Arial Narrow"/>
          <w:b/>
          <w:bCs/>
          <w:i/>
          <w:iCs/>
          <w:szCs w:val="20"/>
        </w:rPr>
        <w:t>Да</w:t>
      </w:r>
    </w:p>
    <w:p>
      <w:pPr>
        <w:pStyle w:val="Normal"/>
        <w:spacing w:lineRule="auto" w:line="240"/>
        <w:jc w:val="both"/>
        <w:rPr/>
      </w:pPr>
      <w:r>
        <w:rPr>
          <w:rFonts w:eastAsia="0" w:cs="Times New Roman"/>
          <w:color w:val="000000"/>
          <w:kern w:val="0"/>
          <w:sz w:val="20"/>
          <w:szCs w:val="20"/>
          <w:lang w:val="ru-RU" w:eastAsia="zh-CN" w:bidi="hi-IN"/>
        </w:rPr>
        <w:t xml:space="preserve">Наименование заинтересованного лица и основание (основания), по которому (по которым) лицо признано заинтересованным в совершении сделки: </w:t>
      </w:r>
      <w:r>
        <w:rPr>
          <w:rFonts w:cs="Arial Narrow"/>
          <w:b/>
          <w:bCs/>
          <w:i/>
          <w:iCs/>
          <w:szCs w:val="20"/>
          <w:lang w:eastAsia="ru-RU"/>
        </w:rPr>
        <w:t>ПАО «РусГидро» - контролирующее лицо ПАО «Камчатскэнерго» (косвенный контроль), является одновременно стороной в сделке.</w:t>
      </w:r>
    </w:p>
    <w:p>
      <w:pPr>
        <w:pStyle w:val="Normal"/>
        <w:widowControl w:val="false"/>
        <w:tabs>
          <w:tab w:val="clear" w:pos="720"/>
        </w:tabs>
        <w:spacing w:lineRule="auto" w:line="240" w:before="20" w:after="40"/>
        <w:contextualSpacing/>
        <w:jc w:val="both"/>
        <w:rPr>
          <w:sz w:val="16"/>
          <w:szCs w:val="16"/>
        </w:rPr>
      </w:pPr>
      <w:r>
        <w:rPr>
          <w:rFonts w:eastAsia="0" w:cs="Times New Roman"/>
          <w:b w:val="false"/>
          <w:bCs w:val="false"/>
          <w:i w:val="false"/>
          <w:iCs w:val="false"/>
          <w:color w:val="000000"/>
          <w:kern w:val="0"/>
          <w:sz w:val="20"/>
          <w:szCs w:val="20"/>
          <w:lang w:val="ru-RU" w:eastAsia="zh-CN" w:bidi="hi-IN"/>
        </w:rPr>
        <w:t xml:space="preserve">Доля участия заинтересованного лица в уставном (складочном) капитале эмитента (по состоянию на дату заключения сделки): </w:t>
      </w:r>
      <w:r>
        <w:rPr>
          <w:rFonts w:cs="Arial Narrow"/>
          <w:b/>
          <w:bCs/>
          <w:i/>
          <w:iCs/>
          <w:szCs w:val="20"/>
          <w:lang w:eastAsia="ru-RU"/>
        </w:rPr>
        <w:t>Доля участия ПАО «РусГидро» в уставном капитале ПАО «Камчатскэнерго» (доля принадлежащих заинтересованному лицу акций) составляет 27,97 % (прямое распоряжение), 99,33% (прямое и косвенное распоряжение).</w:t>
      </w:r>
    </w:p>
    <w:p>
      <w:pPr>
        <w:pStyle w:val="Normal"/>
        <w:spacing w:lineRule="auto" w:line="240"/>
        <w:jc w:val="both"/>
        <w:rPr>
          <w:rFonts w:cs="Times New Roman"/>
          <w:szCs w:val="20"/>
        </w:rPr>
      </w:pPr>
      <w:r>
        <w:rPr>
          <w:rFonts w:cs="Times New Roman"/>
          <w:szCs w:val="20"/>
        </w:rPr>
      </w:r>
    </w:p>
    <w:p>
      <w:pPr>
        <w:pStyle w:val="Normal"/>
        <w:spacing w:lineRule="auto" w:line="240"/>
        <w:jc w:val="both"/>
        <w:rPr>
          <w:rFonts w:cs="Times New Roman"/>
          <w:b/>
          <w:bCs/>
          <w:i/>
          <w:i/>
          <w:iCs/>
          <w:szCs w:val="20"/>
        </w:rPr>
      </w:pPr>
      <w:r>
        <w:rPr>
          <w:rFonts w:cs="Times New Roman"/>
          <w:b/>
          <w:bCs/>
          <w:i/>
          <w:iCs/>
          <w:szCs w:val="20"/>
        </w:rPr>
      </w:r>
    </w:p>
    <w:p>
      <w:pPr>
        <w:pStyle w:val="Normal"/>
        <w:spacing w:lineRule="auto" w:line="240"/>
        <w:jc w:val="left"/>
        <w:rPr>
          <w:b w:val="false"/>
          <w:bCs w:val="false"/>
          <w:i w:val="false"/>
          <w:i w:val="false"/>
          <w:iCs w:val="false"/>
        </w:rPr>
      </w:pPr>
      <w:r>
        <w:rPr>
          <w:rFonts w:cs="Times New Roman"/>
          <w:b w:val="false"/>
          <w:bCs w:val="false"/>
          <w:i w:val="false"/>
          <w:iCs w:val="false"/>
          <w:szCs w:val="20"/>
        </w:rPr>
        <w:t>16.</w:t>
      </w:r>
    </w:p>
    <w:p>
      <w:pPr>
        <w:pStyle w:val="Normal"/>
        <w:spacing w:lineRule="auto" w:line="240"/>
        <w:jc w:val="left"/>
        <w:rPr>
          <w:rFonts w:cs="Times New Roman"/>
          <w:szCs w:val="20"/>
        </w:rPr>
      </w:pPr>
      <w:r>
        <w:rPr>
          <w:rFonts w:cs="Times New Roman"/>
          <w:szCs w:val="20"/>
        </w:rPr>
      </w:r>
    </w:p>
    <w:p>
      <w:pPr>
        <w:pStyle w:val="Normal"/>
        <w:spacing w:lineRule="auto" w:line="240"/>
        <w:jc w:val="both"/>
        <w:rPr/>
      </w:pPr>
      <w:r>
        <w:rPr>
          <w:rFonts w:cs="Times New Roman"/>
          <w:b/>
          <w:bCs/>
          <w:i/>
          <w:iCs/>
          <w:szCs w:val="20"/>
        </w:rPr>
        <w:t>Дополнительное соглашение № 4 к Договору по морской перевозке нефтепродуктов от 18.02.2025 № 73600-ОСН ТОПЛИВО-2025-КамчЭн.</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 xml:space="preserve">Дата совершения сделки, либо дата совершения первой сделки из последовательности взаимосвязанных: </w:t>
      </w:r>
      <w:r>
        <w:rPr>
          <w:rFonts w:cs="Times New Roman"/>
          <w:b/>
          <w:bCs/>
          <w:i/>
          <w:iCs/>
          <w:szCs w:val="20"/>
        </w:rPr>
        <w:t>09.12.2025</w:t>
      </w:r>
    </w:p>
    <w:p>
      <w:pPr>
        <w:pStyle w:val="Normal"/>
        <w:spacing w:lineRule="auto" w:line="240"/>
        <w:jc w:val="both"/>
        <w:rPr>
          <w:rFonts w:cs="Times New Roman"/>
          <w:szCs w:val="20"/>
        </w:rPr>
      </w:pPr>
      <w:r>
        <w:rPr>
          <w:rFonts w:cs="Times New Roman"/>
          <w:szCs w:val="20"/>
        </w:rPr>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Лицо (лица), признанное (признанные) в соответствии с законодательством Российской Федерации лицом (лицами), заинтересованным (заинтересованными) в совершении сделки:</w:t>
      </w:r>
      <w:r>
        <w:rPr>
          <w:rFonts w:cs="Times New Roman"/>
          <w:b/>
          <w:bCs/>
          <w:i/>
          <w:iCs/>
          <w:szCs w:val="20"/>
        </w:rPr>
        <w:t xml:space="preserve"> </w:t>
      </w:r>
    </w:p>
    <w:p>
      <w:pPr>
        <w:pStyle w:val="Normal"/>
        <w:spacing w:lineRule="auto" w:line="240"/>
        <w:jc w:val="both"/>
        <w:rPr/>
      </w:pPr>
      <w:r>
        <w:rPr>
          <w:rFonts w:cs="Times New Roman"/>
          <w:b/>
          <w:bCs/>
          <w:i/>
          <w:iCs/>
          <w:szCs w:val="20"/>
        </w:rPr>
        <w:t>АО «РАО ЭС Востока» - контролирующее лицо ПАО «Камчатскэнерго» (прямой контроль), являющееся одновременно контролирующим лицом стороны в сделке – АО «РГ Логистика» (косвенный контроль);</w:t>
      </w:r>
    </w:p>
    <w:p>
      <w:pPr>
        <w:pStyle w:val="Normal"/>
        <w:spacing w:lineRule="auto" w:line="240"/>
        <w:jc w:val="both"/>
        <w:rPr>
          <w:rFonts w:cs="Times New Roman"/>
          <w:b/>
          <w:bCs/>
          <w:i/>
          <w:i/>
          <w:iCs/>
          <w:szCs w:val="20"/>
        </w:rPr>
      </w:pPr>
      <w:r>
        <w:rPr>
          <w:rFonts w:cs="Times New Roman"/>
          <w:b/>
          <w:bCs/>
          <w:i/>
          <w:iCs/>
          <w:szCs w:val="20"/>
        </w:rPr>
      </w:r>
    </w:p>
    <w:p>
      <w:pPr>
        <w:pStyle w:val="Normal"/>
        <w:spacing w:lineRule="auto" w:line="240"/>
        <w:jc w:val="both"/>
        <w:rPr/>
      </w:pPr>
      <w:r>
        <w:rPr>
          <w:rFonts w:cs="Times New Roman"/>
          <w:b/>
          <w:bCs/>
          <w:i/>
          <w:iCs/>
          <w:szCs w:val="20"/>
        </w:rPr>
        <w:t>ПАО «РусГидро» - контролирующее лицо ПАО «Камчатскэнерго» (косвенный контроль), являющееся одновременно контролирующим лицом стороны в сделке – АО «РГ Логистика» (косвенный контроль);</w:t>
      </w:r>
    </w:p>
    <w:p>
      <w:pPr>
        <w:pStyle w:val="Normal"/>
        <w:spacing w:lineRule="auto" w:line="240" w:before="20" w:after="40"/>
        <w:contextualSpacing/>
        <w:jc w:val="both"/>
        <w:rPr>
          <w:rFonts w:cs="Times New Roman"/>
          <w:b/>
          <w:bCs/>
          <w:i/>
          <w:i/>
          <w:iCs/>
          <w:szCs w:val="20"/>
        </w:rPr>
      </w:pPr>
      <w:r>
        <w:rPr>
          <w:rFonts w:cs="Times New Roman"/>
          <w:b/>
          <w:bCs/>
          <w:i/>
          <w:iCs/>
          <w:szCs w:val="20"/>
        </w:rPr>
      </w:r>
    </w:p>
    <w:p>
      <w:pPr>
        <w:pStyle w:val="Normal"/>
        <w:spacing w:lineRule="auto" w:line="240" w:before="20" w:after="40"/>
        <w:contextualSpacing/>
        <w:jc w:val="both"/>
        <w:rPr/>
      </w:pPr>
      <w:r>
        <w:rPr>
          <w:rFonts w:cs="Times New Roman"/>
          <w:b/>
          <w:bCs/>
          <w:i/>
          <w:iCs/>
          <w:szCs w:val="20"/>
        </w:rPr>
        <w:t>Ткачева Н.Н.- член Совета директоров ПАО «Камчатскэнерго», одновременно являющийся членом Совета директоров стороны в сделке – АО «РГ Логистика».</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Существенные условия сделки:</w:t>
      </w:r>
    </w:p>
    <w:p>
      <w:pPr>
        <w:pStyle w:val="Normal"/>
        <w:spacing w:lineRule="auto" w:line="240"/>
        <w:jc w:val="both"/>
        <w:rPr/>
      </w:pPr>
      <w:r>
        <w:rPr>
          <w:rFonts w:cs="Times New Roman"/>
          <w:b/>
          <w:bCs/>
          <w:i/>
          <w:iCs/>
          <w:szCs w:val="20"/>
        </w:rPr>
        <w:t>Стороны Дополнительного соглашения: Заказчик – ПАО «Камчатскэнерго»;</w:t>
      </w:r>
    </w:p>
    <w:p>
      <w:pPr>
        <w:pStyle w:val="Normal"/>
        <w:spacing w:lineRule="auto" w:line="240"/>
        <w:jc w:val="both"/>
        <w:rPr/>
      </w:pPr>
      <w:r>
        <w:rPr>
          <w:rFonts w:cs="Times New Roman"/>
          <w:b/>
          <w:bCs/>
          <w:i/>
          <w:iCs/>
          <w:szCs w:val="20"/>
        </w:rPr>
        <w:t>Исполнитель – АО «РГ Логистика».</w:t>
      </w:r>
    </w:p>
    <w:p>
      <w:pPr>
        <w:pStyle w:val="Normal"/>
        <w:spacing w:lineRule="auto" w:line="240"/>
        <w:jc w:val="both"/>
        <w:rPr/>
      </w:pPr>
      <w:r>
        <w:rPr>
          <w:rFonts w:cs="Times New Roman"/>
          <w:b/>
          <w:bCs/>
          <w:i/>
          <w:iCs/>
          <w:szCs w:val="20"/>
        </w:rPr>
        <w:t>Предмет Дополнительного соглашения: Внесение следующих изменений в Договор: 1. Изменение цены Договора.</w:t>
      </w:r>
    </w:p>
    <w:p>
      <w:pPr>
        <w:pStyle w:val="Normal"/>
        <w:spacing w:lineRule="auto" w:line="240"/>
        <w:jc w:val="both"/>
        <w:rPr/>
      </w:pPr>
      <w:r>
        <w:rPr>
          <w:rFonts w:cs="Times New Roman"/>
          <w:b/>
          <w:bCs/>
          <w:i/>
          <w:iCs/>
          <w:szCs w:val="20"/>
        </w:rPr>
        <w:t>2. Изложить пункт 1.1. Приложения № 1 «Задание на оказание Услуг» к Договору в редакции согласно Приложению 1 к решению.</w:t>
      </w:r>
    </w:p>
    <w:p>
      <w:pPr>
        <w:pStyle w:val="Normal"/>
        <w:spacing w:lineRule="auto" w:line="240"/>
        <w:jc w:val="both"/>
        <w:rPr/>
      </w:pPr>
      <w:r>
        <w:rPr>
          <w:rFonts w:cs="Times New Roman"/>
          <w:b/>
          <w:bCs/>
          <w:i/>
          <w:iCs/>
          <w:szCs w:val="20"/>
        </w:rPr>
        <w:t>Цена Договора (с учетом Дополнительного соглашения): предельная стоимость услуг составляет 1 388 984 185 (Один миллиард триста восемьдесят восемь миллионов девятьсот восемьдесят четыре тысячи сто восемьдесят пять) рублей 00 копеек  без учёта НДС, при этом НДС исчисляется дополнительно по ставке, установленной статьей 164 Налогового кодекса Российской Федерации.</w:t>
      </w:r>
    </w:p>
    <w:p>
      <w:pPr>
        <w:pStyle w:val="Normal"/>
        <w:spacing w:lineRule="auto" w:line="240"/>
        <w:jc w:val="both"/>
        <w:rPr/>
      </w:pPr>
      <w:r>
        <w:rPr>
          <w:rFonts w:cs="Times New Roman"/>
          <w:b/>
          <w:bCs/>
          <w:i/>
          <w:iCs/>
          <w:szCs w:val="20"/>
        </w:rPr>
        <w:t>Срок действия Дополнительного соглашения: Соглашение вступает в силу с даты подписания. В соответствии с пунктом 2 статьи 425 Гражданского кодекса Российской Федерации условия Соглашения применяются к отношениям Сторон, возникшим с 01.12.2025.</w:t>
      </w:r>
    </w:p>
    <w:p>
      <w:pPr>
        <w:pStyle w:val="Normal"/>
        <w:spacing w:lineRule="auto" w:line="240"/>
        <w:jc w:val="both"/>
        <w:rPr>
          <w:rFonts w:ascii="Arial Narrow" w:hAnsi="Arial Narrow" w:eastAsia="Times New Roman" w:cs="Arial Narrow"/>
          <w:color w:val="000000"/>
          <w:sz w:val="20"/>
          <w:szCs w:val="20"/>
          <w:lang w:eastAsia="zh-CN" w:bidi="ar-SA"/>
        </w:rPr>
      </w:pPr>
      <w:r>
        <w:rPr>
          <w:rFonts w:eastAsia="Times New Roman" w:cs="Arial Narrow" w:ascii="Arial Narrow" w:hAnsi="Arial Narrow"/>
          <w:color w:val="000000"/>
          <w:sz w:val="20"/>
          <w:szCs w:val="20"/>
          <w:lang w:eastAsia="zh-CN" w:bidi="ar-SA"/>
        </w:rPr>
      </w:r>
    </w:p>
    <w:p>
      <w:pPr>
        <w:pStyle w:val="Normal"/>
        <w:spacing w:lineRule="auto" w:line="240"/>
        <w:jc w:val="both"/>
        <w:rPr/>
      </w:pPr>
      <w:r>
        <w:rPr>
          <w:rFonts w:cs="Times New Roman"/>
          <w:szCs w:val="20"/>
        </w:rPr>
        <w:t xml:space="preserve">Орган управления эмитента, принявший решение о согласии на ее совершение или ее последующем одобрении: </w:t>
      </w:r>
      <w:r>
        <w:rPr>
          <w:rFonts w:cs="Times New Roman"/>
          <w:b/>
          <w:bCs/>
          <w:i/>
          <w:iCs/>
          <w:szCs w:val="20"/>
        </w:rPr>
        <w:t>Совет директоров ПАО «Камчатскэнерго» (Протокол № 8 от 28.11.2025)</w:t>
      </w:r>
    </w:p>
    <w:p>
      <w:pPr>
        <w:pStyle w:val="16"/>
        <w:widowControl w:val="false"/>
        <w:tabs>
          <w:tab w:val="clear" w:pos="720"/>
          <w:tab w:val="left" w:pos="708" w:leader="none"/>
        </w:tabs>
        <w:bidi w:val="0"/>
        <w:spacing w:lineRule="auto" w:line="240"/>
        <w:ind w:left="0" w:right="0" w:hanging="0"/>
        <w:rPr>
          <w:rFonts w:cs="Times New Roman"/>
          <w:szCs w:val="20"/>
          <w:lang w:eastAsia="ru-RU"/>
        </w:rPr>
      </w:pPr>
      <w:r>
        <w:rPr>
          <w:rFonts w:cs="Times New Roman"/>
          <w:szCs w:val="20"/>
          <w:lang w:eastAsia="ru-RU"/>
        </w:rPr>
      </w:r>
    </w:p>
    <w:p>
      <w:pPr>
        <w:pStyle w:val="Normal"/>
        <w:spacing w:lineRule="auto" w:line="240"/>
        <w:jc w:val="both"/>
        <w:rPr/>
      </w:pPr>
      <w:r>
        <w:rPr>
          <w:rFonts w:cs="Times New Roman"/>
          <w:szCs w:val="20"/>
        </w:rPr>
        <w:t>Размер сделки (группы взаимосвязанных сделок) составлял 2 и более процента балансовой стоимости активов эмитента:</w:t>
      </w:r>
      <w:r>
        <w:rPr>
          <w:rFonts w:cs="Times New Roman"/>
          <w:b/>
          <w:bCs/>
          <w:i/>
          <w:iCs/>
          <w:szCs w:val="20"/>
        </w:rPr>
        <w:t xml:space="preserve"> Да</w:t>
      </w:r>
    </w:p>
    <w:p>
      <w:pPr>
        <w:pStyle w:val="Normal"/>
        <w:spacing w:lineRule="auto" w:line="240"/>
        <w:jc w:val="left"/>
        <w:rPr>
          <w:sz w:val="16"/>
          <w:szCs w:val="16"/>
        </w:rPr>
      </w:pPr>
      <w:r>
        <w:rPr>
          <w:sz w:val="16"/>
          <w:szCs w:val="16"/>
        </w:rPr>
      </w:r>
    </w:p>
    <w:tbl>
      <w:tblPr>
        <w:tblW w:w="9626" w:type="dxa"/>
        <w:jc w:val="left"/>
        <w:tblInd w:w="59" w:type="dxa"/>
        <w:tblLayout w:type="fixed"/>
        <w:tblCellMar>
          <w:top w:w="0" w:type="dxa"/>
          <w:left w:w="72" w:type="dxa"/>
          <w:bottom w:w="0" w:type="dxa"/>
          <w:right w:w="72" w:type="dxa"/>
        </w:tblCellMar>
      </w:tblPr>
      <w:tblGrid>
        <w:gridCol w:w="1895"/>
        <w:gridCol w:w="2578"/>
        <w:gridCol w:w="1581"/>
        <w:gridCol w:w="1213"/>
        <w:gridCol w:w="1364"/>
        <w:gridCol w:w="994"/>
      </w:tblGrid>
      <w:tr>
        <w:trPr/>
        <w:tc>
          <w:tcPr>
            <w:tcW w:w="1895"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Наименование заинтересованного лица</w:t>
            </w:r>
          </w:p>
        </w:tc>
        <w:tc>
          <w:tcPr>
            <w:tcW w:w="2578"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Основание (основания), по которому (по которым) лицо признано заинтересованным в совершении сделки</w:t>
            </w:r>
          </w:p>
        </w:tc>
        <w:tc>
          <w:tcPr>
            <w:tcW w:w="1581"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Доля участия заинтересованного лица в уставном (складочном) капитале эмитента</w:t>
            </w:r>
          </w:p>
          <w:p>
            <w:pPr>
              <w:pStyle w:val="Normal"/>
              <w:widowControl w:val="false"/>
              <w:tabs>
                <w:tab w:val="clear" w:pos="720"/>
              </w:tabs>
              <w:spacing w:lineRule="auto" w:line="240"/>
              <w:jc w:val="both"/>
              <w:rPr>
                <w:sz w:val="16"/>
                <w:szCs w:val="16"/>
              </w:rPr>
            </w:pPr>
            <w:r>
              <w:rPr>
                <w:sz w:val="16"/>
                <w:szCs w:val="16"/>
              </w:rPr>
            </w:r>
          </w:p>
          <w:p>
            <w:pPr>
              <w:pStyle w:val="Normal"/>
              <w:widowControl w:val="false"/>
              <w:tabs>
                <w:tab w:val="clear" w:pos="720"/>
              </w:tabs>
              <w:spacing w:lineRule="auto" w:line="240" w:before="20" w:after="40"/>
              <w:contextualSpacing/>
              <w:jc w:val="both"/>
              <w:rPr>
                <w:sz w:val="16"/>
                <w:szCs w:val="16"/>
              </w:rPr>
            </w:pPr>
            <w:r>
              <w:rPr>
                <w:b/>
                <w:bCs/>
                <w:i/>
                <w:iCs/>
                <w:sz w:val="16"/>
                <w:szCs w:val="16"/>
              </w:rPr>
              <w:t>(по состоянию на дату заключения сделки)</w:t>
            </w:r>
          </w:p>
        </w:tc>
        <w:tc>
          <w:tcPr>
            <w:tcW w:w="121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Доля принадлежавших заинтересованному лицу акций эмитента</w:t>
            </w:r>
          </w:p>
        </w:tc>
        <w:tc>
          <w:tcPr>
            <w:tcW w:w="1364"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Доля участия заинтересованного лица в уставном (складочном) капитале юридического лица, являвшегося стороной в сделке</w:t>
            </w:r>
          </w:p>
        </w:tc>
        <w:tc>
          <w:tcPr>
            <w:tcW w:w="994"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Доля принадлежавших заинтересованному лицу акций юридического лица, являвшегося стороной в сделке</w:t>
            </w:r>
          </w:p>
        </w:tc>
      </w:tr>
      <w:tr>
        <w:trPr/>
        <w:tc>
          <w:tcPr>
            <w:tcW w:w="1895"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АО «РАО ЭС Востока»</w:t>
            </w:r>
          </w:p>
        </w:tc>
        <w:tc>
          <w:tcPr>
            <w:tcW w:w="2578"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контролирующее лицо ПАО «Камчатскэнерго» (прямой контроль),</w:t>
            </w:r>
          </w:p>
          <w:p>
            <w:pPr>
              <w:pStyle w:val="Normal"/>
              <w:widowControl w:val="false"/>
              <w:tabs>
                <w:tab w:val="clear" w:pos="720"/>
              </w:tabs>
              <w:spacing w:lineRule="auto" w:line="240" w:before="20" w:after="40"/>
              <w:contextualSpacing/>
              <w:jc w:val="both"/>
              <w:rPr>
                <w:sz w:val="16"/>
                <w:szCs w:val="16"/>
              </w:rPr>
            </w:pPr>
            <w:r>
              <w:rPr>
                <w:b/>
                <w:bCs/>
                <w:i/>
                <w:iCs/>
                <w:sz w:val="16"/>
                <w:szCs w:val="16"/>
              </w:rPr>
              <w:t>являющееся одновременно контролирующим лицом стороны в сделке – ПАО «ДЭК» (прямой контроль)</w:t>
            </w:r>
          </w:p>
        </w:tc>
        <w:tc>
          <w:tcPr>
            <w:tcW w:w="1581"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71,31</w:t>
            </w:r>
          </w:p>
          <w:p>
            <w:pPr>
              <w:pStyle w:val="Normal"/>
              <w:widowControl w:val="false"/>
              <w:tabs>
                <w:tab w:val="clear" w:pos="720"/>
              </w:tabs>
              <w:spacing w:lineRule="auto" w:line="240"/>
              <w:jc w:val="both"/>
              <w:rPr>
                <w:sz w:val="16"/>
                <w:szCs w:val="16"/>
              </w:rPr>
            </w:pPr>
            <w:r>
              <w:rPr>
                <w:b/>
                <w:bCs/>
                <w:i/>
                <w:iCs/>
                <w:sz w:val="16"/>
                <w:szCs w:val="16"/>
              </w:rPr>
              <w:t>(прямое участие)</w:t>
            </w:r>
          </w:p>
          <w:p>
            <w:pPr>
              <w:pStyle w:val="Normal"/>
              <w:widowControl w:val="false"/>
              <w:tabs>
                <w:tab w:val="clear" w:pos="720"/>
              </w:tabs>
              <w:spacing w:lineRule="auto" w:line="240" w:before="0" w:after="0"/>
              <w:contextualSpacing/>
              <w:jc w:val="both"/>
              <w:rPr>
                <w:b/>
                <w:bCs/>
                <w:i/>
                <w:i/>
                <w:iCs/>
                <w:sz w:val="16"/>
                <w:szCs w:val="16"/>
              </w:rPr>
            </w:pPr>
            <w:r>
              <w:rPr>
                <w:b/>
                <w:bCs/>
                <w:i/>
                <w:iCs/>
                <w:sz w:val="16"/>
                <w:szCs w:val="16"/>
              </w:rPr>
            </w:r>
          </w:p>
        </w:tc>
        <w:tc>
          <w:tcPr>
            <w:tcW w:w="121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71,31</w:t>
            </w:r>
          </w:p>
        </w:tc>
        <w:tc>
          <w:tcPr>
            <w:tcW w:w="1364"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59,92</w:t>
            </w:r>
          </w:p>
          <w:p>
            <w:pPr>
              <w:pStyle w:val="Normal"/>
              <w:widowControl w:val="false"/>
              <w:tabs>
                <w:tab w:val="clear" w:pos="720"/>
              </w:tabs>
              <w:spacing w:lineRule="auto" w:line="240" w:before="20" w:after="40"/>
              <w:contextualSpacing/>
              <w:jc w:val="both"/>
              <w:rPr>
                <w:sz w:val="16"/>
                <w:szCs w:val="16"/>
              </w:rPr>
            </w:pPr>
            <w:r>
              <w:rPr>
                <w:b/>
                <w:bCs/>
                <w:i/>
                <w:iCs/>
                <w:sz w:val="16"/>
                <w:szCs w:val="16"/>
              </w:rPr>
              <w:t>(прямое участие)</w:t>
            </w:r>
          </w:p>
        </w:tc>
        <w:tc>
          <w:tcPr>
            <w:tcW w:w="994"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59,92</w:t>
            </w:r>
          </w:p>
        </w:tc>
      </w:tr>
      <w:tr>
        <w:trPr/>
        <w:tc>
          <w:tcPr>
            <w:tcW w:w="1895"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ПАО «РусГидро»</w:t>
            </w:r>
          </w:p>
        </w:tc>
        <w:tc>
          <w:tcPr>
            <w:tcW w:w="2578"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контролирующее лицо ПАО «Камчатскэнерго» (косвенный контроль), являющееся одновременно контролирующим лицом стороны в сделке – ПАО «ДЭК» (косвенный контроль)</w:t>
            </w:r>
          </w:p>
        </w:tc>
        <w:tc>
          <w:tcPr>
            <w:tcW w:w="1581"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27,97</w:t>
            </w:r>
          </w:p>
          <w:p>
            <w:pPr>
              <w:pStyle w:val="Normal"/>
              <w:widowControl w:val="false"/>
              <w:tabs>
                <w:tab w:val="clear" w:pos="720"/>
              </w:tabs>
              <w:spacing w:lineRule="auto" w:line="240"/>
              <w:jc w:val="both"/>
              <w:rPr>
                <w:sz w:val="16"/>
                <w:szCs w:val="16"/>
              </w:rPr>
            </w:pPr>
            <w:r>
              <w:rPr>
                <w:b/>
                <w:bCs/>
                <w:i/>
                <w:iCs/>
                <w:sz w:val="16"/>
                <w:szCs w:val="16"/>
              </w:rPr>
              <w:t>(прямое участие)</w:t>
            </w:r>
          </w:p>
          <w:p>
            <w:pPr>
              <w:pStyle w:val="Normal"/>
              <w:widowControl w:val="false"/>
              <w:tabs>
                <w:tab w:val="clear" w:pos="720"/>
              </w:tabs>
              <w:spacing w:lineRule="auto" w:line="240"/>
              <w:jc w:val="both"/>
              <w:rPr>
                <w:sz w:val="16"/>
                <w:szCs w:val="16"/>
              </w:rPr>
            </w:pPr>
            <w:r>
              <w:rPr>
                <w:b/>
                <w:bCs/>
                <w:i/>
                <w:iCs/>
                <w:sz w:val="16"/>
                <w:szCs w:val="16"/>
              </w:rPr>
              <w:t>99,33</w:t>
            </w:r>
          </w:p>
          <w:p>
            <w:pPr>
              <w:pStyle w:val="Normal"/>
              <w:widowControl w:val="false"/>
              <w:tabs>
                <w:tab w:val="clear" w:pos="720"/>
              </w:tabs>
              <w:spacing w:lineRule="auto" w:line="240" w:before="20" w:after="40"/>
              <w:contextualSpacing/>
              <w:jc w:val="both"/>
              <w:rPr>
                <w:sz w:val="16"/>
                <w:szCs w:val="16"/>
              </w:rPr>
            </w:pPr>
            <w:r>
              <w:rPr>
                <w:b/>
                <w:bCs/>
                <w:i/>
                <w:iCs/>
                <w:sz w:val="16"/>
                <w:szCs w:val="16"/>
              </w:rPr>
              <w:t>(косвенное участие)</w:t>
            </w:r>
          </w:p>
        </w:tc>
        <w:tc>
          <w:tcPr>
            <w:tcW w:w="121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27,97</w:t>
            </w:r>
          </w:p>
        </w:tc>
        <w:tc>
          <w:tcPr>
            <w:tcW w:w="1364"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89,28</w:t>
            </w:r>
          </w:p>
          <w:p>
            <w:pPr>
              <w:pStyle w:val="Normal"/>
              <w:widowControl w:val="false"/>
              <w:tabs>
                <w:tab w:val="clear" w:pos="720"/>
              </w:tabs>
              <w:spacing w:lineRule="auto" w:line="240" w:before="20" w:after="40"/>
              <w:contextualSpacing/>
              <w:jc w:val="both"/>
              <w:rPr>
                <w:sz w:val="16"/>
                <w:szCs w:val="16"/>
              </w:rPr>
            </w:pPr>
            <w:r>
              <w:rPr>
                <w:b/>
                <w:bCs/>
                <w:i/>
                <w:iCs/>
                <w:sz w:val="16"/>
                <w:szCs w:val="16"/>
              </w:rPr>
              <w:t>(косвенное участие)</w:t>
            </w:r>
          </w:p>
        </w:tc>
        <w:tc>
          <w:tcPr>
            <w:tcW w:w="994"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0</w:t>
            </w:r>
          </w:p>
        </w:tc>
      </w:tr>
      <w:tr>
        <w:trPr/>
        <w:tc>
          <w:tcPr>
            <w:tcW w:w="1895" w:type="dxa"/>
            <w:tcBorders>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Ткачева Н.Н.</w:t>
            </w:r>
          </w:p>
        </w:tc>
        <w:tc>
          <w:tcPr>
            <w:tcW w:w="2578" w:type="dxa"/>
            <w:tcBorders>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член Совета директоров ПАО «Камчатскэнерго», одновременно являющийся членом Совета директоров стороны в сделке – АО «РГ Логистика».</w:t>
            </w:r>
          </w:p>
        </w:tc>
        <w:tc>
          <w:tcPr>
            <w:tcW w:w="1581" w:type="dxa"/>
            <w:tcBorders>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0</w:t>
            </w:r>
          </w:p>
        </w:tc>
        <w:tc>
          <w:tcPr>
            <w:tcW w:w="1213" w:type="dxa"/>
            <w:tcBorders>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0</w:t>
            </w:r>
          </w:p>
        </w:tc>
        <w:tc>
          <w:tcPr>
            <w:tcW w:w="1364" w:type="dxa"/>
            <w:tcBorders>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0</w:t>
            </w:r>
          </w:p>
        </w:tc>
        <w:tc>
          <w:tcPr>
            <w:tcW w:w="994" w:type="dxa"/>
            <w:tcBorders>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0</w:t>
            </w:r>
          </w:p>
        </w:tc>
      </w:tr>
    </w:tbl>
    <w:p>
      <w:pPr>
        <w:pStyle w:val="Normal"/>
        <w:widowControl w:val="false"/>
        <w:spacing w:lineRule="auto" w:line="240"/>
        <w:jc w:val="both"/>
        <w:rPr>
          <w:rFonts w:cs="Times New Roman"/>
          <w:sz w:val="16"/>
          <w:szCs w:val="16"/>
        </w:rPr>
      </w:pPr>
      <w:r>
        <w:rPr>
          <w:rFonts w:cs="Times New Roman"/>
          <w:sz w:val="16"/>
          <w:szCs w:val="16"/>
        </w:rPr>
      </w:r>
    </w:p>
    <w:p>
      <w:pPr>
        <w:pStyle w:val="Normal"/>
        <w:spacing w:lineRule="auto" w:line="240"/>
        <w:jc w:val="left"/>
        <w:rPr/>
      </w:pPr>
      <w:r>
        <w:rPr>
          <w:rFonts w:cs="Times New Roman"/>
          <w:szCs w:val="20"/>
        </w:rPr>
        <w:t>17.</w:t>
      </w:r>
    </w:p>
    <w:p>
      <w:pPr>
        <w:pStyle w:val="Normal"/>
        <w:spacing w:lineRule="auto" w:line="240"/>
        <w:jc w:val="both"/>
        <w:rPr/>
      </w:pPr>
      <w:r>
        <w:rPr>
          <w:rFonts w:cs="Times New Roman"/>
          <w:b/>
          <w:bCs/>
          <w:i/>
          <w:iCs/>
          <w:szCs w:val="20"/>
        </w:rPr>
        <w:t>Договор по морской перевозке нефтепродуктов № 26400-ОСН ТОПЛИВО-2026-КамчЭн</w:t>
      </w:r>
    </w:p>
    <w:p>
      <w:pPr>
        <w:pStyle w:val="Normal"/>
        <w:spacing w:lineRule="auto" w:line="240"/>
        <w:jc w:val="both"/>
        <w:rPr>
          <w:rFonts w:cs="Times New Roman"/>
          <w:b/>
          <w:bCs/>
          <w:i/>
          <w:i/>
          <w:iCs/>
          <w:szCs w:val="20"/>
        </w:rPr>
      </w:pPr>
      <w:r>
        <w:rPr>
          <w:rFonts w:cs="Times New Roman"/>
          <w:b/>
          <w:bCs/>
          <w:i/>
          <w:iCs/>
          <w:szCs w:val="20"/>
        </w:rPr>
      </w:r>
    </w:p>
    <w:p>
      <w:pPr>
        <w:pStyle w:val="Normal"/>
        <w:spacing w:lineRule="auto" w:line="240"/>
        <w:jc w:val="both"/>
        <w:rPr/>
      </w:pPr>
      <w:r>
        <w:rPr>
          <w:rFonts w:cs="Times New Roman"/>
          <w:szCs w:val="20"/>
        </w:rPr>
        <w:t xml:space="preserve">Дата совершения сделки, либо дата совершения первой сделки из последовательности взаимосвязанных: </w:t>
      </w:r>
      <w:r>
        <w:rPr>
          <w:rFonts w:cs="Times New Roman"/>
          <w:b/>
          <w:bCs/>
          <w:i/>
          <w:iCs/>
          <w:szCs w:val="20"/>
        </w:rPr>
        <w:t>04.12.2025</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Лицо (лица), признанное (признанные) в соответствии с законодательством Российской Федерации лицом (лицами), заинтересованным (заинтересованными) в совершении сделки:</w:t>
      </w:r>
      <w:r>
        <w:rPr>
          <w:rFonts w:cs="Times New Roman"/>
          <w:b/>
          <w:bCs/>
          <w:i/>
          <w:iCs/>
          <w:szCs w:val="20"/>
        </w:rPr>
        <w:t xml:space="preserve"> </w:t>
      </w:r>
    </w:p>
    <w:p>
      <w:pPr>
        <w:pStyle w:val="Normal"/>
        <w:spacing w:lineRule="auto" w:line="240"/>
        <w:jc w:val="both"/>
        <w:rPr/>
      </w:pPr>
      <w:r>
        <w:rPr>
          <w:rFonts w:cs="Times New Roman"/>
          <w:b/>
          <w:bCs/>
          <w:i/>
          <w:iCs/>
          <w:szCs w:val="20"/>
        </w:rPr>
        <w:t>О «РАО ЭС Востока» - контролирующее лицо ПАО «Камчатскэнерго» (прямой контроль), являющееся одновременно контролирующим лицом стороны в сделке – АО «РГ Логистика» (косвенный контроль);</w:t>
      </w:r>
    </w:p>
    <w:p>
      <w:pPr>
        <w:pStyle w:val="Normal"/>
        <w:spacing w:lineRule="auto" w:line="240"/>
        <w:jc w:val="both"/>
        <w:rPr>
          <w:rFonts w:cs="Times New Roman"/>
          <w:b/>
          <w:bCs/>
          <w:i/>
          <w:i/>
          <w:iCs/>
          <w:szCs w:val="20"/>
        </w:rPr>
      </w:pPr>
      <w:r>
        <w:rPr>
          <w:rFonts w:cs="Times New Roman"/>
          <w:b/>
          <w:bCs/>
          <w:i/>
          <w:iCs/>
          <w:szCs w:val="20"/>
        </w:rPr>
      </w:r>
    </w:p>
    <w:p>
      <w:pPr>
        <w:pStyle w:val="Normal"/>
        <w:spacing w:lineRule="auto" w:line="240"/>
        <w:jc w:val="both"/>
        <w:rPr/>
      </w:pPr>
      <w:r>
        <w:rPr>
          <w:rFonts w:cs="Times New Roman"/>
          <w:b/>
          <w:bCs/>
          <w:i/>
          <w:iCs/>
          <w:szCs w:val="20"/>
        </w:rPr>
        <w:t>ПАО «РусГидро» - контролирующее лицо ПАО «Камчатскэнерго» (косвенный контроль), являющееся одновременно контролирующим лицом стороны в сделке – АО «РГ Логистика» (косвенный контроль);</w:t>
      </w:r>
    </w:p>
    <w:p>
      <w:pPr>
        <w:pStyle w:val="Normal"/>
        <w:spacing w:lineRule="auto" w:line="240" w:before="20" w:after="40"/>
        <w:contextualSpacing/>
        <w:jc w:val="both"/>
        <w:rPr>
          <w:rFonts w:cs="Times New Roman"/>
          <w:b/>
          <w:bCs/>
          <w:i/>
          <w:i/>
          <w:iCs/>
          <w:szCs w:val="20"/>
        </w:rPr>
      </w:pPr>
      <w:r>
        <w:rPr>
          <w:rFonts w:cs="Times New Roman"/>
          <w:b/>
          <w:bCs/>
          <w:i/>
          <w:iCs/>
          <w:szCs w:val="20"/>
        </w:rPr>
      </w:r>
    </w:p>
    <w:p>
      <w:pPr>
        <w:pStyle w:val="Normal"/>
        <w:spacing w:lineRule="auto" w:line="240" w:before="20" w:after="40"/>
        <w:contextualSpacing/>
        <w:jc w:val="both"/>
        <w:rPr/>
      </w:pPr>
      <w:r>
        <w:rPr>
          <w:rFonts w:cs="Times New Roman"/>
          <w:b/>
          <w:bCs/>
          <w:i/>
          <w:iCs/>
          <w:szCs w:val="20"/>
        </w:rPr>
        <w:t>Ткачева Н.Н.- член Совета директоров ПАО «Камчатскэнерго», одновременно являющийся членом Совета директоров стороны в сделке – АО «РГ Логистика».</w:t>
      </w:r>
    </w:p>
    <w:p>
      <w:pPr>
        <w:pStyle w:val="Normal"/>
        <w:spacing w:lineRule="auto" w:line="240" w:before="20" w:after="40"/>
        <w:contextualSpacing/>
        <w:jc w:val="both"/>
        <w:rPr>
          <w:rFonts w:cs="Times New Roman"/>
          <w:b/>
          <w:bCs/>
          <w:i/>
          <w:i/>
          <w:iCs/>
          <w:szCs w:val="20"/>
        </w:rPr>
      </w:pPr>
      <w:r>
        <w:rPr>
          <w:rFonts w:cs="Times New Roman"/>
          <w:b/>
          <w:bCs/>
          <w:i/>
          <w:iCs/>
          <w:szCs w:val="20"/>
        </w:rPr>
      </w:r>
    </w:p>
    <w:p>
      <w:pPr>
        <w:pStyle w:val="Normal"/>
        <w:spacing w:lineRule="auto" w:line="240"/>
        <w:jc w:val="both"/>
        <w:rPr/>
      </w:pPr>
      <w:r>
        <w:rPr>
          <w:rFonts w:cs="Times New Roman"/>
          <w:szCs w:val="20"/>
        </w:rPr>
        <w:t>Существенные условия сделки:</w:t>
      </w:r>
    </w:p>
    <w:p>
      <w:pPr>
        <w:pStyle w:val="Normal"/>
        <w:spacing w:lineRule="auto" w:line="240"/>
        <w:jc w:val="both"/>
        <w:rPr/>
      </w:pPr>
      <w:r>
        <w:rPr>
          <w:rFonts w:cs="Times New Roman"/>
          <w:b/>
          <w:bCs/>
          <w:i/>
          <w:iCs/>
          <w:szCs w:val="20"/>
        </w:rPr>
        <w:t>Стороны Договора: Заказчик – ПАО «Камчатскэнерго»; Исполнитель – АО «РГ Логистика».</w:t>
      </w:r>
    </w:p>
    <w:p>
      <w:pPr>
        <w:pStyle w:val="Normal"/>
        <w:spacing w:lineRule="auto" w:line="240"/>
        <w:jc w:val="both"/>
        <w:rPr/>
      </w:pPr>
      <w:r>
        <w:rPr>
          <w:rFonts w:cs="Times New Roman"/>
          <w:b/>
          <w:bCs/>
          <w:i/>
          <w:iCs/>
          <w:szCs w:val="20"/>
        </w:rPr>
        <w:t>Предмет договора: Исполнитель обязуется в соответствии с Заданием на оказание Услуг согласно Приложению 2 к решению оказать Заказчику услуги по морской перевозке топочного мазута по маршруту: порт Находка (нефтяной терминал ООО «РН-Морской терминал Находка») – порт Петропавловск-Камчатский (причал для слива жидкого топлива станции ТЭЦ-1 ПАО «Камчатскэнерго») (далее – Услуги), а Заказчик обязуется принять Услуги в соответствии с условиями Договора.</w:t>
      </w:r>
    </w:p>
    <w:p>
      <w:pPr>
        <w:pStyle w:val="Normal"/>
        <w:spacing w:lineRule="auto" w:line="240"/>
        <w:jc w:val="both"/>
        <w:rPr/>
      </w:pPr>
      <w:r>
        <w:rPr>
          <w:rFonts w:cs="Times New Roman"/>
          <w:b/>
          <w:bCs/>
          <w:i/>
          <w:iCs/>
          <w:szCs w:val="20"/>
        </w:rPr>
        <w:t>Цена Договора: предельная стоимость составляет 1 685 979 920 (Один миллиард шестьсот восемьдесят пять миллионов девятьсот семьдесят девять тысяч девятьсот двадцать) рублей 00 копеек без учета НДС, при этом НДС исчисляется дополнительно по ставке, установленной статьей 164 Налогового Кодекса Российской Федерации.</w:t>
      </w:r>
    </w:p>
    <w:p>
      <w:pPr>
        <w:pStyle w:val="Normal"/>
        <w:spacing w:lineRule="auto" w:line="240"/>
        <w:jc w:val="both"/>
        <w:rPr/>
      </w:pPr>
      <w:r>
        <w:rPr>
          <w:rFonts w:cs="Times New Roman"/>
          <w:b/>
          <w:bCs/>
          <w:i/>
          <w:iCs/>
          <w:szCs w:val="20"/>
        </w:rPr>
        <w:t>Срок оказания услуг: с 01.01.2026 по 31.12.2026.</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 xml:space="preserve">Орган управления эмитента, принявший решение о согласии на ее совершение или ее последующем одобрении: </w:t>
      </w:r>
      <w:r>
        <w:rPr>
          <w:rFonts w:cs="Times New Roman"/>
          <w:b/>
          <w:bCs/>
          <w:i/>
          <w:iCs/>
          <w:szCs w:val="20"/>
        </w:rPr>
        <w:t>Совет директоров ПАО «Камчатскэнерго» (Протокол № 8 от 28.11.2025)</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 xml:space="preserve">Размер сделки (группы взаимосвязанных сделок) составлял 2 и более процента балансовой стоимости активов эмитента: </w:t>
      </w:r>
      <w:r>
        <w:rPr>
          <w:rFonts w:cs="Times New Roman"/>
          <w:b/>
          <w:bCs/>
          <w:i/>
          <w:iCs/>
          <w:szCs w:val="20"/>
        </w:rPr>
        <w:t>Да</w:t>
      </w:r>
    </w:p>
    <w:p>
      <w:pPr>
        <w:pStyle w:val="Normal"/>
        <w:spacing w:lineRule="auto" w:line="240"/>
        <w:jc w:val="both"/>
        <w:rPr/>
      </w:pPr>
      <w:r>
        <w:rPr/>
      </w:r>
    </w:p>
    <w:tbl>
      <w:tblPr>
        <w:tblW w:w="9708" w:type="dxa"/>
        <w:jc w:val="left"/>
        <w:tblInd w:w="31" w:type="dxa"/>
        <w:tblLayout w:type="fixed"/>
        <w:tblCellMar>
          <w:top w:w="0" w:type="dxa"/>
          <w:left w:w="72" w:type="dxa"/>
          <w:bottom w:w="0" w:type="dxa"/>
          <w:right w:w="72" w:type="dxa"/>
        </w:tblCellMar>
      </w:tblPr>
      <w:tblGrid>
        <w:gridCol w:w="1923"/>
        <w:gridCol w:w="2931"/>
        <w:gridCol w:w="1540"/>
        <w:gridCol w:w="900"/>
        <w:gridCol w:w="1364"/>
        <w:gridCol w:w="1049"/>
      </w:tblGrid>
      <w:tr>
        <w:trPr/>
        <w:tc>
          <w:tcPr>
            <w:tcW w:w="192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Наименование заинтересованного лица</w:t>
            </w:r>
          </w:p>
        </w:tc>
        <w:tc>
          <w:tcPr>
            <w:tcW w:w="2931"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Основание (основания), по которому (по которым) лицо признано заинтересованным в совершении сделки</w:t>
            </w:r>
          </w:p>
        </w:tc>
        <w:tc>
          <w:tcPr>
            <w:tcW w:w="1540"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Доля участия заинтересованного лица в уставном (складочном) капитале эмитента</w:t>
            </w:r>
          </w:p>
          <w:p>
            <w:pPr>
              <w:pStyle w:val="Normal"/>
              <w:widowControl w:val="false"/>
              <w:tabs>
                <w:tab w:val="clear" w:pos="720"/>
              </w:tabs>
              <w:spacing w:lineRule="auto" w:line="240"/>
              <w:jc w:val="both"/>
              <w:rPr>
                <w:sz w:val="16"/>
                <w:szCs w:val="16"/>
              </w:rPr>
            </w:pPr>
            <w:r>
              <w:rPr>
                <w:sz w:val="16"/>
                <w:szCs w:val="16"/>
              </w:rPr>
            </w:r>
          </w:p>
          <w:p>
            <w:pPr>
              <w:pStyle w:val="Normal"/>
              <w:widowControl w:val="false"/>
              <w:tabs>
                <w:tab w:val="clear" w:pos="720"/>
              </w:tabs>
              <w:spacing w:lineRule="auto" w:line="240" w:before="20" w:after="40"/>
              <w:contextualSpacing/>
              <w:jc w:val="both"/>
              <w:rPr>
                <w:sz w:val="16"/>
                <w:szCs w:val="16"/>
              </w:rPr>
            </w:pPr>
            <w:r>
              <w:rPr>
                <w:b/>
                <w:bCs/>
                <w:i/>
                <w:iCs/>
                <w:sz w:val="16"/>
                <w:szCs w:val="16"/>
              </w:rPr>
              <w:t>(по состоянию на дату заключения сделки)</w:t>
            </w:r>
          </w:p>
        </w:tc>
        <w:tc>
          <w:tcPr>
            <w:tcW w:w="900"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Доля принадлежавших заинтересованному лицу акций эмитента</w:t>
            </w:r>
          </w:p>
        </w:tc>
        <w:tc>
          <w:tcPr>
            <w:tcW w:w="1364"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Доля участия заинтересованного лица в уставном (складочном) капитале юридического лица, являвшегося стороной в сделке</w:t>
            </w:r>
          </w:p>
        </w:tc>
        <w:tc>
          <w:tcPr>
            <w:tcW w:w="1049"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Доля принадлежавших заинтересованному лицу акций юридического лица, являвшегося стороной в сделке</w:t>
            </w:r>
          </w:p>
        </w:tc>
      </w:tr>
      <w:tr>
        <w:trPr/>
        <w:tc>
          <w:tcPr>
            <w:tcW w:w="192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АО «РАО ЭС Востока»</w:t>
            </w:r>
          </w:p>
        </w:tc>
        <w:tc>
          <w:tcPr>
            <w:tcW w:w="2931"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контролирующее лицо ПАО «Камчатскэнерго» (прямой контроль),</w:t>
            </w:r>
          </w:p>
          <w:p>
            <w:pPr>
              <w:pStyle w:val="Normal"/>
              <w:widowControl w:val="false"/>
              <w:tabs>
                <w:tab w:val="clear" w:pos="720"/>
              </w:tabs>
              <w:spacing w:lineRule="auto" w:line="240" w:before="20" w:after="40"/>
              <w:contextualSpacing/>
              <w:jc w:val="both"/>
              <w:rPr>
                <w:sz w:val="16"/>
                <w:szCs w:val="16"/>
              </w:rPr>
            </w:pPr>
            <w:r>
              <w:rPr>
                <w:b/>
                <w:bCs/>
                <w:i/>
                <w:iCs/>
                <w:sz w:val="16"/>
                <w:szCs w:val="16"/>
              </w:rPr>
              <w:t>являющееся одновременно контролирующим лицом стороны в сделке – ПАО «ДЭК» (прямой контроль)</w:t>
            </w:r>
          </w:p>
        </w:tc>
        <w:tc>
          <w:tcPr>
            <w:tcW w:w="1540"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71,31</w:t>
            </w:r>
          </w:p>
          <w:p>
            <w:pPr>
              <w:pStyle w:val="Normal"/>
              <w:widowControl w:val="false"/>
              <w:tabs>
                <w:tab w:val="clear" w:pos="720"/>
              </w:tabs>
              <w:spacing w:lineRule="auto" w:line="240"/>
              <w:jc w:val="both"/>
              <w:rPr>
                <w:sz w:val="16"/>
                <w:szCs w:val="16"/>
              </w:rPr>
            </w:pPr>
            <w:r>
              <w:rPr>
                <w:b/>
                <w:bCs/>
                <w:i/>
                <w:iCs/>
                <w:sz w:val="16"/>
                <w:szCs w:val="16"/>
              </w:rPr>
              <w:t>(прямое участие)</w:t>
            </w:r>
          </w:p>
          <w:p>
            <w:pPr>
              <w:pStyle w:val="Normal"/>
              <w:widowControl w:val="false"/>
              <w:tabs>
                <w:tab w:val="clear" w:pos="720"/>
              </w:tabs>
              <w:spacing w:lineRule="auto" w:line="240" w:before="0" w:after="0"/>
              <w:contextualSpacing/>
              <w:jc w:val="both"/>
              <w:rPr>
                <w:b/>
                <w:bCs/>
                <w:i/>
                <w:i/>
                <w:iCs/>
                <w:sz w:val="16"/>
                <w:szCs w:val="16"/>
              </w:rPr>
            </w:pPr>
            <w:r>
              <w:rPr>
                <w:b/>
                <w:bCs/>
                <w:i/>
                <w:iCs/>
                <w:sz w:val="16"/>
                <w:szCs w:val="16"/>
              </w:rPr>
            </w:r>
          </w:p>
        </w:tc>
        <w:tc>
          <w:tcPr>
            <w:tcW w:w="900"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71,31</w:t>
            </w:r>
          </w:p>
        </w:tc>
        <w:tc>
          <w:tcPr>
            <w:tcW w:w="1364"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59,92</w:t>
            </w:r>
          </w:p>
          <w:p>
            <w:pPr>
              <w:pStyle w:val="Normal"/>
              <w:widowControl w:val="false"/>
              <w:tabs>
                <w:tab w:val="clear" w:pos="720"/>
              </w:tabs>
              <w:spacing w:lineRule="auto" w:line="240" w:before="20" w:after="40"/>
              <w:contextualSpacing/>
              <w:jc w:val="both"/>
              <w:rPr>
                <w:sz w:val="16"/>
                <w:szCs w:val="16"/>
              </w:rPr>
            </w:pPr>
            <w:r>
              <w:rPr>
                <w:b/>
                <w:bCs/>
                <w:i/>
                <w:iCs/>
                <w:sz w:val="16"/>
                <w:szCs w:val="16"/>
              </w:rPr>
              <w:t>(прямое участие)</w:t>
            </w:r>
          </w:p>
        </w:tc>
        <w:tc>
          <w:tcPr>
            <w:tcW w:w="1049"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59,92</w:t>
            </w:r>
          </w:p>
        </w:tc>
      </w:tr>
      <w:tr>
        <w:trPr/>
        <w:tc>
          <w:tcPr>
            <w:tcW w:w="192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ПАО «РусГидро»</w:t>
            </w:r>
          </w:p>
        </w:tc>
        <w:tc>
          <w:tcPr>
            <w:tcW w:w="2931"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контролирующее лицо ПАО «Камчатскэнерго» (косвенный контроль), являющееся одновременно контролирующим лицом стороны в сделке – ПАО «ДЭК» (косвенный контроль)</w:t>
            </w:r>
          </w:p>
        </w:tc>
        <w:tc>
          <w:tcPr>
            <w:tcW w:w="1540"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27,97</w:t>
            </w:r>
          </w:p>
          <w:p>
            <w:pPr>
              <w:pStyle w:val="Normal"/>
              <w:widowControl w:val="false"/>
              <w:tabs>
                <w:tab w:val="clear" w:pos="720"/>
              </w:tabs>
              <w:spacing w:lineRule="auto" w:line="240"/>
              <w:jc w:val="both"/>
              <w:rPr>
                <w:sz w:val="16"/>
                <w:szCs w:val="16"/>
              </w:rPr>
            </w:pPr>
            <w:r>
              <w:rPr>
                <w:b/>
                <w:bCs/>
                <w:i/>
                <w:iCs/>
                <w:sz w:val="16"/>
                <w:szCs w:val="16"/>
              </w:rPr>
              <w:t>(прямое участие)</w:t>
            </w:r>
          </w:p>
          <w:p>
            <w:pPr>
              <w:pStyle w:val="Normal"/>
              <w:widowControl w:val="false"/>
              <w:tabs>
                <w:tab w:val="clear" w:pos="720"/>
              </w:tabs>
              <w:spacing w:lineRule="auto" w:line="240"/>
              <w:jc w:val="both"/>
              <w:rPr>
                <w:sz w:val="16"/>
                <w:szCs w:val="16"/>
              </w:rPr>
            </w:pPr>
            <w:r>
              <w:rPr>
                <w:b/>
                <w:bCs/>
                <w:i/>
                <w:iCs/>
                <w:sz w:val="16"/>
                <w:szCs w:val="16"/>
              </w:rPr>
              <w:t>99,33</w:t>
            </w:r>
          </w:p>
          <w:p>
            <w:pPr>
              <w:pStyle w:val="Normal"/>
              <w:widowControl w:val="false"/>
              <w:tabs>
                <w:tab w:val="clear" w:pos="720"/>
              </w:tabs>
              <w:spacing w:lineRule="auto" w:line="240" w:before="20" w:after="40"/>
              <w:contextualSpacing/>
              <w:jc w:val="both"/>
              <w:rPr>
                <w:sz w:val="16"/>
                <w:szCs w:val="16"/>
              </w:rPr>
            </w:pPr>
            <w:r>
              <w:rPr>
                <w:b/>
                <w:bCs/>
                <w:i/>
                <w:iCs/>
                <w:sz w:val="16"/>
                <w:szCs w:val="16"/>
              </w:rPr>
              <w:t>(косвенное участие)</w:t>
            </w:r>
          </w:p>
        </w:tc>
        <w:tc>
          <w:tcPr>
            <w:tcW w:w="900"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27,97</w:t>
            </w:r>
          </w:p>
        </w:tc>
        <w:tc>
          <w:tcPr>
            <w:tcW w:w="1364"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89,28</w:t>
            </w:r>
          </w:p>
          <w:p>
            <w:pPr>
              <w:pStyle w:val="Normal"/>
              <w:widowControl w:val="false"/>
              <w:tabs>
                <w:tab w:val="clear" w:pos="720"/>
              </w:tabs>
              <w:spacing w:lineRule="auto" w:line="240" w:before="20" w:after="40"/>
              <w:contextualSpacing/>
              <w:jc w:val="both"/>
              <w:rPr>
                <w:sz w:val="16"/>
                <w:szCs w:val="16"/>
              </w:rPr>
            </w:pPr>
            <w:r>
              <w:rPr>
                <w:b/>
                <w:bCs/>
                <w:i/>
                <w:iCs/>
                <w:sz w:val="16"/>
                <w:szCs w:val="16"/>
              </w:rPr>
              <w:t>(косвенное участие)</w:t>
            </w:r>
          </w:p>
        </w:tc>
        <w:tc>
          <w:tcPr>
            <w:tcW w:w="1049"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0</w:t>
            </w:r>
          </w:p>
        </w:tc>
      </w:tr>
      <w:tr>
        <w:trPr/>
        <w:tc>
          <w:tcPr>
            <w:tcW w:w="1923" w:type="dxa"/>
            <w:tcBorders>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Ткачева Н.Н.</w:t>
            </w:r>
          </w:p>
        </w:tc>
        <w:tc>
          <w:tcPr>
            <w:tcW w:w="2931" w:type="dxa"/>
            <w:tcBorders>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член Совета директоров ПАО «Камчатскэнерго», одновременно являющийся членом Совета директоров стороны в сделке – АО «РГ Логистика».</w:t>
            </w:r>
          </w:p>
        </w:tc>
        <w:tc>
          <w:tcPr>
            <w:tcW w:w="1540" w:type="dxa"/>
            <w:tcBorders>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0</w:t>
            </w:r>
          </w:p>
        </w:tc>
        <w:tc>
          <w:tcPr>
            <w:tcW w:w="900" w:type="dxa"/>
            <w:tcBorders>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0</w:t>
            </w:r>
          </w:p>
        </w:tc>
        <w:tc>
          <w:tcPr>
            <w:tcW w:w="1364" w:type="dxa"/>
            <w:tcBorders>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0</w:t>
            </w:r>
          </w:p>
        </w:tc>
        <w:tc>
          <w:tcPr>
            <w:tcW w:w="1049" w:type="dxa"/>
            <w:tcBorders>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0</w:t>
            </w:r>
          </w:p>
        </w:tc>
      </w:tr>
    </w:tbl>
    <w:p>
      <w:pPr>
        <w:pStyle w:val="Normal"/>
        <w:widowControl w:val="false"/>
        <w:spacing w:lineRule="auto" w:line="240"/>
        <w:jc w:val="both"/>
        <w:rPr>
          <w:rFonts w:cs="Times New Roman"/>
          <w:szCs w:val="20"/>
        </w:rPr>
      </w:pPr>
      <w:r>
        <w:rPr>
          <w:rFonts w:cs="Times New Roman"/>
          <w:szCs w:val="20"/>
        </w:rPr>
      </w:r>
    </w:p>
    <w:p>
      <w:pPr>
        <w:pStyle w:val="Normal"/>
        <w:spacing w:lineRule="auto" w:line="240"/>
        <w:jc w:val="left"/>
        <w:rPr>
          <w:rFonts w:cs="Times New Roman"/>
          <w:szCs w:val="20"/>
        </w:rPr>
      </w:pPr>
      <w:r>
        <w:rPr>
          <w:rFonts w:cs="Times New Roman"/>
          <w:szCs w:val="20"/>
        </w:rPr>
      </w:r>
    </w:p>
    <w:p>
      <w:pPr>
        <w:pStyle w:val="Normal"/>
        <w:spacing w:lineRule="auto" w:line="240"/>
        <w:jc w:val="left"/>
        <w:rPr/>
      </w:pPr>
      <w:r>
        <w:rPr>
          <w:rFonts w:cs="Times New Roman"/>
          <w:szCs w:val="20"/>
        </w:rPr>
        <w:t>18.</w:t>
      </w:r>
    </w:p>
    <w:p>
      <w:pPr>
        <w:pStyle w:val="Normal"/>
        <w:spacing w:lineRule="auto" w:line="240"/>
        <w:jc w:val="both"/>
        <w:rPr/>
      </w:pPr>
      <w:r>
        <w:rPr>
          <w:rFonts w:cs="Times New Roman"/>
          <w:b/>
          <w:bCs/>
          <w:i/>
          <w:iCs/>
          <w:szCs w:val="20"/>
        </w:rPr>
        <w:t>Дополнительное соглашение № 4 к Договору транспортного обслуживания от 18.05.2023 № 76000-АХР ДОР-2023-КамчЭн.</w:t>
      </w:r>
    </w:p>
    <w:p>
      <w:pPr>
        <w:pStyle w:val="Normal"/>
        <w:spacing w:lineRule="auto" w:line="240"/>
        <w:jc w:val="both"/>
        <w:rPr>
          <w:rFonts w:cs="Times New Roman"/>
          <w:b/>
          <w:bCs/>
          <w:i/>
          <w:i/>
          <w:iCs/>
          <w:szCs w:val="20"/>
        </w:rPr>
      </w:pPr>
      <w:r>
        <w:rPr>
          <w:rFonts w:cs="Times New Roman"/>
          <w:b/>
          <w:bCs/>
          <w:i/>
          <w:iCs/>
          <w:szCs w:val="20"/>
        </w:rPr>
      </w:r>
    </w:p>
    <w:p>
      <w:pPr>
        <w:pStyle w:val="Normal"/>
        <w:spacing w:lineRule="auto" w:line="240"/>
        <w:jc w:val="both"/>
        <w:rPr/>
      </w:pPr>
      <w:r>
        <w:rPr>
          <w:rFonts w:cs="Times New Roman"/>
          <w:szCs w:val="20"/>
        </w:rPr>
        <w:t xml:space="preserve">Дата совершения сделки, либо дата совершения первой сделки из последовательности взаимосвязанных: </w:t>
      </w:r>
      <w:r>
        <w:rPr>
          <w:rFonts w:eastAsia="Times New Roman" w:cs="Arial Narrow" w:ascii="Arial Narrow" w:hAnsi="Arial Narrow"/>
          <w:color w:val="000000"/>
          <w:sz w:val="20"/>
          <w:szCs w:val="20"/>
          <w:lang w:eastAsia="zh-CN" w:bidi="ar-SA"/>
        </w:rPr>
        <w:t xml:space="preserve"> </w:t>
      </w:r>
      <w:r>
        <w:rPr>
          <w:rFonts w:cs="Times New Roman"/>
          <w:b/>
          <w:bCs/>
          <w:i/>
          <w:iCs/>
          <w:szCs w:val="20"/>
        </w:rPr>
        <w:t>17.12.2025</w:t>
      </w:r>
    </w:p>
    <w:p>
      <w:pPr>
        <w:pStyle w:val="Normal"/>
        <w:spacing w:lineRule="auto" w:line="240"/>
        <w:jc w:val="both"/>
        <w:rPr>
          <w:rFonts w:cs="Times New Roman"/>
          <w:szCs w:val="20"/>
        </w:rPr>
      </w:pPr>
      <w:r>
        <w:rPr>
          <w:rFonts w:cs="Times New Roman"/>
          <w:szCs w:val="20"/>
        </w:rPr>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Лицо (лица), признанное (признанные) в соответствии с законодательством Российской Федерации лицом (лицами), заинтересованным (заинтересованными) в совершении сделки:</w:t>
      </w:r>
      <w:r>
        <w:rPr>
          <w:rFonts w:cs="Times New Roman"/>
          <w:b/>
          <w:bCs/>
          <w:i/>
          <w:iCs/>
          <w:szCs w:val="20"/>
        </w:rPr>
        <w:t xml:space="preserve"> </w:t>
      </w:r>
    </w:p>
    <w:p>
      <w:pPr>
        <w:pStyle w:val="Normal"/>
        <w:spacing w:lineRule="auto" w:line="240"/>
        <w:jc w:val="both"/>
        <w:rPr/>
      </w:pPr>
      <w:r>
        <w:rPr>
          <w:rFonts w:cs="Times New Roman"/>
          <w:b/>
          <w:bCs/>
          <w:i/>
          <w:iCs/>
          <w:szCs w:val="20"/>
        </w:rPr>
        <w:t>ПАО «РусГидро» - контролирующее лицо ПАО «Камчатскэнерго» (косвенный контроль), являющееся одновременно контролирующим лицом стороны в сделке – АО «ТК РусГидро» (прямой контроль).</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Существенные условия сделки:</w:t>
      </w:r>
    </w:p>
    <w:p>
      <w:pPr>
        <w:pStyle w:val="Normal"/>
        <w:spacing w:lineRule="auto" w:line="240"/>
        <w:jc w:val="both"/>
        <w:rPr/>
      </w:pPr>
      <w:r>
        <w:rPr>
          <w:rFonts w:cs="Times New Roman"/>
          <w:b/>
          <w:bCs/>
          <w:i/>
          <w:iCs/>
          <w:szCs w:val="20"/>
        </w:rPr>
        <w:t>Стороны Дополнительного соглашения: Заказчик – ПАО «Камчатскэнерго»;</w:t>
      </w:r>
    </w:p>
    <w:p>
      <w:pPr>
        <w:pStyle w:val="Normal"/>
        <w:spacing w:lineRule="auto" w:line="240"/>
        <w:jc w:val="both"/>
        <w:rPr/>
      </w:pPr>
      <w:r>
        <w:rPr>
          <w:rFonts w:cs="Times New Roman"/>
          <w:b/>
          <w:bCs/>
          <w:i/>
          <w:iCs/>
          <w:szCs w:val="20"/>
        </w:rPr>
        <w:t>Исполнитель – АО «ТК РусГидро».</w:t>
      </w:r>
    </w:p>
    <w:p>
      <w:pPr>
        <w:pStyle w:val="Normal"/>
        <w:spacing w:lineRule="auto" w:line="240"/>
        <w:jc w:val="both"/>
        <w:rPr/>
      </w:pPr>
      <w:r>
        <w:rPr>
          <w:rFonts w:cs="Times New Roman"/>
          <w:b/>
          <w:bCs/>
          <w:i/>
          <w:iCs/>
          <w:szCs w:val="20"/>
        </w:rPr>
        <w:t>Предмет Дополнительного соглашения: Внесение следующих изменений в Договор: 1. Изменение цены Договора.</w:t>
      </w:r>
    </w:p>
    <w:p>
      <w:pPr>
        <w:pStyle w:val="Normal"/>
        <w:spacing w:lineRule="auto" w:line="240"/>
        <w:jc w:val="both"/>
        <w:rPr/>
      </w:pPr>
      <w:r>
        <w:rPr>
          <w:rFonts w:cs="Times New Roman"/>
          <w:b/>
          <w:bCs/>
          <w:i/>
          <w:iCs/>
          <w:szCs w:val="20"/>
        </w:rPr>
        <w:t>2. Приложение № 1 к Договору «Технические требования с перечнем предоставляемой техники в рамках оказания Услуг» изложить в редакции согласно Приложению 1 к решению.</w:t>
      </w:r>
    </w:p>
    <w:p>
      <w:pPr>
        <w:pStyle w:val="Normal"/>
        <w:spacing w:lineRule="auto" w:line="240"/>
        <w:jc w:val="both"/>
        <w:rPr/>
      </w:pPr>
      <w:r>
        <w:rPr>
          <w:rFonts w:cs="Times New Roman"/>
          <w:b/>
          <w:bCs/>
          <w:i/>
          <w:iCs/>
          <w:szCs w:val="20"/>
        </w:rPr>
        <w:t>3. Приложение № 3 к Договору «Технические требования с перечнем предоставляемой техники, передаваемой Заказчику в аренду без экипажа» изложить в редакции согласно Приложению 2 к решению.</w:t>
      </w:r>
    </w:p>
    <w:p>
      <w:pPr>
        <w:pStyle w:val="Normal"/>
        <w:spacing w:lineRule="auto" w:line="240"/>
        <w:jc w:val="both"/>
        <w:rPr/>
      </w:pPr>
      <w:r>
        <w:rPr>
          <w:rFonts w:cs="Times New Roman"/>
          <w:b/>
          <w:bCs/>
          <w:i/>
          <w:iCs/>
          <w:szCs w:val="20"/>
        </w:rPr>
        <w:t>Цена Договора (с учетом Дополнительного соглашения):</w:t>
      </w:r>
    </w:p>
    <w:p>
      <w:pPr>
        <w:pStyle w:val="Normal"/>
        <w:spacing w:lineRule="auto" w:line="240"/>
        <w:jc w:val="both"/>
        <w:rPr/>
      </w:pPr>
      <w:r>
        <w:rPr>
          <w:rFonts w:cs="Times New Roman"/>
          <w:b/>
          <w:bCs/>
          <w:i/>
          <w:iCs/>
          <w:szCs w:val="20"/>
        </w:rPr>
        <w:t>составляет 2 720 754 195 (Два миллиарда семьсот двадцать миллионов семьсот пятьдесят четыре тысячи сто девяносто пять) рублей 00 копеек без учета НДС (НДС исчисляется дополнительно по ставке, установленной статьей 164 Налогового кодекса Российской Федерации) и учитывает стоимость оказания услуг в ценах, соответствующих периоду оказания услуг (с учетом прогноза социально-экономического развития Российской Федерации, опубликованного Минэкономразвития России от 28.09.2022 (по индексу потребительских цен в среднем за год), при этом цена Договора подлежит корректировке (индексации) в том случае, если индекс потребительских цен по актуальному прогнозу Минэкономразвития РФ в среднем за год превышает установленный в Договоре более чем на 1%.</w:t>
      </w:r>
    </w:p>
    <w:p>
      <w:pPr>
        <w:pStyle w:val="Normal"/>
        <w:spacing w:lineRule="auto" w:line="240"/>
        <w:jc w:val="both"/>
        <w:rPr/>
      </w:pPr>
      <w:r>
        <w:rPr>
          <w:rFonts w:cs="Times New Roman"/>
          <w:b/>
          <w:bCs/>
          <w:i/>
          <w:iCs/>
          <w:szCs w:val="20"/>
        </w:rPr>
        <w:t>Срок действия Дополнительного соглашения: Дополнительное соглашение вступает в силу с даты подписания Сторонами и является неотъемлемой частью Договора. В соответствии с пунктом 2 статьи 425 Гражданского кодекса Российской Федерации условия Соглашения применяются к отношениям Сторон, возникшим с 01.01.2025.</w:t>
      </w:r>
    </w:p>
    <w:p>
      <w:pPr>
        <w:pStyle w:val="Normal"/>
        <w:spacing w:lineRule="auto" w:line="240"/>
        <w:jc w:val="both"/>
        <w:rPr>
          <w:rFonts w:ascii="Arial Narrow" w:hAnsi="Arial Narrow" w:eastAsia="Times New Roman" w:cs="Arial Narrow"/>
          <w:color w:val="000000"/>
          <w:sz w:val="20"/>
          <w:szCs w:val="20"/>
          <w:lang w:eastAsia="zh-CN" w:bidi="ar-SA"/>
        </w:rPr>
      </w:pPr>
      <w:r>
        <w:rPr>
          <w:rFonts w:eastAsia="Times New Roman" w:cs="Arial Narrow" w:ascii="Arial Narrow" w:hAnsi="Arial Narrow"/>
          <w:color w:val="000000"/>
          <w:sz w:val="20"/>
          <w:szCs w:val="20"/>
          <w:lang w:eastAsia="zh-CN" w:bidi="ar-SA"/>
        </w:rPr>
      </w:r>
    </w:p>
    <w:p>
      <w:pPr>
        <w:pStyle w:val="Normal"/>
        <w:spacing w:lineRule="auto" w:line="240"/>
        <w:jc w:val="left"/>
        <w:rPr/>
      </w:pPr>
      <w:r>
        <w:rPr>
          <w:rFonts w:cs="Times New Roman"/>
          <w:szCs w:val="20"/>
        </w:rPr>
        <w:t xml:space="preserve">Орган управления эмитента, принявший решение о согласии на ее совершение или ее последующем одобрении: </w:t>
      </w:r>
      <w:r>
        <w:rPr>
          <w:rFonts w:cs="Times New Roman"/>
          <w:b/>
          <w:bCs/>
          <w:i/>
          <w:iCs/>
          <w:szCs w:val="20"/>
        </w:rPr>
        <w:t>Совет директоров ПАО «Камчатскэнерго» (Протокол № 9 от 11.12.2025)</w:t>
      </w:r>
    </w:p>
    <w:p>
      <w:pPr>
        <w:pStyle w:val="Normal"/>
        <w:spacing w:lineRule="auto" w:line="240"/>
        <w:jc w:val="left"/>
        <w:rPr>
          <w:rFonts w:cs="Times New Roman"/>
          <w:szCs w:val="20"/>
        </w:rPr>
      </w:pPr>
      <w:r>
        <w:rPr>
          <w:rFonts w:cs="Times New Roman"/>
          <w:szCs w:val="20"/>
        </w:rPr>
      </w:r>
    </w:p>
    <w:p>
      <w:pPr>
        <w:pStyle w:val="Normal"/>
        <w:spacing w:lineRule="auto" w:line="240"/>
        <w:jc w:val="left"/>
        <w:rPr>
          <w:rFonts w:cs="Times New Roman"/>
          <w:szCs w:val="20"/>
        </w:rPr>
      </w:pPr>
      <w:r>
        <w:rPr>
          <w:rFonts w:cs="Times New Roman"/>
          <w:szCs w:val="20"/>
        </w:rPr>
      </w:r>
    </w:p>
    <w:p>
      <w:pPr>
        <w:pStyle w:val="Normal"/>
        <w:spacing w:lineRule="auto" w:line="240"/>
        <w:jc w:val="left"/>
        <w:rPr/>
      </w:pPr>
      <w:r>
        <w:rPr>
          <w:rFonts w:cs="Times New Roman"/>
          <w:szCs w:val="20"/>
        </w:rPr>
        <w:t xml:space="preserve">Размер сделки (группы взаимосвязанных сделок) составлял 2 и более процента балансовой стоимости активов эмитента: </w:t>
      </w:r>
      <w:r>
        <w:rPr>
          <w:rFonts w:cs="Times New Roman"/>
          <w:b/>
          <w:bCs/>
          <w:i/>
          <w:iCs/>
          <w:szCs w:val="20"/>
        </w:rPr>
        <w:t>Да</w:t>
      </w:r>
    </w:p>
    <w:p>
      <w:pPr>
        <w:pStyle w:val="Normal"/>
        <w:spacing w:lineRule="auto" w:line="240"/>
        <w:jc w:val="left"/>
        <w:rPr>
          <w:rFonts w:cs="Times New Roman"/>
          <w:b/>
          <w:bCs/>
          <w:i/>
          <w:i/>
          <w:iCs/>
          <w:szCs w:val="20"/>
        </w:rPr>
      </w:pPr>
      <w:r>
        <w:rPr>
          <w:rFonts w:cs="Times New Roman"/>
          <w:b/>
          <w:bCs/>
          <w:i/>
          <w:iCs/>
          <w:szCs w:val="20"/>
        </w:rPr>
      </w:r>
    </w:p>
    <w:tbl>
      <w:tblPr>
        <w:tblW w:w="9272" w:type="dxa"/>
        <w:jc w:val="left"/>
        <w:tblInd w:w="52" w:type="dxa"/>
        <w:tblLayout w:type="fixed"/>
        <w:tblCellMar>
          <w:top w:w="0" w:type="dxa"/>
          <w:left w:w="72" w:type="dxa"/>
          <w:bottom w:w="0" w:type="dxa"/>
          <w:right w:w="72" w:type="dxa"/>
        </w:tblCellMar>
      </w:tblPr>
      <w:tblGrid>
        <w:gridCol w:w="1680"/>
        <w:gridCol w:w="2323"/>
        <w:gridCol w:w="1651"/>
        <w:gridCol w:w="1304"/>
        <w:gridCol w:w="1187"/>
        <w:gridCol w:w="1126"/>
      </w:tblGrid>
      <w:tr>
        <w:trPr/>
        <w:tc>
          <w:tcPr>
            <w:tcW w:w="1680"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Наименование заинтересованного лица</w:t>
            </w:r>
          </w:p>
        </w:tc>
        <w:tc>
          <w:tcPr>
            <w:tcW w:w="232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Основание (основания), по которому (по которым) лицо признано заинтересованным в совершении сделки</w:t>
            </w:r>
          </w:p>
        </w:tc>
        <w:tc>
          <w:tcPr>
            <w:tcW w:w="1651"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Доля участия заинтересованного лица в уставном (складочном) капитале эмитента</w:t>
            </w:r>
          </w:p>
          <w:p>
            <w:pPr>
              <w:pStyle w:val="Normal"/>
              <w:widowControl w:val="false"/>
              <w:tabs>
                <w:tab w:val="clear" w:pos="720"/>
              </w:tabs>
              <w:spacing w:lineRule="auto" w:line="240"/>
              <w:rPr>
                <w:sz w:val="16"/>
                <w:szCs w:val="16"/>
              </w:rPr>
            </w:pPr>
            <w:r>
              <w:rPr>
                <w:sz w:val="16"/>
                <w:szCs w:val="16"/>
              </w:rPr>
            </w:r>
          </w:p>
          <w:p>
            <w:pPr>
              <w:pStyle w:val="Normal"/>
              <w:widowControl w:val="false"/>
              <w:tabs>
                <w:tab w:val="clear" w:pos="720"/>
              </w:tabs>
              <w:spacing w:lineRule="auto" w:line="240" w:before="20" w:after="40"/>
              <w:contextualSpacing/>
              <w:rPr>
                <w:sz w:val="16"/>
                <w:szCs w:val="16"/>
              </w:rPr>
            </w:pPr>
            <w:r>
              <w:rPr>
                <w:b/>
                <w:bCs/>
                <w:i/>
                <w:iCs/>
                <w:sz w:val="16"/>
                <w:szCs w:val="16"/>
              </w:rPr>
              <w:t>(по состоянию на дату заключения сделки)</w:t>
            </w:r>
          </w:p>
        </w:tc>
        <w:tc>
          <w:tcPr>
            <w:tcW w:w="1304"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Доля принадлежавших заинтересованному лицу акций эмитента</w:t>
            </w:r>
          </w:p>
        </w:tc>
        <w:tc>
          <w:tcPr>
            <w:tcW w:w="1187"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Доля участия заинтересованного лица в уставном (складочном) капитале юридического лица, являвшегося стороной в сделке</w:t>
            </w:r>
          </w:p>
        </w:tc>
        <w:tc>
          <w:tcPr>
            <w:tcW w:w="1126"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Доля принадлежавших заинтересованному лицу акций юридического лица, являвшегося стороной в сделке</w:t>
            </w:r>
          </w:p>
        </w:tc>
      </w:tr>
      <w:tr>
        <w:trPr/>
        <w:tc>
          <w:tcPr>
            <w:tcW w:w="1680"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ПАО «РусГидро»</w:t>
            </w:r>
          </w:p>
        </w:tc>
        <w:tc>
          <w:tcPr>
            <w:tcW w:w="2323"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jc w:val="both"/>
              <w:rPr>
                <w:sz w:val="16"/>
                <w:szCs w:val="16"/>
              </w:rPr>
            </w:pPr>
            <w:r>
              <w:rPr>
                <w:b/>
                <w:bCs/>
                <w:i/>
                <w:iCs/>
                <w:sz w:val="16"/>
                <w:szCs w:val="16"/>
              </w:rPr>
              <w:t xml:space="preserve">ПАО «РусГидро» - контролирующее лицо </w:t>
              <w:br/>
              <w:t>ПАО «Камчатскэнерго» (косвенный контроль), являющееся одновременно контролирующим лицом стороны в сделке – АО «ТК РусГидро» (прямой контроль).</w:t>
            </w:r>
          </w:p>
        </w:tc>
        <w:tc>
          <w:tcPr>
            <w:tcW w:w="1651"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27,97</w:t>
            </w:r>
          </w:p>
          <w:p>
            <w:pPr>
              <w:pStyle w:val="Normal"/>
              <w:widowControl w:val="false"/>
              <w:tabs>
                <w:tab w:val="clear" w:pos="720"/>
              </w:tabs>
              <w:spacing w:lineRule="auto" w:line="240"/>
              <w:rPr>
                <w:sz w:val="16"/>
                <w:szCs w:val="16"/>
              </w:rPr>
            </w:pPr>
            <w:r>
              <w:rPr>
                <w:b/>
                <w:bCs/>
                <w:i/>
                <w:iCs/>
                <w:sz w:val="16"/>
                <w:szCs w:val="16"/>
              </w:rPr>
              <w:t>(прямое участие)</w:t>
            </w:r>
          </w:p>
          <w:p>
            <w:pPr>
              <w:pStyle w:val="Normal"/>
              <w:widowControl w:val="false"/>
              <w:tabs>
                <w:tab w:val="clear" w:pos="720"/>
              </w:tabs>
              <w:spacing w:lineRule="auto" w:line="240"/>
              <w:rPr>
                <w:sz w:val="16"/>
                <w:szCs w:val="16"/>
              </w:rPr>
            </w:pPr>
            <w:r>
              <w:rPr>
                <w:b/>
                <w:bCs/>
                <w:i/>
                <w:iCs/>
                <w:sz w:val="16"/>
                <w:szCs w:val="16"/>
              </w:rPr>
              <w:t>99,33</w:t>
            </w:r>
          </w:p>
          <w:p>
            <w:pPr>
              <w:pStyle w:val="Normal"/>
              <w:widowControl w:val="false"/>
              <w:tabs>
                <w:tab w:val="clear" w:pos="720"/>
              </w:tabs>
              <w:spacing w:lineRule="auto" w:line="240" w:before="20" w:after="40"/>
              <w:contextualSpacing/>
              <w:rPr>
                <w:sz w:val="16"/>
                <w:szCs w:val="16"/>
              </w:rPr>
            </w:pPr>
            <w:r>
              <w:rPr>
                <w:b/>
                <w:bCs/>
                <w:i/>
                <w:iCs/>
                <w:sz w:val="16"/>
                <w:szCs w:val="16"/>
              </w:rPr>
              <w:t>(косвенное участие)</w:t>
            </w:r>
          </w:p>
        </w:tc>
        <w:tc>
          <w:tcPr>
            <w:tcW w:w="1304"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27,97</w:t>
            </w:r>
          </w:p>
        </w:tc>
        <w:tc>
          <w:tcPr>
            <w:tcW w:w="1187"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100</w:t>
            </w:r>
          </w:p>
          <w:p>
            <w:pPr>
              <w:pStyle w:val="Normal"/>
              <w:widowControl w:val="false"/>
              <w:tabs>
                <w:tab w:val="clear" w:pos="720"/>
              </w:tabs>
              <w:spacing w:lineRule="auto" w:line="240" w:before="20" w:after="40"/>
              <w:contextualSpacing/>
              <w:rPr>
                <w:sz w:val="16"/>
                <w:szCs w:val="16"/>
              </w:rPr>
            </w:pPr>
            <w:r>
              <w:rPr>
                <w:b/>
                <w:bCs/>
                <w:i/>
                <w:iCs/>
                <w:sz w:val="16"/>
                <w:szCs w:val="16"/>
              </w:rPr>
              <w:t>(прямое распоряжение)</w:t>
            </w:r>
          </w:p>
        </w:tc>
        <w:tc>
          <w:tcPr>
            <w:tcW w:w="1126"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20"/>
              </w:tabs>
              <w:spacing w:lineRule="auto" w:line="240" w:before="20" w:after="40"/>
              <w:contextualSpacing/>
              <w:rPr>
                <w:sz w:val="16"/>
                <w:szCs w:val="16"/>
              </w:rPr>
            </w:pPr>
            <w:r>
              <w:rPr>
                <w:b/>
                <w:bCs/>
                <w:i/>
                <w:iCs/>
                <w:sz w:val="16"/>
                <w:szCs w:val="16"/>
              </w:rPr>
              <w:t>100</w:t>
            </w:r>
          </w:p>
        </w:tc>
      </w:tr>
    </w:tbl>
    <w:p>
      <w:pPr>
        <w:pStyle w:val="Normal"/>
        <w:widowControl w:val="false"/>
        <w:spacing w:lineRule="auto" w:line="240"/>
        <w:rPr>
          <w:rFonts w:cs="Times New Roman"/>
          <w:b/>
          <w:bCs/>
          <w:szCs w:val="20"/>
        </w:rPr>
      </w:pPr>
      <w:r>
        <w:rPr>
          <w:rFonts w:cs="Times New Roman"/>
          <w:b/>
          <w:bCs/>
          <w:szCs w:val="20"/>
        </w:rPr>
      </w:r>
    </w:p>
    <w:p>
      <w:pPr>
        <w:pStyle w:val="Normal"/>
        <w:spacing w:lineRule="auto" w:line="240"/>
        <w:jc w:val="left"/>
        <w:rPr>
          <w:rFonts w:ascii="Arial Narrow" w:hAnsi="Arial Narrow" w:eastAsia="Times New Roman" w:cs="Arial Narrow"/>
          <w:color w:val="000000"/>
          <w:sz w:val="20"/>
          <w:szCs w:val="20"/>
          <w:lang w:eastAsia="zh-CN" w:bidi="ar-SA"/>
        </w:rPr>
      </w:pPr>
      <w:r>
        <w:rPr>
          <w:rFonts w:eastAsia="Times New Roman" w:cs="Arial Narrow" w:ascii="Arial Narrow" w:hAnsi="Arial Narrow"/>
          <w:color w:val="000000"/>
          <w:sz w:val="20"/>
          <w:szCs w:val="20"/>
          <w:lang w:eastAsia="zh-CN" w:bidi="ar-SA"/>
        </w:rPr>
      </w:r>
    </w:p>
    <w:p>
      <w:pPr>
        <w:pStyle w:val="Normal"/>
        <w:spacing w:lineRule="auto" w:line="240"/>
        <w:jc w:val="left"/>
        <w:rPr/>
      </w:pPr>
      <w:r>
        <w:rPr>
          <w:rFonts w:cs="Times New Roman"/>
          <w:szCs w:val="20"/>
        </w:rPr>
        <w:t>19.</w:t>
      </w:r>
    </w:p>
    <w:p>
      <w:pPr>
        <w:pStyle w:val="Normal"/>
        <w:spacing w:lineRule="auto" w:line="240"/>
        <w:jc w:val="left"/>
        <w:rPr/>
      </w:pPr>
      <w:r>
        <w:rPr>
          <w:rFonts w:cs="Times New Roman"/>
          <w:b/>
          <w:bCs/>
          <w:i/>
          <w:iCs/>
          <w:szCs w:val="20"/>
        </w:rPr>
        <w:t>Договор оказания транспортных услуг № 35700-ТПИР ОБСЛ-2026-КамчЭн</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 xml:space="preserve">Дата совершения сделки, либо дата совершения первой сделки из последовательности взаимосвязанных: </w:t>
      </w:r>
      <w:r>
        <w:rPr>
          <w:rFonts w:cs="Times New Roman"/>
          <w:b/>
          <w:bCs/>
          <w:i/>
          <w:iCs/>
          <w:szCs w:val="20"/>
        </w:rPr>
        <w:t xml:space="preserve"> 30.12.2025 </w:t>
      </w:r>
    </w:p>
    <w:p>
      <w:pPr>
        <w:pStyle w:val="Normal"/>
        <w:spacing w:lineRule="auto" w:line="240"/>
        <w:jc w:val="both"/>
        <w:rPr>
          <w:rFonts w:cs="Times New Roman"/>
          <w:szCs w:val="20"/>
        </w:rPr>
      </w:pPr>
      <w:r>
        <w:rPr>
          <w:rFonts w:cs="Times New Roman"/>
          <w:szCs w:val="20"/>
        </w:rPr>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Лицо (лица), признанное (признанные) в соответствии с законодательством Российской Федерации лицом (лицами), заинтересованным (заинтересованными) в совершении сделки:</w:t>
      </w:r>
      <w:r>
        <w:rPr>
          <w:rFonts w:cs="Times New Roman"/>
          <w:b/>
          <w:bCs/>
          <w:i/>
          <w:iCs/>
          <w:szCs w:val="20"/>
        </w:rPr>
        <w:t xml:space="preserve"> </w:t>
      </w:r>
    </w:p>
    <w:p>
      <w:pPr>
        <w:pStyle w:val="Normal"/>
        <w:spacing w:lineRule="auto" w:line="240"/>
        <w:jc w:val="both"/>
        <w:rPr/>
      </w:pPr>
      <w:r>
        <w:rPr>
          <w:rFonts w:cs="Times New Roman"/>
          <w:b/>
          <w:bCs/>
          <w:i/>
          <w:iCs/>
          <w:szCs w:val="20"/>
        </w:rPr>
        <w:t>ПАО «РусГидро» – контролирующее лицо ПАО «Камчатскэнерго» (косвенный контроль), являющееся одновременно контролирующим лицом стороны в сделке – АО «ТК РусГидро» (прямой контроль).</w:t>
      </w:r>
    </w:p>
    <w:p>
      <w:pPr>
        <w:pStyle w:val="Normal"/>
        <w:spacing w:lineRule="auto" w:line="240"/>
        <w:jc w:val="both"/>
        <w:rPr>
          <w:rFonts w:cs="Times New Roman"/>
          <w:b/>
          <w:bCs/>
          <w:i/>
          <w:i/>
          <w:iCs/>
          <w:szCs w:val="20"/>
        </w:rPr>
      </w:pPr>
      <w:r>
        <w:rPr>
          <w:rFonts w:cs="Times New Roman"/>
          <w:b/>
          <w:bCs/>
          <w:i/>
          <w:iCs/>
          <w:szCs w:val="20"/>
        </w:rPr>
      </w:r>
    </w:p>
    <w:p>
      <w:pPr>
        <w:pStyle w:val="Normal"/>
        <w:spacing w:lineRule="auto" w:line="240"/>
        <w:jc w:val="both"/>
        <w:rPr/>
      </w:pPr>
      <w:r>
        <w:rPr>
          <w:rFonts w:cs="Times New Roman"/>
          <w:szCs w:val="20"/>
        </w:rPr>
        <w:t>Существенные условия сделки:</w:t>
      </w:r>
    </w:p>
    <w:p>
      <w:pPr>
        <w:pStyle w:val="Normal"/>
        <w:spacing w:lineRule="auto" w:line="240"/>
        <w:jc w:val="both"/>
        <w:rPr/>
      </w:pPr>
      <w:r>
        <w:rPr>
          <w:rFonts w:cs="Times New Roman"/>
          <w:b/>
          <w:bCs/>
          <w:i/>
          <w:iCs/>
          <w:szCs w:val="20"/>
        </w:rPr>
        <w:t>Стороны Договора: Заказчик – ПАО «Камчатскэнерго»; Исполнитель – АО «ТК РусГидро».</w:t>
      </w:r>
    </w:p>
    <w:p>
      <w:pPr>
        <w:pStyle w:val="Normal"/>
        <w:spacing w:lineRule="auto" w:line="240"/>
        <w:jc w:val="both"/>
        <w:rPr/>
      </w:pPr>
      <w:r>
        <w:rPr>
          <w:rFonts w:cs="Times New Roman"/>
          <w:b/>
          <w:bCs/>
          <w:i/>
          <w:iCs/>
          <w:szCs w:val="20"/>
        </w:rPr>
        <w:t>Предмет Договора:</w:t>
      </w:r>
    </w:p>
    <w:p>
      <w:pPr>
        <w:pStyle w:val="Normal"/>
        <w:spacing w:lineRule="auto" w:line="240"/>
        <w:jc w:val="both"/>
        <w:rPr/>
      </w:pPr>
      <w:r>
        <w:rPr>
          <w:rFonts w:cs="Times New Roman"/>
          <w:b/>
          <w:bCs/>
          <w:i/>
          <w:iCs/>
          <w:szCs w:val="20"/>
        </w:rPr>
        <w:t>Исполнитель обязуется по заявкам Заказчика, в порядке и сроки, установленные Договором, оказать транспортные услуги, то есть предоставить Заказчику во временное пользование Технику с оказанием услуг по ее технической эксплуатации и управлению (далее – Услуги), согласно Приложению 3 к решению, а Заказчик обязуется Услуги принять и оплатить в соответствии с условиями Договора.</w:t>
      </w:r>
    </w:p>
    <w:p>
      <w:pPr>
        <w:pStyle w:val="Normal"/>
        <w:spacing w:lineRule="auto" w:line="240"/>
        <w:jc w:val="both"/>
        <w:rPr/>
      </w:pPr>
      <w:r>
        <w:rPr>
          <w:rFonts w:cs="Times New Roman"/>
          <w:b/>
          <w:bCs/>
          <w:i/>
          <w:iCs/>
          <w:szCs w:val="20"/>
        </w:rPr>
        <w:t>Цена Договора: предельная стоимость услуг составляет 137 246 513 (Сто тридцать семь миллионов двести сорок шесть тысяч пятьсот тринадцать) рублей 26 копеек без учета НДС, при этом НДС исчисляется дополнительно по ставке, установленной статьей 164 Налогового кодекса РФ.</w:t>
      </w:r>
    </w:p>
    <w:p>
      <w:pPr>
        <w:pStyle w:val="Normal"/>
        <w:spacing w:lineRule="auto" w:line="240"/>
        <w:jc w:val="both"/>
        <w:rPr/>
      </w:pPr>
      <w:r>
        <w:rPr>
          <w:rFonts w:cs="Times New Roman"/>
          <w:b/>
          <w:bCs/>
          <w:i/>
          <w:iCs/>
          <w:szCs w:val="20"/>
        </w:rPr>
        <w:t>Срок оказания услуг: с 01.01.2026 по 31.12.2026.</w:t>
      </w:r>
    </w:p>
    <w:p>
      <w:pPr>
        <w:pStyle w:val="Normal"/>
        <w:spacing w:lineRule="auto" w:line="240"/>
        <w:jc w:val="left"/>
        <w:rPr>
          <w:rFonts w:cs="Times New Roman"/>
          <w:szCs w:val="20"/>
        </w:rPr>
      </w:pPr>
      <w:r>
        <w:rPr>
          <w:rFonts w:cs="Times New Roman"/>
          <w:szCs w:val="20"/>
        </w:rPr>
      </w:r>
    </w:p>
    <w:p>
      <w:pPr>
        <w:pStyle w:val="Normal"/>
        <w:spacing w:lineRule="auto" w:line="240"/>
        <w:jc w:val="left"/>
        <w:rPr/>
      </w:pPr>
      <w:r>
        <w:rPr>
          <w:rFonts w:cs="Times New Roman"/>
          <w:szCs w:val="20"/>
        </w:rPr>
        <w:t xml:space="preserve">Орган управления эмитента, принявший решение о согласии на ее совершение или ее последующем одобрении: </w:t>
      </w:r>
      <w:r>
        <w:rPr>
          <w:rFonts w:cs="Times New Roman"/>
          <w:b/>
          <w:bCs/>
          <w:i/>
          <w:iCs/>
          <w:szCs w:val="20"/>
        </w:rPr>
        <w:t>Совет директоров ПАО «Камчатскэнерго» (Протокол № 9 от 11.12.2025)</w:t>
      </w:r>
    </w:p>
    <w:p>
      <w:pPr>
        <w:pStyle w:val="Normal"/>
        <w:spacing w:lineRule="auto" w:line="240"/>
        <w:jc w:val="left"/>
        <w:rPr>
          <w:rFonts w:cs="Times New Roman"/>
          <w:szCs w:val="20"/>
        </w:rPr>
      </w:pPr>
      <w:r>
        <w:rPr>
          <w:rFonts w:cs="Times New Roman"/>
          <w:szCs w:val="20"/>
        </w:rPr>
      </w:r>
    </w:p>
    <w:p>
      <w:pPr>
        <w:pStyle w:val="Normal"/>
        <w:spacing w:lineRule="auto" w:line="240"/>
        <w:jc w:val="left"/>
        <w:rPr/>
      </w:pPr>
      <w:r>
        <w:rPr>
          <w:rFonts w:cs="Times New Roman"/>
          <w:szCs w:val="20"/>
        </w:rPr>
        <w:t xml:space="preserve">Размер сделки (группы взаимосвязанных сделок) составлял 2 и более процента балансовой стоимости активов эмитента: </w:t>
      </w:r>
      <w:r>
        <w:rPr>
          <w:rFonts w:cs="Times New Roman"/>
          <w:b/>
          <w:bCs/>
          <w:i/>
          <w:iCs/>
          <w:szCs w:val="20"/>
        </w:rPr>
        <w:t xml:space="preserve">Нет </w:t>
      </w:r>
    </w:p>
    <w:p>
      <w:pPr>
        <w:pStyle w:val="Normal"/>
        <w:spacing w:lineRule="auto" w:line="240"/>
        <w:jc w:val="left"/>
        <w:rPr>
          <w:rFonts w:cs="Times New Roman"/>
          <w:szCs w:val="20"/>
        </w:rPr>
      </w:pPr>
      <w:r>
        <w:rPr>
          <w:rFonts w:cs="Times New Roman"/>
          <w:szCs w:val="20"/>
        </w:rPr>
      </w:r>
    </w:p>
    <w:p>
      <w:pPr>
        <w:pStyle w:val="Normal"/>
        <w:spacing w:lineRule="auto" w:line="240"/>
        <w:jc w:val="both"/>
        <w:rPr/>
      </w:pPr>
      <w:r>
        <w:rPr>
          <w:rFonts w:cs="Times New Roman"/>
          <w:szCs w:val="20"/>
        </w:rPr>
        <w:t>20.</w:t>
      </w:r>
    </w:p>
    <w:p>
      <w:pPr>
        <w:pStyle w:val="Normal"/>
        <w:spacing w:lineRule="auto" w:line="240"/>
        <w:jc w:val="both"/>
        <w:rPr/>
      </w:pPr>
      <w:r>
        <w:rPr>
          <w:rFonts w:cs="Times New Roman"/>
          <w:b/>
          <w:bCs/>
          <w:i/>
          <w:iCs/>
          <w:szCs w:val="20"/>
        </w:rPr>
        <w:t>Дополнительное соглашение № 1 к Договору подряда от 02.09.2024 № 49700-ТПИР ОБСЛ-2024-КамчЭн</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 xml:space="preserve">Дата совершения сделки, либо дата совершения первой сделки из последовательности взаимосвязанных: </w:t>
      </w:r>
      <w:r>
        <w:rPr>
          <w:rFonts w:eastAsia="Times New Roman" w:cs="Arial Narrow" w:ascii="Arial Narrow" w:hAnsi="Arial Narrow"/>
          <w:color w:val="000000"/>
          <w:sz w:val="20"/>
          <w:szCs w:val="20"/>
          <w:lang w:eastAsia="zh-CN" w:bidi="ar-SA"/>
        </w:rPr>
        <w:t xml:space="preserve"> </w:t>
      </w:r>
      <w:r>
        <w:rPr>
          <w:rFonts w:cs="Times New Roman"/>
          <w:b/>
          <w:bCs/>
          <w:i/>
          <w:iCs/>
          <w:szCs w:val="20"/>
        </w:rPr>
        <w:t xml:space="preserve">26.12.2025 </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Лицо (лица), признанное (признанные) в соответствии с законодательством Российской Федерации лицом (лицами), заинтересованным (заинтересованными) в совершении сделки:</w:t>
      </w:r>
      <w:r>
        <w:rPr>
          <w:rFonts w:cs="Times New Roman"/>
          <w:b/>
          <w:bCs/>
          <w:i/>
          <w:iCs/>
          <w:szCs w:val="20"/>
        </w:rPr>
        <w:t xml:space="preserve"> </w:t>
      </w:r>
    </w:p>
    <w:p>
      <w:pPr>
        <w:pStyle w:val="Normal"/>
        <w:spacing w:lineRule="auto" w:line="240"/>
        <w:jc w:val="both"/>
        <w:rPr/>
      </w:pPr>
      <w:r>
        <w:rPr>
          <w:rFonts w:cs="Times New Roman"/>
          <w:b/>
          <w:bCs/>
          <w:i/>
          <w:iCs/>
          <w:szCs w:val="20"/>
        </w:rPr>
        <w:t xml:space="preserve">ПАО «РусГидро» - контролирующее лицо ПАО «Камчатскэнерго» (косвенный контроль), являющееся одновременно контролирующим лицом стороны в сделке – АО «Гидроремонт-ВКК» (прямой контроль); </w:t>
      </w:r>
    </w:p>
    <w:p>
      <w:pPr>
        <w:pStyle w:val="Normal"/>
        <w:spacing w:lineRule="auto" w:line="240"/>
        <w:jc w:val="both"/>
        <w:rPr>
          <w:rFonts w:cs="Times New Roman"/>
          <w:b/>
          <w:bCs/>
          <w:i/>
          <w:i/>
          <w:iCs/>
          <w:szCs w:val="20"/>
        </w:rPr>
      </w:pPr>
      <w:r>
        <w:rPr>
          <w:rFonts w:cs="Times New Roman"/>
          <w:b/>
          <w:bCs/>
          <w:i/>
          <w:iCs/>
          <w:szCs w:val="20"/>
        </w:rPr>
      </w:r>
    </w:p>
    <w:p>
      <w:pPr>
        <w:pStyle w:val="Normal"/>
        <w:spacing w:lineRule="auto" w:line="240"/>
        <w:jc w:val="both"/>
        <w:rPr/>
      </w:pPr>
      <w:r>
        <w:rPr>
          <w:rFonts w:cs="Times New Roman"/>
          <w:b/>
          <w:bCs/>
          <w:i/>
          <w:iCs/>
          <w:szCs w:val="20"/>
        </w:rPr>
        <w:t>Коптяков С.С. - член Совета директоров ПАО «Камчатскэнерго», одновременно являющийся членом Совета директоров стороны в сделке – АО «Гидроремонт-ВКК».</w:t>
      </w:r>
    </w:p>
    <w:p>
      <w:pPr>
        <w:pStyle w:val="Normal"/>
        <w:spacing w:lineRule="auto" w:line="240"/>
        <w:jc w:val="both"/>
        <w:rPr>
          <w:rFonts w:cs="Times New Roman"/>
          <w:b/>
          <w:bCs/>
          <w:i/>
          <w:i/>
          <w:iCs/>
          <w:szCs w:val="20"/>
        </w:rPr>
      </w:pPr>
      <w:r>
        <w:rPr>
          <w:rFonts w:cs="Times New Roman"/>
          <w:b/>
          <w:bCs/>
          <w:i/>
          <w:iCs/>
          <w:szCs w:val="20"/>
        </w:rPr>
      </w:r>
    </w:p>
    <w:p>
      <w:pPr>
        <w:pStyle w:val="Normal"/>
        <w:spacing w:lineRule="auto" w:line="240"/>
        <w:jc w:val="both"/>
        <w:rPr/>
      </w:pPr>
      <w:r>
        <w:rPr>
          <w:rFonts w:cs="Times New Roman"/>
          <w:szCs w:val="20"/>
        </w:rPr>
        <w:t>Существенные условия сделки:</w:t>
      </w:r>
    </w:p>
    <w:p>
      <w:pPr>
        <w:pStyle w:val="ListNumber"/>
        <w:widowControl w:val="false"/>
        <w:tabs>
          <w:tab w:val="clear" w:pos="720"/>
          <w:tab w:val="left" w:pos="708" w:leader="none"/>
        </w:tabs>
        <w:bidi w:val="0"/>
        <w:spacing w:lineRule="auto" w:line="240"/>
        <w:ind w:left="0" w:right="0" w:hanging="0"/>
        <w:jc w:val="both"/>
        <w:rPr/>
      </w:pPr>
      <w:r>
        <w:rPr>
          <w:rFonts w:cs="Times New Roman"/>
          <w:b/>
          <w:bCs/>
          <w:i/>
          <w:iCs/>
          <w:szCs w:val="20"/>
          <w:lang w:eastAsia="ru-RU"/>
        </w:rPr>
        <w:t>Стороны Дополнительного соглашения:</w:t>
      </w:r>
    </w:p>
    <w:p>
      <w:pPr>
        <w:pStyle w:val="ListNumber"/>
        <w:widowControl w:val="false"/>
        <w:tabs>
          <w:tab w:val="clear" w:pos="720"/>
          <w:tab w:val="left" w:pos="708" w:leader="none"/>
        </w:tabs>
        <w:bidi w:val="0"/>
        <w:spacing w:lineRule="auto" w:line="240"/>
        <w:ind w:left="0" w:right="0" w:hanging="0"/>
        <w:jc w:val="both"/>
        <w:rPr/>
      </w:pPr>
      <w:r>
        <w:rPr>
          <w:rFonts w:cs="Times New Roman"/>
          <w:b/>
          <w:bCs/>
          <w:i/>
          <w:iCs/>
          <w:szCs w:val="20"/>
          <w:lang w:eastAsia="ru-RU"/>
        </w:rPr>
        <w:t>Заказчик – ПАО «Камчатскэнерго»; Подрядчик – АО «Гидроремонт-ВКК».</w:t>
      </w:r>
    </w:p>
    <w:p>
      <w:pPr>
        <w:pStyle w:val="ListNumber"/>
        <w:widowControl w:val="false"/>
        <w:tabs>
          <w:tab w:val="clear" w:pos="720"/>
          <w:tab w:val="left" w:pos="708" w:leader="none"/>
        </w:tabs>
        <w:bidi w:val="0"/>
        <w:spacing w:lineRule="auto" w:line="240"/>
        <w:ind w:left="0" w:right="0" w:hanging="0"/>
        <w:jc w:val="both"/>
        <w:rPr/>
      </w:pPr>
      <w:r>
        <w:rPr>
          <w:rFonts w:cs="Times New Roman"/>
          <w:b/>
          <w:bCs/>
          <w:i/>
          <w:iCs/>
          <w:szCs w:val="20"/>
          <w:lang w:eastAsia="ru-RU"/>
        </w:rPr>
        <w:t>Предмет Дополнительного соглашения: изменение предмета Договора, срока окончания выполнения Работ, цены Договора, Технического задания.</w:t>
      </w:r>
    </w:p>
    <w:p>
      <w:pPr>
        <w:pStyle w:val="ListNumber"/>
        <w:widowControl w:val="false"/>
        <w:tabs>
          <w:tab w:val="clear" w:pos="720"/>
          <w:tab w:val="left" w:pos="708" w:leader="none"/>
        </w:tabs>
        <w:bidi w:val="0"/>
        <w:spacing w:lineRule="auto" w:line="240"/>
        <w:ind w:left="0" w:right="0" w:hanging="0"/>
        <w:jc w:val="both"/>
        <w:rPr/>
      </w:pPr>
      <w:r>
        <w:rPr>
          <w:rFonts w:cs="Times New Roman"/>
          <w:b/>
          <w:bCs/>
          <w:i/>
          <w:iCs/>
          <w:szCs w:val="20"/>
          <w:lang w:eastAsia="ru-RU"/>
        </w:rPr>
        <w:t>Предмет Договора с учетом Дополнительного соглашения:</w:t>
      </w:r>
    </w:p>
    <w:p>
      <w:pPr>
        <w:pStyle w:val="ListNumber"/>
        <w:widowControl w:val="false"/>
        <w:tabs>
          <w:tab w:val="clear" w:pos="720"/>
          <w:tab w:val="left" w:pos="708" w:leader="none"/>
        </w:tabs>
        <w:bidi w:val="0"/>
        <w:spacing w:lineRule="auto" w:line="240"/>
        <w:ind w:left="0" w:right="0" w:hanging="0"/>
        <w:jc w:val="both"/>
        <w:rPr/>
      </w:pPr>
      <w:r>
        <w:rPr>
          <w:rFonts w:cs="Times New Roman"/>
          <w:b/>
          <w:bCs/>
          <w:i/>
          <w:iCs/>
          <w:szCs w:val="20"/>
          <w:lang w:eastAsia="ru-RU"/>
        </w:rPr>
        <w:t>Подрядчик обязуется по заданию Заказчика в соответствии с Техническим заданием  выполнить работы «Реконструкция (строительно-монтажные и пусконаладочные работы) системы комплексной безопасности Мутновских станций (Системы: оперативной связи подразделений охраны; охранного освещения, охранного телевидения, контроля и управления доступом)» (далее – Работы), в том числе осуществить поставку Оборудования согласно Спецификации Оборудования, а также сдать Результат Работ Заказчику, а Заказчик обязуется создать Подрядчику указанные в Договоре условия для выполнения Работ, принять Результат Работ и уплатить Цену Договора.</w:t>
      </w:r>
    </w:p>
    <w:p>
      <w:pPr>
        <w:pStyle w:val="ListNumber"/>
        <w:widowControl w:val="false"/>
        <w:tabs>
          <w:tab w:val="clear" w:pos="720"/>
          <w:tab w:val="left" w:pos="708" w:leader="none"/>
        </w:tabs>
        <w:bidi w:val="0"/>
        <w:spacing w:lineRule="auto" w:line="240"/>
        <w:ind w:left="0" w:right="0" w:hanging="0"/>
        <w:jc w:val="both"/>
        <w:rPr/>
      </w:pPr>
      <w:r>
        <w:rPr>
          <w:rFonts w:cs="Times New Roman"/>
          <w:b/>
          <w:bCs/>
          <w:i/>
          <w:iCs/>
          <w:szCs w:val="20"/>
          <w:lang w:eastAsia="ru-RU"/>
        </w:rPr>
        <w:t>Внести изменения в Техническое задание согласно Приложению 14 к решению.</w:t>
      </w:r>
    </w:p>
    <w:p>
      <w:pPr>
        <w:pStyle w:val="ListNumber"/>
        <w:widowControl w:val="false"/>
        <w:tabs>
          <w:tab w:val="clear" w:pos="720"/>
          <w:tab w:val="left" w:pos="708" w:leader="none"/>
        </w:tabs>
        <w:bidi w:val="0"/>
        <w:spacing w:lineRule="auto" w:line="240"/>
        <w:ind w:left="0" w:right="0" w:hanging="0"/>
        <w:jc w:val="both"/>
        <w:rPr/>
      </w:pPr>
      <w:r>
        <w:rPr>
          <w:rFonts w:cs="Times New Roman"/>
          <w:b/>
          <w:bCs/>
          <w:i/>
          <w:iCs/>
          <w:szCs w:val="20"/>
          <w:lang w:eastAsia="ru-RU"/>
        </w:rPr>
        <w:t>Цена Договора с учетом Дополнительного соглашения: является предельной и составляет 34 916 487 (Тридцать четыре миллиона девятьсот шестнадцать тысяч четыреста восемьдесят семь) рублей 57 копеек без учета НДС, при этом НДС исчисляется дополнительно по ставке, установленной статьей 164 Налогового кодекса Российской Федерации.</w:t>
      </w:r>
    </w:p>
    <w:p>
      <w:pPr>
        <w:pStyle w:val="ListNumber"/>
        <w:widowControl w:val="false"/>
        <w:tabs>
          <w:tab w:val="clear" w:pos="720"/>
          <w:tab w:val="left" w:pos="708" w:leader="none"/>
        </w:tabs>
        <w:bidi w:val="0"/>
        <w:spacing w:lineRule="auto" w:line="240"/>
        <w:ind w:left="0" w:right="0" w:hanging="0"/>
        <w:jc w:val="both"/>
        <w:rPr/>
      </w:pPr>
      <w:r>
        <w:rPr>
          <w:rFonts w:cs="Times New Roman"/>
          <w:b/>
          <w:bCs/>
          <w:i/>
          <w:iCs/>
          <w:szCs w:val="20"/>
          <w:lang w:eastAsia="ru-RU"/>
        </w:rPr>
        <w:t>Срок окончания выполнения работ с учетом Дополнительного соглашения:</w:t>
      </w:r>
    </w:p>
    <w:p>
      <w:pPr>
        <w:pStyle w:val="ListNumber"/>
        <w:widowControl w:val="false"/>
        <w:tabs>
          <w:tab w:val="clear" w:pos="720"/>
          <w:tab w:val="left" w:pos="708" w:leader="none"/>
        </w:tabs>
        <w:bidi w:val="0"/>
        <w:spacing w:lineRule="auto" w:line="240"/>
        <w:ind w:left="0" w:right="0" w:hanging="0"/>
        <w:jc w:val="both"/>
        <w:rPr/>
      </w:pPr>
      <w:r>
        <w:rPr>
          <w:rFonts w:cs="Times New Roman"/>
          <w:b/>
          <w:bCs/>
          <w:i/>
          <w:iCs/>
          <w:szCs w:val="20"/>
          <w:lang w:eastAsia="ru-RU"/>
        </w:rPr>
        <w:t>26.12.2025.</w:t>
      </w:r>
    </w:p>
    <w:p>
      <w:pPr>
        <w:pStyle w:val="ListNumber"/>
        <w:widowControl w:val="false"/>
        <w:tabs>
          <w:tab w:val="clear" w:pos="720"/>
          <w:tab w:val="left" w:pos="708" w:leader="none"/>
        </w:tabs>
        <w:bidi w:val="0"/>
        <w:spacing w:lineRule="auto" w:line="240"/>
        <w:ind w:left="0" w:right="0" w:hanging="0"/>
        <w:jc w:val="both"/>
        <w:rPr/>
      </w:pPr>
      <w:r>
        <w:rPr>
          <w:rFonts w:cs="Times New Roman"/>
          <w:b/>
          <w:bCs/>
          <w:i/>
          <w:iCs/>
          <w:szCs w:val="20"/>
          <w:lang w:eastAsia="ru-RU"/>
        </w:rPr>
        <w:t>Срок действия Дополнительного соглашения: Дополнительное соглашение вступает в силу с даты подписания Сторонами и является неотъемлемой частью Договора. В соответствии с пунктом 2 статьи 425 Гражданского кодекса Российской Федерации условия Соглашения применяются к отношениям Сторон, возникшим с 21.10.2025.</w:t>
      </w:r>
    </w:p>
    <w:p>
      <w:pPr>
        <w:pStyle w:val="ListNumber"/>
        <w:widowControl w:val="false"/>
        <w:tabs>
          <w:tab w:val="clear" w:pos="720"/>
          <w:tab w:val="left" w:pos="708" w:leader="none"/>
        </w:tabs>
        <w:bidi w:val="0"/>
        <w:spacing w:lineRule="auto" w:line="240"/>
        <w:ind w:left="0" w:right="0" w:hanging="0"/>
        <w:jc w:val="both"/>
        <w:rPr>
          <w:rFonts w:ascii="Arial Narrow" w:hAnsi="Arial Narrow" w:eastAsia="Times New Roman" w:cs="Arial Narrow"/>
          <w:color w:val="000000"/>
          <w:sz w:val="20"/>
          <w:szCs w:val="20"/>
          <w:lang w:val="ru-RU" w:eastAsia="zh-CN" w:bidi="ar-SA"/>
        </w:rPr>
      </w:pPr>
      <w:r>
        <w:rPr>
          <w:rFonts w:eastAsia="Times New Roman" w:cs="Arial Narrow" w:ascii="Arial Narrow" w:hAnsi="Arial Narrow"/>
          <w:color w:val="000000"/>
          <w:sz w:val="20"/>
          <w:szCs w:val="20"/>
          <w:lang w:val="ru-RU" w:eastAsia="zh-CN" w:bidi="ar-SA"/>
        </w:rPr>
      </w:r>
    </w:p>
    <w:p>
      <w:pPr>
        <w:pStyle w:val="Normal"/>
        <w:spacing w:lineRule="auto" w:line="240"/>
        <w:jc w:val="both"/>
        <w:rPr/>
      </w:pPr>
      <w:r>
        <w:rPr>
          <w:rFonts w:cs="Times New Roman"/>
          <w:szCs w:val="20"/>
        </w:rPr>
        <w:t xml:space="preserve">Орган управления эмитента, принявший решение о согласии на ее совершение или ее последующем одобрении: </w:t>
      </w:r>
      <w:r>
        <w:rPr>
          <w:rFonts w:cs="Times New Roman"/>
          <w:b/>
          <w:bCs/>
          <w:i/>
          <w:iCs/>
          <w:szCs w:val="20"/>
        </w:rPr>
        <w:t>Совет директоров ПАО «Камчатскэнерго» (Протокол № 10 от 26.12.2026)</w:t>
      </w:r>
    </w:p>
    <w:p>
      <w:pPr>
        <w:pStyle w:val="Normal"/>
        <w:spacing w:lineRule="auto" w:line="240"/>
        <w:jc w:val="both"/>
        <w:rPr>
          <w:rFonts w:cs="Times New Roman"/>
          <w:szCs w:val="20"/>
        </w:rPr>
      </w:pPr>
      <w:r>
        <w:rPr>
          <w:rFonts w:cs="Times New Roman"/>
          <w:szCs w:val="20"/>
        </w:rPr>
      </w:r>
    </w:p>
    <w:p>
      <w:pPr>
        <w:pStyle w:val="Normal"/>
        <w:spacing w:lineRule="auto" w:line="240"/>
        <w:jc w:val="both"/>
        <w:rPr/>
      </w:pPr>
      <w:r>
        <w:rPr>
          <w:rFonts w:cs="Times New Roman"/>
          <w:szCs w:val="20"/>
        </w:rPr>
        <w:t xml:space="preserve">Размер сделки (группы взаимосвязанных сделок) составлял 2 и более процента балансовой стоимости активов эмитента: </w:t>
      </w:r>
      <w:r>
        <w:rPr>
          <w:rFonts w:cs="Times New Roman"/>
          <w:b/>
          <w:bCs/>
          <w:i/>
          <w:iCs/>
          <w:szCs w:val="20"/>
        </w:rPr>
        <w:t>Нет</w:t>
      </w:r>
    </w:p>
    <w:p>
      <w:pPr>
        <w:pStyle w:val="2"/>
        <w:spacing w:before="240" w:after="40"/>
        <w:contextualSpacing/>
        <w:jc w:val="both"/>
        <w:rPr/>
      </w:pPr>
      <w:r>
        <w:rPr>
          <w:rFonts w:eastAsia="0" w:cs="0"/>
          <w:color w:val="000000"/>
          <w:lang w:bidi="hi-IN"/>
        </w:rPr>
        <w:t>3.5. Крупные сделки эмитента.</w:t>
      </w:r>
    </w:p>
    <w:p>
      <w:pPr>
        <w:pStyle w:val="2"/>
        <w:spacing w:before="240" w:after="40"/>
        <w:contextualSpacing/>
        <w:jc w:val="both"/>
        <w:rPr/>
      </w:pPr>
      <w:r>
        <w:rPr/>
      </w:r>
    </w:p>
    <w:p>
      <w:pPr>
        <w:pStyle w:val="Normal"/>
        <w:jc w:val="both"/>
        <w:rPr/>
      </w:pPr>
      <w:r>
        <w:rPr/>
        <w:t xml:space="preserve">Эмитент, акции которого допущены к организованным торгам, приводит перечень совершенных им в отчетном году сделок, признаваемых в соответствии с Федеральным законом "Об акционерных обществах" крупными сделками, с указанием по каждой сделке ее существенных условий и органа управления эмитента, принявшего решение о согласии на ее совершение или ее последующем одобрении. </w:t>
      </w:r>
    </w:p>
    <w:p>
      <w:pPr>
        <w:pStyle w:val="Normal"/>
        <w:jc w:val="both"/>
        <w:rPr/>
      </w:pPr>
      <w:r>
        <w:rPr>
          <w:b/>
          <w:i/>
          <w:iCs/>
          <w:szCs w:val="20"/>
        </w:rPr>
        <w:t>Сделки, совершенные Обществом в отчетном году и признаваемые в соответствии с Федеральным законом «Об акционерных обществах» крупными сделками не совершались.</w:t>
      </w:r>
    </w:p>
    <w:p>
      <w:pPr>
        <w:pStyle w:val="1"/>
        <w:spacing w:before="360" w:after="120"/>
        <w:contextualSpacing/>
        <w:jc w:val="both"/>
        <w:rPr/>
      </w:pPr>
      <w:r>
        <w:rPr/>
        <w:t>Раздел 4. Дополнительные сведения об эмитенте и о размещенных им ценных бумага</w:t>
      </w:r>
    </w:p>
    <w:p>
      <w:pPr>
        <w:pStyle w:val="2"/>
        <w:spacing w:before="240" w:after="40"/>
        <w:contextualSpacing/>
        <w:jc w:val="both"/>
        <w:rPr/>
      </w:pPr>
      <w:r>
        <w:rPr/>
        <w:t>4.1. Подконтрольные эмитенту организации, имеющие для него существенное значение</w:t>
      </w:r>
    </w:p>
    <w:p>
      <w:pPr>
        <w:pStyle w:val="Normal"/>
        <w:spacing w:before="20" w:after="40"/>
        <w:contextualSpacing/>
        <w:jc w:val="both"/>
        <w:rPr>
          <w:rFonts w:ascii="Times New Roman" w:hAnsi="Times New Roman"/>
          <w:sz w:val="24"/>
        </w:rPr>
      </w:pPr>
      <w:r>
        <w:rPr>
          <w:rFonts w:ascii="Times New Roman" w:hAnsi="Times New Roman"/>
          <w:sz w:val="24"/>
        </w:rPr>
      </w:r>
    </w:p>
    <w:p>
      <w:pPr>
        <w:pStyle w:val="Normal"/>
        <w:spacing w:before="20" w:after="40"/>
        <w:contextualSpacing/>
        <w:jc w:val="both"/>
        <w:rPr/>
      </w:pPr>
      <w:r>
        <w:rPr/>
        <w:t>Полное фирменное наименование:</w:t>
      </w:r>
      <w:r>
        <w:rPr>
          <w:b/>
          <w:i/>
        </w:rPr>
        <w:t xml:space="preserve"> Акционерное общество «Южные электрические сети Камчатки»</w:t>
      </w:r>
    </w:p>
    <w:p>
      <w:pPr>
        <w:pStyle w:val="Normal"/>
        <w:spacing w:before="20" w:after="40"/>
        <w:contextualSpacing/>
        <w:jc w:val="both"/>
        <w:rPr/>
      </w:pPr>
      <w:r>
        <w:rPr/>
        <w:t>Сокращенное фирменное наименование:</w:t>
      </w:r>
      <w:r>
        <w:rPr>
          <w:b/>
          <w:i/>
        </w:rPr>
        <w:t xml:space="preserve"> АО «ЮЭСК»</w:t>
      </w:r>
    </w:p>
    <w:p>
      <w:pPr>
        <w:pStyle w:val="SubHeading"/>
        <w:spacing w:before="240" w:after="40"/>
        <w:contextualSpacing/>
        <w:jc w:val="both"/>
        <w:rPr/>
      </w:pPr>
      <w:r>
        <w:rPr/>
        <w:t xml:space="preserve">Место нахождения: </w:t>
      </w:r>
      <w:r>
        <w:rPr>
          <w:b/>
          <w:i/>
        </w:rPr>
        <w:t>Камчатский край, г Петропавловск- Камчатский</w:t>
      </w:r>
    </w:p>
    <w:p>
      <w:pPr>
        <w:pStyle w:val="Normal"/>
        <w:spacing w:before="20" w:after="40"/>
        <w:contextualSpacing/>
        <w:jc w:val="both"/>
        <w:rPr/>
      </w:pPr>
      <w:r>
        <w:rPr/>
        <w:t>ИНН:</w:t>
      </w:r>
      <w:r>
        <w:rPr>
          <w:b/>
          <w:i/>
        </w:rPr>
        <w:t xml:space="preserve"> 4101101796</w:t>
      </w:r>
    </w:p>
    <w:p>
      <w:pPr>
        <w:pStyle w:val="Normal"/>
        <w:spacing w:before="20" w:after="40"/>
        <w:contextualSpacing/>
        <w:jc w:val="both"/>
        <w:rPr/>
      </w:pPr>
      <w:r>
        <w:rPr/>
        <w:t>ОГРН:</w:t>
      </w:r>
      <w:r>
        <w:rPr>
          <w:b/>
          <w:i/>
        </w:rPr>
        <w:t xml:space="preserve"> 1054100032744</w:t>
      </w:r>
    </w:p>
    <w:p>
      <w:pPr>
        <w:pStyle w:val="Normal"/>
        <w:spacing w:before="20" w:after="40"/>
        <w:contextualSpacing/>
        <w:jc w:val="both"/>
        <w:rPr/>
      </w:pPr>
      <w:r>
        <w:rPr/>
        <w:t>Вид контроля:</w:t>
      </w:r>
      <w:r>
        <w:rPr>
          <w:b/>
          <w:i/>
        </w:rPr>
        <w:t xml:space="preserve"> прямой контроль</w:t>
      </w:r>
    </w:p>
    <w:p>
      <w:pPr>
        <w:pStyle w:val="ThinDelim"/>
        <w:spacing w:before="20" w:after="40"/>
        <w:contextualSpacing/>
        <w:jc w:val="both"/>
        <w:rPr/>
      </w:pPr>
      <w:r>
        <w:rPr>
          <w:sz w:val="20"/>
        </w:rPr>
        <w:t xml:space="preserve">Признак осуществления эмитентом контроля над организацией, в отношении которой он является контролирующим лицом: </w:t>
      </w:r>
      <w:r>
        <w:rPr>
          <w:b/>
          <w:i/>
          <w:sz w:val="20"/>
        </w:rPr>
        <w:t>право прямо распоряжаться в силу участия в подконтрольной организации более 50 процентами голосов в высшем органе управления подконтрольной эмитенту организации</w:t>
      </w:r>
    </w:p>
    <w:p>
      <w:pPr>
        <w:pStyle w:val="ThinDelim"/>
        <w:spacing w:before="20" w:after="40"/>
        <w:contextualSpacing/>
        <w:jc w:val="both"/>
        <w:rPr>
          <w:sz w:val="20"/>
        </w:rPr>
      </w:pPr>
      <w:r>
        <w:rPr>
          <w:sz w:val="20"/>
        </w:rPr>
      </w:r>
    </w:p>
    <w:p>
      <w:pPr>
        <w:pStyle w:val="ThinDelim"/>
        <w:spacing w:before="20" w:after="40"/>
        <w:contextualSpacing/>
        <w:jc w:val="both"/>
        <w:rPr/>
      </w:pPr>
      <w:r>
        <w:rPr>
          <w:sz w:val="20"/>
        </w:rPr>
        <w:t xml:space="preserve">Доля эмитента в уставном капитале подконтрольной организации, %: </w:t>
      </w:r>
      <w:r>
        <w:rPr>
          <w:b/>
          <w:i/>
          <w:sz w:val="20"/>
        </w:rPr>
        <w:t xml:space="preserve">100 </w:t>
      </w:r>
    </w:p>
    <w:p>
      <w:pPr>
        <w:pStyle w:val="ThinDelim"/>
        <w:spacing w:before="20" w:after="40"/>
        <w:contextualSpacing/>
        <w:jc w:val="both"/>
        <w:rPr/>
      </w:pPr>
      <w:r>
        <w:rPr>
          <w:sz w:val="20"/>
        </w:rPr>
        <w:t xml:space="preserve">Доля обыкновенных акций, принадлежащих эмитенту, %: </w:t>
      </w:r>
      <w:r>
        <w:rPr>
          <w:b/>
          <w:i/>
          <w:sz w:val="20"/>
        </w:rPr>
        <w:t>100</w:t>
      </w:r>
      <w:r>
        <w:rPr>
          <w:sz w:val="20"/>
        </w:rPr>
        <w:t xml:space="preserve"> </w:t>
      </w:r>
    </w:p>
    <w:p>
      <w:pPr>
        <w:pStyle w:val="ThinDelim"/>
        <w:spacing w:before="20" w:after="40"/>
        <w:contextualSpacing/>
        <w:jc w:val="both"/>
        <w:rPr>
          <w:sz w:val="20"/>
        </w:rPr>
      </w:pPr>
      <w:r>
        <w:rPr>
          <w:sz w:val="20"/>
        </w:rPr>
      </w:r>
    </w:p>
    <w:p>
      <w:pPr>
        <w:pStyle w:val="ThinDelim"/>
        <w:spacing w:before="20" w:after="40"/>
        <w:contextualSpacing/>
        <w:jc w:val="both"/>
        <w:rPr/>
      </w:pPr>
      <w:r>
        <w:rPr>
          <w:sz w:val="20"/>
        </w:rPr>
        <w:t xml:space="preserve">Количество обыкновенных акций подконтрольной организации, принадлежащих эмитенту: </w:t>
      </w:r>
      <w:r>
        <w:rPr>
          <w:b/>
          <w:i/>
          <w:sz w:val="20"/>
        </w:rPr>
        <w:t>887 802 560</w:t>
      </w:r>
    </w:p>
    <w:p>
      <w:pPr>
        <w:pStyle w:val="Normal"/>
        <w:spacing w:before="20" w:after="40"/>
        <w:contextualSpacing/>
        <w:jc w:val="both"/>
        <w:rPr/>
      </w:pPr>
      <w:r>
        <w:rPr/>
        <w:t>Общая номинальная стоимость обыкновенных акций подконтрольной организации, принадлежащих эмитенту:</w:t>
      </w:r>
      <w:r>
        <w:rPr>
          <w:b/>
          <w:i/>
        </w:rPr>
        <w:t xml:space="preserve"> 887 802 560</w:t>
      </w:r>
    </w:p>
    <w:p>
      <w:pPr>
        <w:pStyle w:val="Normal"/>
        <w:spacing w:before="20" w:after="40"/>
        <w:contextualSpacing/>
        <w:jc w:val="both"/>
        <w:rPr/>
      </w:pPr>
      <w:r>
        <w:rPr/>
        <w:t>Общая балансовая стоимость обыкновенных акций подконтрольной организации, принадлежащих эмитенту:</w:t>
      </w:r>
      <w:r>
        <w:rPr>
          <w:b/>
          <w:i/>
        </w:rPr>
        <w:t>571 197 346.31</w:t>
      </w:r>
    </w:p>
    <w:p>
      <w:pPr>
        <w:pStyle w:val="Normal"/>
        <w:spacing w:before="20" w:after="40"/>
        <w:contextualSpacing/>
        <w:jc w:val="both"/>
        <w:rPr/>
      </w:pPr>
      <w:r>
        <w:rPr/>
        <w:t>Размер доли подконтрольной организации в уставном капитале эмитента:</w:t>
      </w:r>
      <w:r>
        <w:rPr>
          <w:b/>
          <w:i/>
        </w:rPr>
        <w:t xml:space="preserve"> 0.045%</w:t>
      </w:r>
    </w:p>
    <w:p>
      <w:pPr>
        <w:pStyle w:val="Normal"/>
        <w:spacing w:before="20" w:after="40"/>
        <w:contextualSpacing/>
        <w:jc w:val="both"/>
        <w:rPr/>
      </w:pPr>
      <w:r>
        <w:rPr/>
        <w:t>Размер доли обыкновенных акций эмитента, принадлежащих подконтрольной организации:</w:t>
      </w:r>
      <w:r>
        <w:rPr>
          <w:b/>
          <w:i/>
        </w:rPr>
        <w:t xml:space="preserve"> 0.021%</w:t>
      </w:r>
    </w:p>
    <w:p>
      <w:pPr>
        <w:pStyle w:val="Normal"/>
        <w:spacing w:before="20" w:after="40"/>
        <w:contextualSpacing/>
        <w:jc w:val="both"/>
        <w:rPr/>
      </w:pPr>
      <w:r>
        <w:rPr/>
      </w:r>
    </w:p>
    <w:p>
      <w:pPr>
        <w:pStyle w:val="Normal"/>
        <w:spacing w:before="20" w:after="40"/>
        <w:contextualSpacing/>
        <w:jc w:val="both"/>
        <w:rPr/>
      </w:pPr>
      <w:r>
        <w:rPr/>
        <w:t>Описание основного вида деятельности подконтрольной организации:</w:t>
        <w:br/>
      </w:r>
      <w:r>
        <w:rPr>
          <w:b/>
          <w:i/>
        </w:rPr>
        <w:t>поставка (продажа) электрической и тепловой энергии по установленным тарифам, получение (покупка) электрической энергии с регионального и оптового рынка электрической энергии (мощности), получение (покупка) тепло- и электроэнергии у их производителей, производство    и электрической и тепловой энергии, диспетчерское управление и соблюдение режимов энергосбережения и энергопотребления, обеспечение эксплуатации энергетического оборудования, оказание услуг по реализации энергии энергоснабжающим организациям.</w:t>
      </w:r>
    </w:p>
    <w:p>
      <w:pPr>
        <w:pStyle w:val="SubHeading"/>
        <w:spacing w:before="240" w:after="40"/>
        <w:contextualSpacing/>
        <w:jc w:val="both"/>
        <w:rPr/>
      </w:pPr>
      <w:r>
        <w:rPr/>
        <w:t>Состав совета директоров (наблюдательного совета) подконтрольной организации</w:t>
      </w:r>
    </w:p>
    <w:p>
      <w:pPr>
        <w:pStyle w:val="SubHeading"/>
        <w:spacing w:before="240" w:after="40"/>
        <w:contextualSpacing/>
        <w:jc w:val="both"/>
        <w:rPr>
          <w:b/>
          <w:bCs/>
          <w:i/>
          <w:i/>
          <w:iCs/>
          <w:sz w:val="18"/>
          <w:szCs w:val="18"/>
          <w:shd w:fill="FFFF00" w:val="clear"/>
        </w:rPr>
      </w:pPr>
      <w:r>
        <w:rPr>
          <w:b/>
          <w:bCs/>
          <w:i/>
          <w:iCs/>
          <w:sz w:val="18"/>
          <w:szCs w:val="18"/>
          <w:shd w:fill="FFFF00" w:val="clear"/>
        </w:rPr>
      </w:r>
    </w:p>
    <w:tbl>
      <w:tblPr>
        <w:tblW w:w="9210" w:type="dxa"/>
        <w:jc w:val="left"/>
        <w:tblInd w:w="31" w:type="dxa"/>
        <w:tblLayout w:type="fixed"/>
        <w:tblCellMar>
          <w:top w:w="0" w:type="dxa"/>
          <w:left w:w="72" w:type="dxa"/>
          <w:bottom w:w="0" w:type="dxa"/>
          <w:right w:w="72" w:type="dxa"/>
        </w:tblCellMar>
        <w:tblLook w:noVBand="1" w:val="04a0" w:noHBand="0" w:lastColumn="0" w:firstColumn="1" w:lastRow="0" w:firstRow="1"/>
      </w:tblPr>
      <w:tblGrid>
        <w:gridCol w:w="3718"/>
        <w:gridCol w:w="2657"/>
        <w:gridCol w:w="2835"/>
      </w:tblGrid>
      <w:tr>
        <w:trPr/>
        <w:tc>
          <w:tcPr>
            <w:tcW w:w="3718"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pPr>
            <w:r>
              <w:rPr>
                <w:b/>
                <w:bCs/>
                <w:i/>
                <w:iCs/>
                <w:sz w:val="18"/>
                <w:szCs w:val="18"/>
              </w:rPr>
              <w:t>ФИО</w:t>
            </w:r>
          </w:p>
        </w:tc>
        <w:tc>
          <w:tcPr>
            <w:tcW w:w="265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pPr>
            <w:r>
              <w:rPr>
                <w:b/>
                <w:bCs/>
                <w:i/>
                <w:iCs/>
                <w:sz w:val="18"/>
                <w:szCs w:val="18"/>
              </w:rPr>
              <w:t>Доля участия лица в уставном капитале эмитента, %</w:t>
            </w:r>
          </w:p>
        </w:tc>
        <w:tc>
          <w:tcPr>
            <w:tcW w:w="283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pPr>
            <w:r>
              <w:rPr>
                <w:b/>
                <w:bCs/>
                <w:i/>
                <w:iCs/>
                <w:sz w:val="18"/>
                <w:szCs w:val="18"/>
              </w:rPr>
              <w:t>Доля принадлежащих лицу обыкновенных акций эмитента, %</w:t>
            </w:r>
          </w:p>
        </w:tc>
      </w:tr>
      <w:tr>
        <w:trPr/>
        <w:tc>
          <w:tcPr>
            <w:tcW w:w="3718" w:type="dxa"/>
            <w:tcBorders>
              <w:top w:val="single" w:sz="6" w:space="0" w:color="000000"/>
              <w:left w:val="single" w:sz="6" w:space="0" w:color="000000"/>
              <w:bottom w:val="single" w:sz="6" w:space="0" w:color="000000"/>
              <w:right w:val="single" w:sz="6" w:space="0" w:color="000000"/>
            </w:tcBorders>
          </w:tcPr>
          <w:p>
            <w:pPr>
              <w:pStyle w:val="ThinDelim"/>
              <w:widowControl w:val="false"/>
              <w:spacing w:before="20" w:after="40"/>
              <w:contextualSpacing/>
              <w:jc w:val="both"/>
              <w:rPr>
                <w:highlight w:val="none"/>
                <w:shd w:fill="auto" w:val="clear"/>
              </w:rPr>
            </w:pPr>
            <w:r>
              <w:rPr>
                <w:b/>
                <w:bCs/>
                <w:i/>
                <w:iCs/>
                <w:sz w:val="18"/>
                <w:szCs w:val="18"/>
                <w:shd w:fill="auto" w:val="clear"/>
              </w:rPr>
              <w:t>Мурзинцев Виктор Юрьевич</w:t>
            </w:r>
          </w:p>
        </w:tc>
        <w:tc>
          <w:tcPr>
            <w:tcW w:w="265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pPr>
            <w:r>
              <w:rPr>
                <w:b/>
                <w:bCs/>
                <w:i/>
                <w:iCs/>
                <w:sz w:val="18"/>
                <w:szCs w:val="18"/>
              </w:rPr>
              <w:t>0</w:t>
            </w:r>
          </w:p>
        </w:tc>
        <w:tc>
          <w:tcPr>
            <w:tcW w:w="283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pPr>
            <w:r>
              <w:rPr>
                <w:b/>
                <w:bCs/>
                <w:i/>
                <w:iCs/>
                <w:sz w:val="18"/>
                <w:szCs w:val="18"/>
              </w:rPr>
              <w:t>0</w:t>
            </w:r>
          </w:p>
        </w:tc>
      </w:tr>
      <w:tr>
        <w:trPr/>
        <w:tc>
          <w:tcPr>
            <w:tcW w:w="3718" w:type="dxa"/>
            <w:tcBorders>
              <w:top w:val="single" w:sz="6" w:space="0" w:color="000000"/>
              <w:left w:val="single" w:sz="6" w:space="0" w:color="000000"/>
              <w:bottom w:val="single" w:sz="6" w:space="0" w:color="000000"/>
              <w:right w:val="single" w:sz="6" w:space="0" w:color="000000"/>
            </w:tcBorders>
          </w:tcPr>
          <w:p>
            <w:pPr>
              <w:pStyle w:val="Normal"/>
              <w:widowControl w:val="false"/>
              <w:bidi w:val="0"/>
              <w:spacing w:before="23" w:after="40"/>
              <w:contextualSpacing/>
              <w:jc w:val="left"/>
              <w:rPr>
                <w:rFonts w:ascii="0" w:hAnsi="0" w:eastAsia="0" w:cs="0"/>
                <w:b/>
                <w:bCs/>
                <w:i/>
                <w:i/>
                <w:iCs/>
                <w:color w:val="000000"/>
                <w:kern w:val="0"/>
                <w:sz w:val="18"/>
                <w:szCs w:val="18"/>
                <w:highlight w:val="none"/>
                <w:shd w:fill="auto" w:val="clear"/>
                <w:lang w:val="ru-RU" w:eastAsia="zh-CN" w:bidi="hi-IN"/>
              </w:rPr>
            </w:pPr>
            <w:r>
              <w:rPr>
                <w:rFonts w:eastAsia="0" w:cs="0"/>
                <w:b/>
                <w:bCs/>
                <w:i/>
                <w:iCs/>
                <w:color w:val="000000"/>
                <w:kern w:val="0"/>
                <w:sz w:val="18"/>
                <w:szCs w:val="18"/>
                <w:shd w:fill="auto" w:val="clear"/>
                <w:lang w:val="ru-RU" w:eastAsia="zh-CN" w:bidi="hi-IN"/>
              </w:rPr>
              <w:t>Коптяков Станислав Сергеевич</w:t>
            </w:r>
          </w:p>
        </w:tc>
        <w:tc>
          <w:tcPr>
            <w:tcW w:w="265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pPr>
            <w:r>
              <w:rPr>
                <w:b/>
                <w:bCs/>
                <w:i/>
                <w:iCs/>
                <w:sz w:val="18"/>
                <w:szCs w:val="18"/>
              </w:rPr>
              <w:t>0</w:t>
            </w:r>
          </w:p>
        </w:tc>
        <w:tc>
          <w:tcPr>
            <w:tcW w:w="283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pPr>
            <w:r>
              <w:rPr>
                <w:b/>
                <w:bCs/>
                <w:i/>
                <w:iCs/>
                <w:sz w:val="18"/>
                <w:szCs w:val="18"/>
              </w:rPr>
              <w:t>0</w:t>
            </w:r>
          </w:p>
        </w:tc>
      </w:tr>
      <w:tr>
        <w:trPr/>
        <w:tc>
          <w:tcPr>
            <w:tcW w:w="3718"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highlight w:val="none"/>
                <w:shd w:fill="auto" w:val="clear"/>
              </w:rPr>
            </w:pPr>
            <w:r>
              <w:rPr>
                <w:b/>
                <w:bCs/>
                <w:i/>
                <w:iCs/>
                <w:sz w:val="18"/>
                <w:szCs w:val="18"/>
                <w:shd w:fill="auto" w:val="clear"/>
              </w:rPr>
              <w:t>Власов Алексей Валерьевич</w:t>
            </w:r>
          </w:p>
        </w:tc>
        <w:tc>
          <w:tcPr>
            <w:tcW w:w="265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pPr>
            <w:r>
              <w:rPr>
                <w:b/>
                <w:bCs/>
                <w:i/>
                <w:iCs/>
                <w:sz w:val="18"/>
                <w:szCs w:val="18"/>
              </w:rPr>
              <w:t>0</w:t>
            </w:r>
          </w:p>
        </w:tc>
        <w:tc>
          <w:tcPr>
            <w:tcW w:w="283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pPr>
            <w:r>
              <w:rPr>
                <w:b/>
                <w:bCs/>
                <w:i/>
                <w:iCs/>
                <w:sz w:val="18"/>
                <w:szCs w:val="18"/>
              </w:rPr>
              <w:t>0</w:t>
            </w:r>
          </w:p>
        </w:tc>
      </w:tr>
      <w:tr>
        <w:trPr/>
        <w:tc>
          <w:tcPr>
            <w:tcW w:w="3718"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highlight w:val="none"/>
                <w:shd w:fill="auto" w:val="clear"/>
              </w:rPr>
            </w:pPr>
            <w:r>
              <w:rPr>
                <w:b/>
                <w:bCs/>
                <w:i/>
                <w:iCs/>
                <w:sz w:val="18"/>
                <w:szCs w:val="18"/>
                <w:shd w:fill="auto" w:val="clear"/>
              </w:rPr>
              <w:t>Малков Денис Александрович- председатель</w:t>
            </w:r>
          </w:p>
        </w:tc>
        <w:tc>
          <w:tcPr>
            <w:tcW w:w="265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pPr>
            <w:r>
              <w:rPr>
                <w:b/>
                <w:bCs/>
                <w:i/>
                <w:iCs/>
                <w:sz w:val="18"/>
                <w:szCs w:val="18"/>
              </w:rPr>
              <w:t>0</w:t>
            </w:r>
          </w:p>
        </w:tc>
        <w:tc>
          <w:tcPr>
            <w:tcW w:w="283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pPr>
            <w:r>
              <w:rPr>
                <w:b/>
                <w:bCs/>
                <w:i/>
                <w:iCs/>
                <w:sz w:val="18"/>
                <w:szCs w:val="18"/>
              </w:rPr>
              <w:t>0</w:t>
            </w:r>
          </w:p>
        </w:tc>
      </w:tr>
      <w:tr>
        <w:trPr/>
        <w:tc>
          <w:tcPr>
            <w:tcW w:w="3718"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highlight w:val="none"/>
                <w:shd w:fill="auto" w:val="clear"/>
              </w:rPr>
            </w:pPr>
            <w:r>
              <w:rPr>
                <w:b/>
                <w:bCs/>
                <w:i/>
                <w:iCs/>
                <w:sz w:val="18"/>
                <w:szCs w:val="18"/>
                <w:shd w:fill="auto" w:val="clear"/>
              </w:rPr>
              <w:t>Новиков Алексей Николаевич</w:t>
            </w:r>
          </w:p>
        </w:tc>
        <w:tc>
          <w:tcPr>
            <w:tcW w:w="265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pPr>
            <w:r>
              <w:rPr>
                <w:b/>
                <w:bCs/>
                <w:i/>
                <w:iCs/>
                <w:sz w:val="18"/>
                <w:szCs w:val="18"/>
              </w:rPr>
              <w:t>0</w:t>
            </w:r>
          </w:p>
        </w:tc>
        <w:tc>
          <w:tcPr>
            <w:tcW w:w="283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pPr>
            <w:r>
              <w:rPr>
                <w:b/>
                <w:bCs/>
                <w:i/>
                <w:iCs/>
                <w:sz w:val="18"/>
                <w:szCs w:val="18"/>
              </w:rPr>
              <w:t>0</w:t>
            </w:r>
          </w:p>
        </w:tc>
      </w:tr>
    </w:tbl>
    <w:p>
      <w:pPr>
        <w:pStyle w:val="Normal"/>
        <w:spacing w:before="20" w:after="40"/>
        <w:contextualSpacing/>
        <w:jc w:val="both"/>
        <w:rPr>
          <w:b/>
          <w:bCs/>
          <w:i/>
          <w:i/>
          <w:iCs/>
          <w:sz w:val="18"/>
          <w:szCs w:val="18"/>
        </w:rPr>
      </w:pPr>
      <w:r>
        <w:rPr>
          <w:b/>
          <w:bCs/>
          <w:i/>
          <w:iCs/>
          <w:sz w:val="18"/>
          <w:szCs w:val="18"/>
        </w:rPr>
      </w:r>
    </w:p>
    <w:p>
      <w:pPr>
        <w:pStyle w:val="ThinDelim"/>
        <w:spacing w:before="20" w:after="40"/>
        <w:contextualSpacing/>
        <w:jc w:val="both"/>
        <w:rPr/>
      </w:pPr>
      <w:r>
        <w:rPr>
          <w:sz w:val="20"/>
        </w:rPr>
        <w:t xml:space="preserve">Состав коллегиального исполнительного органа подконтрольной организации: </w:t>
      </w:r>
      <w:r>
        <w:rPr>
          <w:b/>
          <w:i/>
          <w:sz w:val="20"/>
        </w:rPr>
        <w:t>Коллегиальный исполнительный орган не сформирован; причина – не предусмотрен уставом.</w:t>
      </w:r>
    </w:p>
    <w:p>
      <w:pPr>
        <w:pStyle w:val="ThinDelim"/>
        <w:spacing w:before="20" w:after="40"/>
        <w:contextualSpacing/>
        <w:jc w:val="both"/>
        <w:rPr/>
      </w:pPr>
      <w:r>
        <w:rPr/>
      </w:r>
    </w:p>
    <w:p>
      <w:pPr>
        <w:pStyle w:val="SubHeading"/>
        <w:spacing w:before="240" w:after="40"/>
        <w:contextualSpacing/>
        <w:jc w:val="both"/>
        <w:rPr/>
      </w:pPr>
      <w:r>
        <w:rPr/>
        <w:t>Единоличный исполнительный орган подконтрольной организации</w:t>
      </w:r>
    </w:p>
    <w:p>
      <w:pPr>
        <w:pStyle w:val="ThinDelim"/>
        <w:spacing w:before="20" w:after="40"/>
        <w:contextualSpacing/>
        <w:jc w:val="both"/>
        <w:rPr/>
      </w:pPr>
      <w:r>
        <w:rPr/>
      </w:r>
    </w:p>
    <w:tbl>
      <w:tblPr>
        <w:tblW w:w="9176" w:type="dxa"/>
        <w:jc w:val="left"/>
        <w:tblInd w:w="60" w:type="dxa"/>
        <w:tblLayout w:type="fixed"/>
        <w:tblCellMar>
          <w:top w:w="0" w:type="dxa"/>
          <w:left w:w="72" w:type="dxa"/>
          <w:bottom w:w="0" w:type="dxa"/>
          <w:right w:w="72" w:type="dxa"/>
        </w:tblCellMar>
        <w:tblLook w:noVBand="1" w:val="04a0" w:noHBand="0" w:lastColumn="0" w:firstColumn="1" w:lastRow="0" w:firstRow="1"/>
      </w:tblPr>
      <w:tblGrid>
        <w:gridCol w:w="3685"/>
        <w:gridCol w:w="2551"/>
        <w:gridCol w:w="2940"/>
      </w:tblGrid>
      <w:tr>
        <w:trPr/>
        <w:tc>
          <w:tcPr>
            <w:tcW w:w="368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pPr>
            <w:r>
              <w:rPr>
                <w:b/>
                <w:bCs/>
                <w:sz w:val="18"/>
                <w:szCs w:val="18"/>
              </w:rPr>
              <w:t>ФИО</w:t>
            </w:r>
          </w:p>
        </w:tc>
        <w:tc>
          <w:tcPr>
            <w:tcW w:w="255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pPr>
            <w:r>
              <w:rPr>
                <w:b/>
                <w:bCs/>
                <w:sz w:val="18"/>
                <w:szCs w:val="18"/>
              </w:rPr>
              <w:t>Доля участия лица в уставном капитале эмитента, %</w:t>
            </w:r>
          </w:p>
        </w:tc>
        <w:tc>
          <w:tcPr>
            <w:tcW w:w="294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pPr>
            <w:r>
              <w:rPr>
                <w:b/>
                <w:bCs/>
                <w:sz w:val="18"/>
                <w:szCs w:val="18"/>
              </w:rPr>
              <w:t>Доля принадлежащих лицу обыкновенных акций эмитента, %</w:t>
            </w:r>
          </w:p>
        </w:tc>
      </w:tr>
      <w:tr>
        <w:trPr/>
        <w:tc>
          <w:tcPr>
            <w:tcW w:w="368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both"/>
              <w:rPr/>
            </w:pPr>
            <w:r>
              <w:rPr>
                <w:b/>
                <w:bCs/>
                <w:sz w:val="18"/>
                <w:szCs w:val="18"/>
              </w:rPr>
              <w:t>Мурзинцев Виктор Юрьевич</w:t>
            </w:r>
          </w:p>
        </w:tc>
        <w:tc>
          <w:tcPr>
            <w:tcW w:w="255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pPr>
            <w:r>
              <w:rPr>
                <w:b/>
                <w:bCs/>
                <w:sz w:val="18"/>
                <w:szCs w:val="18"/>
              </w:rPr>
              <w:t>0</w:t>
            </w:r>
          </w:p>
        </w:tc>
        <w:tc>
          <w:tcPr>
            <w:tcW w:w="294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jc w:val="center"/>
              <w:rPr/>
            </w:pPr>
            <w:r>
              <w:rPr>
                <w:b/>
                <w:bCs/>
                <w:sz w:val="18"/>
                <w:szCs w:val="18"/>
              </w:rPr>
              <w:t>0</w:t>
            </w:r>
          </w:p>
        </w:tc>
      </w:tr>
    </w:tbl>
    <w:p>
      <w:pPr>
        <w:pStyle w:val="ThinDelim"/>
        <w:spacing w:before="20" w:after="40"/>
        <w:contextualSpacing/>
        <w:jc w:val="both"/>
        <w:rPr/>
      </w:pPr>
      <w:r>
        <w:rPr/>
      </w:r>
    </w:p>
    <w:p>
      <w:pPr>
        <w:pStyle w:val="Normal"/>
        <w:spacing w:before="20" w:after="40"/>
        <w:contextualSpacing/>
        <w:jc w:val="both"/>
        <w:rPr/>
      </w:pPr>
      <w:r>
        <w:rPr>
          <w:b/>
          <w:bCs/>
          <w:i/>
          <w:iCs/>
          <w:shd w:fill="auto" w:val="clear"/>
        </w:rPr>
        <w:t>Изменений в составе информации настоящего пункта между отчетной датой и датой раскрытия соответствующей отчётности, на основе которой в отчёте эмитента раскрывается информация о финансово-хозяйственной деятельности эмитента, не происходило.</w:t>
      </w:r>
    </w:p>
    <w:p>
      <w:pPr>
        <w:pStyle w:val="Normal"/>
        <w:rPr>
          <w:b/>
          <w:bCs/>
        </w:rPr>
      </w:pPr>
      <w:r>
        <w:rPr>
          <w:b/>
          <w:bCs/>
        </w:rPr>
      </w:r>
    </w:p>
    <w:p>
      <w:pPr>
        <w:pStyle w:val="Normal"/>
        <w:jc w:val="both"/>
        <w:rPr/>
      </w:pPr>
      <w:r>
        <w:rPr>
          <w:rFonts w:ascii="Times New Roman" w:hAnsi="Times New Roman"/>
          <w:b/>
          <w:bCs/>
          <w:sz w:val="24"/>
        </w:rPr>
        <w:t>4.2. Дополнительные сведения, раскрываемые эмитентами зеленых облигаций, социальных облигаций, облигаций устойчивого развития, адаптационных облигаций</w:t>
      </w:r>
    </w:p>
    <w:p>
      <w:pPr>
        <w:pStyle w:val="Normal"/>
        <w:jc w:val="both"/>
        <w:rPr>
          <w:rFonts w:ascii="0" w:hAnsi="0" w:eastAsia="0" w:cs="0"/>
          <w:b/>
          <w:bCs/>
          <w:i/>
          <w:i/>
          <w:iCs/>
          <w:color w:val="000000"/>
          <w:kern w:val="0"/>
          <w:sz w:val="20"/>
          <w:szCs w:val="24"/>
          <w:highlight w:val="none"/>
          <w:shd w:fill="auto" w:val="clear"/>
          <w:lang w:val="ru-RU" w:eastAsia="zh-CN" w:bidi="hi-IN"/>
        </w:rPr>
      </w:pPr>
      <w:r>
        <w:rPr>
          <w:rFonts w:eastAsia="0" w:cs="0"/>
          <w:b/>
          <w:bCs/>
          <w:i/>
          <w:iCs/>
          <w:color w:val="000000"/>
          <w:kern w:val="0"/>
          <w:sz w:val="20"/>
          <w:szCs w:val="24"/>
          <w:shd w:fill="auto" w:val="clear"/>
          <w:lang w:val="ru-RU" w:eastAsia="zh-CN" w:bidi="hi-IN"/>
        </w:rPr>
        <w:t xml:space="preserve">Эмитентом не осуществлял выпуск облигаций, и не осуществлял размещение облигаций в рамках программы облигаций, с использованием слов «зеленые облигации» и (или) «социальные облигации», и (или) «инфраструктурные облигации» </w:t>
      </w:r>
    </w:p>
    <w:p>
      <w:pPr>
        <w:pStyle w:val="2"/>
        <w:spacing w:before="240" w:after="40"/>
        <w:contextualSpacing/>
        <w:jc w:val="both"/>
        <w:rPr/>
      </w:pPr>
      <w:r>
        <w:rPr/>
        <w:t>4.2(1). Дополнительные сведения, раскрываемые эмитентами инфраструктурных облигаций</w:t>
      </w:r>
    </w:p>
    <w:p>
      <w:pPr>
        <w:pStyle w:val="Normal"/>
        <w:spacing w:before="20" w:after="40"/>
        <w:contextualSpacing/>
        <w:jc w:val="both"/>
        <w:rPr>
          <w:rFonts w:ascii="0" w:hAnsi="0" w:eastAsia="0" w:cs="0"/>
          <w:b/>
          <w:bCs/>
          <w:i/>
          <w:i/>
          <w:iCs/>
          <w:color w:val="000000"/>
          <w:kern w:val="0"/>
          <w:sz w:val="20"/>
          <w:szCs w:val="24"/>
          <w:highlight w:val="none"/>
          <w:shd w:fill="auto" w:val="clear"/>
          <w:lang w:val="ru-RU" w:eastAsia="zh-CN" w:bidi="hi-IN"/>
        </w:rPr>
      </w:pPr>
      <w:r>
        <w:rPr>
          <w:rFonts w:eastAsia="0" w:cs="0"/>
          <w:b/>
          <w:bCs/>
          <w:i/>
          <w:iCs/>
          <w:color w:val="000000"/>
          <w:kern w:val="0"/>
          <w:sz w:val="20"/>
          <w:szCs w:val="24"/>
          <w:shd w:fill="auto" w:val="clear"/>
          <w:lang w:val="ru-RU" w:eastAsia="zh-CN" w:bidi="hi-IN"/>
        </w:rPr>
        <w:t>Эмитент не осуществлял размещение инфраструктурных облигаций.</w:t>
      </w:r>
    </w:p>
    <w:p>
      <w:pPr>
        <w:pStyle w:val="2"/>
        <w:spacing w:before="240" w:after="40"/>
        <w:contextualSpacing/>
        <w:jc w:val="both"/>
        <w:rPr/>
      </w:pPr>
      <w:r>
        <w:rPr/>
        <w:t>4.2(2). Дополнительные сведения, раскрываемые эмитентами облигаций, связанных с целями устойчивого развития</w:t>
      </w:r>
    </w:p>
    <w:p>
      <w:pPr>
        <w:pStyle w:val="Normal"/>
        <w:spacing w:before="20" w:after="40"/>
        <w:contextualSpacing/>
        <w:jc w:val="both"/>
        <w:rPr>
          <w:rFonts w:ascii="0" w:hAnsi="0" w:eastAsia="0" w:cs="0"/>
          <w:b/>
          <w:bCs/>
          <w:i/>
          <w:i/>
          <w:iCs/>
          <w:color w:val="000000"/>
          <w:kern w:val="0"/>
          <w:sz w:val="20"/>
          <w:szCs w:val="24"/>
          <w:highlight w:val="none"/>
          <w:shd w:fill="auto" w:val="clear"/>
          <w:lang w:val="ru-RU" w:eastAsia="zh-CN" w:bidi="hi-IN"/>
        </w:rPr>
      </w:pPr>
      <w:r>
        <w:rPr>
          <w:rFonts w:eastAsia="0" w:cs="0"/>
          <w:b/>
          <w:bCs/>
          <w:i/>
          <w:iCs/>
          <w:color w:val="000000"/>
          <w:kern w:val="0"/>
          <w:sz w:val="20"/>
          <w:szCs w:val="24"/>
          <w:shd w:fill="auto" w:val="clear"/>
          <w:lang w:val="ru-RU" w:eastAsia="zh-CN" w:bidi="hi-IN"/>
        </w:rPr>
        <w:t>Эмитент не осуществлял размещение облигаций, связанных с целями устойчивого развития.</w:t>
      </w:r>
    </w:p>
    <w:p>
      <w:pPr>
        <w:pStyle w:val="2"/>
        <w:spacing w:before="240" w:after="40"/>
        <w:contextualSpacing/>
        <w:jc w:val="both"/>
        <w:rPr/>
      </w:pPr>
      <w:r>
        <w:rPr/>
        <w:t>4.2(3). Дополнительные сведения, раскрываемые эмитентами облигаций климатического перехода</w:t>
      </w:r>
    </w:p>
    <w:p>
      <w:pPr>
        <w:pStyle w:val="Normal"/>
        <w:spacing w:before="20" w:after="40"/>
        <w:contextualSpacing/>
        <w:jc w:val="both"/>
        <w:rPr>
          <w:rFonts w:ascii="0" w:hAnsi="0" w:eastAsia="0" w:cs="0"/>
          <w:b/>
          <w:bCs/>
          <w:i/>
          <w:i/>
          <w:iCs/>
          <w:color w:val="000000"/>
          <w:kern w:val="0"/>
          <w:sz w:val="20"/>
          <w:szCs w:val="24"/>
          <w:highlight w:val="none"/>
          <w:shd w:fill="auto" w:val="clear"/>
          <w:lang w:val="ru-RU" w:eastAsia="zh-CN" w:bidi="hi-IN"/>
        </w:rPr>
      </w:pPr>
      <w:r>
        <w:rPr>
          <w:rFonts w:eastAsia="0" w:cs="0"/>
          <w:b/>
          <w:bCs/>
          <w:i/>
          <w:iCs/>
          <w:color w:val="000000"/>
          <w:kern w:val="0"/>
          <w:sz w:val="20"/>
          <w:szCs w:val="24"/>
          <w:shd w:fill="auto" w:val="clear"/>
          <w:lang w:val="ru-RU" w:eastAsia="zh-CN" w:bidi="hi-IN"/>
        </w:rPr>
        <w:t>Эмитент не осуществлял размещение облигаций климатического перехода.</w:t>
      </w:r>
    </w:p>
    <w:p>
      <w:pPr>
        <w:pStyle w:val="2"/>
        <w:spacing w:before="240" w:after="40"/>
        <w:contextualSpacing/>
        <w:jc w:val="both"/>
        <w:rPr/>
      </w:pPr>
      <w:r>
        <w:rPr/>
        <w:t>4.3. Сведения о лице (лицах), предоставившем (предоставивших) обеспечение по облигациям эмитента с обеспечением, а также об обеспечении, предоставленном по облигациям эмитента с обеспечением</w:t>
      </w:r>
    </w:p>
    <w:p>
      <w:pPr>
        <w:pStyle w:val="Normal"/>
        <w:rPr>
          <w:rFonts w:ascii="0" w:hAnsi="0" w:eastAsia="0" w:cs="0"/>
          <w:b/>
          <w:bCs/>
          <w:i/>
          <w:i/>
          <w:iCs/>
          <w:color w:val="000000"/>
          <w:kern w:val="0"/>
          <w:sz w:val="20"/>
          <w:szCs w:val="24"/>
          <w:highlight w:val="none"/>
          <w:shd w:fill="auto" w:val="clear"/>
          <w:lang w:val="ru-RU" w:eastAsia="zh-CN" w:bidi="hi-IN"/>
        </w:rPr>
      </w:pPr>
      <w:r>
        <w:rPr>
          <w:rFonts w:eastAsia="0" w:cs="0"/>
          <w:b/>
          <w:bCs/>
          <w:i/>
          <w:iCs/>
          <w:color w:val="000000"/>
          <w:kern w:val="0"/>
          <w:sz w:val="20"/>
          <w:szCs w:val="24"/>
          <w:shd w:fill="auto" w:val="clear"/>
          <w:lang w:val="ru-RU" w:eastAsia="zh-CN" w:bidi="hi-IN"/>
        </w:rPr>
        <w:t>Эмитент не осуществлял регистрацию проспекта и не осуществлял публичное размещение (размещение путем открытой подписки) облигаций с обеспечением.</w:t>
      </w:r>
    </w:p>
    <w:p>
      <w:pPr>
        <w:pStyle w:val="2"/>
        <w:spacing w:before="240" w:after="40"/>
        <w:contextualSpacing/>
        <w:jc w:val="both"/>
        <w:rPr/>
      </w:pPr>
      <w:r>
        <w:rPr/>
      </w:r>
    </w:p>
    <w:p>
      <w:pPr>
        <w:pStyle w:val="2"/>
        <w:spacing w:before="240" w:after="40"/>
        <w:contextualSpacing/>
        <w:jc w:val="both"/>
        <w:rPr/>
      </w:pPr>
      <w:r>
        <w:rPr/>
        <w:t>4.3.1. Дополнительные сведения об ипотечном покрытии по облигациям эмитента с ипотечным покрытием</w:t>
      </w:r>
    </w:p>
    <w:p>
      <w:pPr>
        <w:pStyle w:val="Normal"/>
        <w:rPr>
          <w:rFonts w:ascii="0" w:hAnsi="0" w:eastAsia="0" w:cs="0"/>
          <w:b/>
          <w:bCs/>
          <w:i/>
          <w:i/>
          <w:iCs/>
          <w:color w:val="000000"/>
          <w:kern w:val="0"/>
          <w:sz w:val="20"/>
          <w:szCs w:val="24"/>
          <w:highlight w:val="none"/>
          <w:shd w:fill="auto" w:val="clear"/>
          <w:lang w:val="ru-RU" w:eastAsia="zh-CN" w:bidi="hi-IN"/>
        </w:rPr>
      </w:pPr>
      <w:r>
        <w:rPr>
          <w:rFonts w:eastAsia="0" w:cs="0"/>
          <w:b/>
          <w:bCs/>
          <w:i/>
          <w:iCs/>
          <w:color w:val="000000"/>
          <w:kern w:val="0"/>
          <w:sz w:val="20"/>
          <w:szCs w:val="24"/>
          <w:shd w:fill="auto" w:val="clear"/>
          <w:lang w:val="ru-RU" w:eastAsia="zh-CN" w:bidi="hi-IN"/>
        </w:rPr>
        <w:t xml:space="preserve">Эмитент не осуществлял размещение облигаций с ипотечным покрытием. </w:t>
      </w:r>
    </w:p>
    <w:p>
      <w:pPr>
        <w:pStyle w:val="2"/>
        <w:spacing w:before="240" w:after="40"/>
        <w:contextualSpacing/>
        <w:jc w:val="both"/>
        <w:rPr/>
      </w:pPr>
      <w:r>
        <w:rPr/>
        <w:t>4.3.2. Дополнительные сведения о залоговом обеспечении денежными требованиями по облигациям эмитента с залоговым обеспечением денежными требованиями</w:t>
      </w:r>
    </w:p>
    <w:p>
      <w:pPr>
        <w:pStyle w:val="Normal"/>
        <w:spacing w:before="20" w:after="40"/>
        <w:contextualSpacing/>
        <w:jc w:val="both"/>
        <w:rPr/>
      </w:pPr>
      <w:r>
        <w:rPr>
          <w:b/>
          <w:i/>
        </w:rPr>
        <w:t>Эмитент не осуществлял размещение облигаций с залоговым обеспечением денежными требованиями</w:t>
      </w:r>
    </w:p>
    <w:p>
      <w:pPr>
        <w:pStyle w:val="Normal"/>
        <w:spacing w:before="20" w:after="40"/>
        <w:contextualSpacing/>
        <w:jc w:val="both"/>
        <w:rPr/>
      </w:pPr>
      <w:r>
        <w:rPr/>
      </w:r>
    </w:p>
    <w:p>
      <w:pPr>
        <w:pStyle w:val="Normal"/>
        <w:spacing w:before="20" w:after="40"/>
        <w:contextualSpacing/>
        <w:jc w:val="both"/>
        <w:rPr/>
      </w:pPr>
      <w:r>
        <w:rPr>
          <w:b/>
          <w:bCs/>
          <w:i/>
          <w:iCs/>
          <w:shd w:fill="auto" w:val="clear"/>
        </w:rPr>
        <w:t>Изменений в составе информации настоящего пункта между отчетной датой и датой раскрытия соответствующей отчётности, на основе которой в отчёте эмитента раскрывается информация о финансово-хозяйственной деятельности эмитента, не происходило.</w:t>
      </w:r>
    </w:p>
    <w:p>
      <w:pPr>
        <w:pStyle w:val="2"/>
        <w:spacing w:before="240" w:after="40"/>
        <w:contextualSpacing/>
        <w:jc w:val="both"/>
        <w:rPr/>
      </w:pPr>
      <w:r>
        <w:rPr/>
        <w:t>4.4. Сведения об объявленных и выплаченных дивидендах по акциям эмитента</w:t>
      </w:r>
    </w:p>
    <w:p>
      <w:pPr>
        <w:pStyle w:val="Normal"/>
        <w:spacing w:before="20" w:after="40"/>
        <w:contextualSpacing/>
        <w:jc w:val="both"/>
        <w:rPr/>
      </w:pPr>
      <w:r>
        <w:rPr/>
        <w:t>Информация указывается в отношении дивидендов, решение о выплате (объявлении) которых принято в течение трех последних завершенных отчетных лет либо в течение всего срока с даты государственной регистрации эмитента, если эмитент осуществляет свою деятельность менее трех лет.</w:t>
      </w:r>
    </w:p>
    <w:p>
      <w:pPr>
        <w:pStyle w:val="ThinDelim"/>
        <w:spacing w:before="20" w:after="40"/>
        <w:contextualSpacing/>
        <w:jc w:val="both"/>
        <w:rPr>
          <w:b/>
          <w:bCs/>
          <w:i/>
          <w:i/>
          <w:iCs/>
        </w:rPr>
      </w:pPr>
      <w:r>
        <w:rPr>
          <w:b/>
          <w:bCs/>
          <w:i/>
          <w:iCs/>
        </w:rPr>
      </w:r>
    </w:p>
    <w:p>
      <w:pPr>
        <w:pStyle w:val="Normal"/>
        <w:spacing w:before="20" w:after="40"/>
        <w:contextualSpacing/>
        <w:jc w:val="both"/>
        <w:rPr/>
      </w:pPr>
      <w:r>
        <w:rPr>
          <w:b/>
          <w:bCs/>
          <w:i/>
          <w:iCs/>
        </w:rPr>
        <w:t>По итогам 2022 года годовым Общим собранием акционеров решение о выплате дивидендов не принято (Протокол от03.07.2023 №1)</w:t>
      </w:r>
    </w:p>
    <w:p>
      <w:pPr>
        <w:pStyle w:val="Normal"/>
        <w:spacing w:before="20" w:after="40"/>
        <w:contextualSpacing/>
        <w:jc w:val="both"/>
        <w:rPr>
          <w:b/>
          <w:bCs/>
          <w:i/>
          <w:i/>
          <w:iCs/>
        </w:rPr>
      </w:pPr>
      <w:r>
        <w:rPr>
          <w:b/>
          <w:bCs/>
          <w:i/>
          <w:iCs/>
        </w:rPr>
      </w:r>
    </w:p>
    <w:p>
      <w:pPr>
        <w:pStyle w:val="Normal"/>
        <w:spacing w:before="20" w:after="40"/>
        <w:contextualSpacing/>
        <w:jc w:val="both"/>
        <w:rPr/>
      </w:pPr>
      <w:r>
        <w:rPr>
          <w:b/>
          <w:bCs/>
          <w:i/>
          <w:iCs/>
        </w:rPr>
        <w:t>По итогам 2023 года годовым Общим собранием акционеров решение о выплате дивидендов не принято (Протокол от 28.06.2024 №1)</w:t>
      </w:r>
    </w:p>
    <w:p>
      <w:pPr>
        <w:pStyle w:val="Normal"/>
        <w:spacing w:before="20" w:after="40"/>
        <w:contextualSpacing/>
        <w:jc w:val="both"/>
        <w:rPr>
          <w:b/>
          <w:bCs/>
          <w:i/>
          <w:i/>
          <w:iCs/>
        </w:rPr>
      </w:pPr>
      <w:r>
        <w:rPr>
          <w:b/>
          <w:bCs/>
          <w:i/>
          <w:iCs/>
        </w:rPr>
      </w:r>
    </w:p>
    <w:p>
      <w:pPr>
        <w:pStyle w:val="Normal"/>
        <w:spacing w:before="20" w:after="40"/>
        <w:contextualSpacing/>
        <w:jc w:val="both"/>
        <w:rPr>
          <w:b/>
          <w:bCs/>
          <w:i/>
          <w:i/>
          <w:iCs/>
        </w:rPr>
      </w:pPr>
      <w:r>
        <w:rPr>
          <w:b/>
          <w:bCs/>
          <w:i/>
          <w:iCs/>
        </w:rPr>
        <w:t>По итогам 2024 года заседанием годового Общего собрания акционеров Общества решение о выплате дивидендов не принято (Протокол от 30.05.2025 №1)</w:t>
      </w:r>
    </w:p>
    <w:p>
      <w:pPr>
        <w:pStyle w:val="Normal"/>
        <w:spacing w:before="20" w:after="40"/>
        <w:contextualSpacing/>
        <w:jc w:val="both"/>
        <w:rPr>
          <w:b/>
          <w:bCs/>
          <w:i/>
          <w:i/>
          <w:iCs/>
        </w:rPr>
      </w:pPr>
      <w:r>
        <w:rPr>
          <w:b/>
          <w:bCs/>
          <w:i/>
          <w:iCs/>
        </w:rPr>
      </w:r>
    </w:p>
    <w:p>
      <w:pPr>
        <w:pStyle w:val="Normal"/>
        <w:spacing w:before="20" w:after="40"/>
        <w:contextualSpacing/>
        <w:jc w:val="both"/>
        <w:rPr/>
      </w:pPr>
      <w:r>
        <w:rPr>
          <w:b/>
          <w:bCs/>
          <w:i/>
          <w:iCs/>
          <w:shd w:fill="auto" w:val="clear"/>
        </w:rPr>
        <w:t>Изменений в составе информации настоящего пункта между отчетной датой и датой раскрытия соответствующей отчётности, на основе которой в отчёте эмитента раскрывается информация о финансово-хозяйственной деятельности эмитента, не происходило.</w:t>
      </w:r>
    </w:p>
    <w:p>
      <w:pPr>
        <w:pStyle w:val="Normal"/>
        <w:spacing w:before="20" w:after="40"/>
        <w:contextualSpacing/>
        <w:jc w:val="both"/>
        <w:rPr>
          <w:i/>
          <w:i/>
          <w:iCs/>
        </w:rPr>
      </w:pPr>
      <w:r>
        <w:rPr>
          <w:i/>
          <w:iCs/>
        </w:rPr>
      </w:r>
    </w:p>
    <w:p>
      <w:pPr>
        <w:pStyle w:val="2"/>
        <w:spacing w:before="240" w:after="40"/>
        <w:contextualSpacing/>
        <w:jc w:val="both"/>
        <w:rPr/>
      </w:pPr>
      <w:r>
        <w:rPr/>
        <w:t>4.5. Сведения об организациях, осуществляющих учет прав на эмиссионные ценные бумаги эмитента</w:t>
      </w:r>
    </w:p>
    <w:p>
      <w:pPr>
        <w:pStyle w:val="2"/>
        <w:spacing w:before="240" w:after="40"/>
        <w:contextualSpacing/>
        <w:jc w:val="both"/>
        <w:rPr>
          <w:rFonts w:ascii="0" w:hAnsi="0"/>
        </w:rPr>
      </w:pPr>
      <w:r>
        <w:rPr>
          <w:rFonts w:ascii="0" w:hAnsi="0"/>
        </w:rPr>
      </w:r>
    </w:p>
    <w:p>
      <w:pPr>
        <w:pStyle w:val="2"/>
        <w:spacing w:before="240" w:after="40"/>
        <w:contextualSpacing/>
        <w:jc w:val="both"/>
        <w:rPr/>
      </w:pPr>
      <w:r>
        <w:rPr/>
        <w:t>4.5.1. Сведения о регистраторе, осуществляющем ведение реестра владельцев ценных бумаг эмитента</w:t>
      </w:r>
    </w:p>
    <w:p>
      <w:pPr>
        <w:pStyle w:val="Normal"/>
        <w:spacing w:before="20" w:after="40"/>
        <w:contextualSpacing/>
        <w:jc w:val="both"/>
        <w:rPr/>
      </w:pPr>
      <w:r>
        <w:rPr/>
        <w:t>Полное фирменное наименование:</w:t>
      </w:r>
      <w:r>
        <w:rPr>
          <w:b/>
          <w:i/>
        </w:rPr>
        <w:t xml:space="preserve"> Акционерное общество «Независимая регистраторская компания Р.О.С.Т.»</w:t>
      </w:r>
    </w:p>
    <w:p>
      <w:pPr>
        <w:pStyle w:val="Normal"/>
        <w:spacing w:before="20" w:after="40"/>
        <w:contextualSpacing/>
        <w:jc w:val="both"/>
        <w:rPr/>
      </w:pPr>
      <w:r>
        <w:rPr/>
        <w:t>Сокращенное фирменное наименование:</w:t>
      </w:r>
      <w:r>
        <w:rPr>
          <w:b/>
          <w:i/>
        </w:rPr>
        <w:t xml:space="preserve"> АО «НРК - Р.О.С.Т.»</w:t>
      </w:r>
    </w:p>
    <w:p>
      <w:pPr>
        <w:pStyle w:val="Normal"/>
        <w:spacing w:before="20" w:after="40"/>
        <w:contextualSpacing/>
        <w:jc w:val="both"/>
        <w:rPr/>
      </w:pPr>
      <w:r>
        <w:rPr/>
        <w:t>Место нахождения:</w:t>
      </w:r>
      <w:r>
        <w:rPr>
          <w:b/>
          <w:i/>
        </w:rPr>
        <w:t xml:space="preserve"> г. Москва</w:t>
      </w:r>
    </w:p>
    <w:p>
      <w:pPr>
        <w:pStyle w:val="Normal"/>
        <w:spacing w:before="20" w:after="40"/>
        <w:contextualSpacing/>
        <w:jc w:val="both"/>
        <w:rPr/>
      </w:pPr>
      <w:r>
        <w:rPr/>
        <w:t>ИНН:</w:t>
      </w:r>
      <w:r>
        <w:rPr>
          <w:b/>
          <w:i/>
        </w:rPr>
        <w:t xml:space="preserve"> 7726030449</w:t>
      </w:r>
    </w:p>
    <w:p>
      <w:pPr>
        <w:pStyle w:val="Normal"/>
        <w:spacing w:before="20" w:after="40"/>
        <w:contextualSpacing/>
        <w:jc w:val="both"/>
        <w:rPr/>
      </w:pPr>
      <w:r>
        <w:rPr/>
        <w:t>ОГРН:</w:t>
      </w:r>
      <w:r>
        <w:rPr>
          <w:b/>
          <w:i/>
        </w:rPr>
        <w:t xml:space="preserve"> 1027739216757</w:t>
      </w:r>
    </w:p>
    <w:p>
      <w:pPr>
        <w:pStyle w:val="SubHeading"/>
        <w:spacing w:before="240" w:after="40"/>
        <w:contextualSpacing/>
        <w:jc w:val="both"/>
        <w:rPr/>
      </w:pPr>
      <w:r>
        <w:rPr/>
        <w:t>Данные о лицензии на осуществление деятельности по ведению реестра владельцев ценных бумаг</w:t>
      </w:r>
    </w:p>
    <w:p>
      <w:pPr>
        <w:pStyle w:val="Normal"/>
        <w:spacing w:before="20" w:after="40"/>
        <w:contextualSpacing/>
        <w:jc w:val="both"/>
        <w:rPr/>
      </w:pPr>
      <w:r>
        <w:rPr/>
        <w:t>Номер:</w:t>
      </w:r>
      <w:r>
        <w:rPr>
          <w:b/>
          <w:i/>
        </w:rPr>
        <w:t xml:space="preserve"> 045-13976-000001</w:t>
      </w:r>
    </w:p>
    <w:p>
      <w:pPr>
        <w:pStyle w:val="Normal"/>
        <w:spacing w:before="20" w:after="40"/>
        <w:contextualSpacing/>
        <w:jc w:val="both"/>
        <w:rPr/>
      </w:pPr>
      <w:r>
        <w:rPr/>
        <w:t>Дата выдачи:</w:t>
      </w:r>
      <w:r>
        <w:rPr>
          <w:b/>
          <w:i/>
        </w:rPr>
        <w:t xml:space="preserve"> 03.12.2002</w:t>
      </w:r>
    </w:p>
    <w:p>
      <w:pPr>
        <w:pStyle w:val="Normal"/>
        <w:spacing w:before="20" w:after="40"/>
        <w:contextualSpacing/>
        <w:jc w:val="both"/>
        <w:rPr/>
      </w:pPr>
      <w:r>
        <w:rPr/>
        <w:t xml:space="preserve">Срок действия: </w:t>
      </w:r>
      <w:r>
        <w:rPr>
          <w:b/>
          <w:i/>
        </w:rPr>
        <w:t>Бессрочная</w:t>
      </w:r>
    </w:p>
    <w:p>
      <w:pPr>
        <w:pStyle w:val="Normal"/>
        <w:spacing w:before="20" w:after="40"/>
        <w:contextualSpacing/>
        <w:jc w:val="both"/>
        <w:rPr/>
      </w:pPr>
      <w:r>
        <w:rPr/>
        <w:t>Наименование органа, выдавшего лицензию:</w:t>
      </w:r>
      <w:r>
        <w:rPr>
          <w:b/>
          <w:i/>
        </w:rPr>
        <w:t xml:space="preserve"> Банк России</w:t>
      </w:r>
    </w:p>
    <w:p>
      <w:pPr>
        <w:pStyle w:val="Normal"/>
        <w:spacing w:before="20" w:after="40"/>
        <w:contextualSpacing/>
        <w:jc w:val="both"/>
        <w:rPr/>
      </w:pPr>
      <w:r>
        <w:rPr/>
        <w:t>Дата, с которой регистратор осуществляет ведение реестра владельцев ценных бумаг эмитента:</w:t>
      </w:r>
      <w:r>
        <w:rPr>
          <w:b/>
          <w:i/>
        </w:rPr>
        <w:t xml:space="preserve"> 30.03.2010</w:t>
      </w:r>
    </w:p>
    <w:p>
      <w:pPr>
        <w:pStyle w:val="Normal"/>
        <w:spacing w:before="20" w:after="40"/>
        <w:contextualSpacing/>
        <w:jc w:val="both"/>
        <w:rPr/>
      </w:pPr>
      <w:r>
        <w:rPr/>
        <w:t>Иные сведения о ведении реестра владельцев ценных бумаг эмитента, указываемые эмитентом по собственному усмотрению:</w:t>
      </w:r>
      <w:r>
        <w:rPr>
          <w:b/>
          <w:i/>
        </w:rPr>
        <w:t xml:space="preserve"> Ранее Акционерное общество «Регистратор Р.О.С.Т.» (13.12.2018 внесена запись в Единый государственный реестр юридических лиц об изменении наименования).</w:t>
      </w:r>
    </w:p>
    <w:p>
      <w:pPr>
        <w:pStyle w:val="2"/>
        <w:spacing w:before="240" w:after="40"/>
        <w:contextualSpacing/>
        <w:jc w:val="both"/>
        <w:rPr/>
      </w:pPr>
      <w:r>
        <w:rPr/>
        <w:t>4.5.2. Сведения о депозитарии, осуществляющем централизованный учет прав на ценные бумаги эмитента</w:t>
      </w:r>
    </w:p>
    <w:p>
      <w:pPr>
        <w:pStyle w:val="Normal"/>
        <w:spacing w:before="20" w:after="40"/>
        <w:contextualSpacing/>
        <w:jc w:val="both"/>
        <w:rPr/>
      </w:pPr>
      <w:r>
        <w:rPr/>
      </w:r>
    </w:p>
    <w:p>
      <w:pPr>
        <w:pStyle w:val="Normal"/>
        <w:spacing w:before="20" w:after="40"/>
        <w:contextualSpacing/>
        <w:jc w:val="both"/>
        <w:rPr/>
      </w:pPr>
      <w:r>
        <w:rPr>
          <w:b/>
          <w:i/>
        </w:rPr>
        <w:t>В обращении нет ценных бумаг эмитента с централизованным учетом прав</w:t>
      </w:r>
    </w:p>
    <w:p>
      <w:pPr>
        <w:pStyle w:val="Normal"/>
        <w:spacing w:before="20" w:after="40"/>
        <w:contextualSpacing/>
        <w:jc w:val="both"/>
        <w:rPr/>
      </w:pPr>
      <w:r>
        <w:rPr/>
      </w:r>
    </w:p>
    <w:p>
      <w:pPr>
        <w:pStyle w:val="Normal"/>
        <w:spacing w:before="20" w:after="40"/>
        <w:contextualSpacing/>
        <w:jc w:val="both"/>
        <w:rPr/>
      </w:pPr>
      <w:r>
        <w:rPr>
          <w:b/>
          <w:bCs/>
          <w:i/>
          <w:iCs/>
          <w:shd w:fill="auto" w:val="clear"/>
        </w:rPr>
        <w:t>Изменений в составе информации настоящего пункта между отчетной датой и датой раскрытия соответствующей отчётности, на основе которой в отчёте эмитента раскрывается информация о финансово-хозяйственной деятельности эмитента, не происходило.</w:t>
      </w:r>
    </w:p>
    <w:p>
      <w:pPr>
        <w:pStyle w:val="Normal"/>
        <w:spacing w:before="240" w:after="40"/>
        <w:contextualSpacing/>
        <w:jc w:val="both"/>
        <w:rPr>
          <w:rFonts w:eastAsia="Times New Roman" w:cs="Times New Roman"/>
          <w:b/>
          <w:bCs/>
          <w:color w:val="auto"/>
          <w:sz w:val="24"/>
          <w:lang w:bidi="ar-SA"/>
        </w:rPr>
      </w:pPr>
      <w:r>
        <w:rPr>
          <w:rFonts w:eastAsia="Times New Roman" w:cs="Times New Roman"/>
          <w:b/>
          <w:bCs/>
          <w:color w:val="auto"/>
          <w:sz w:val="24"/>
          <w:lang w:bidi="ar-SA"/>
        </w:rPr>
      </w:r>
    </w:p>
    <w:p>
      <w:pPr>
        <w:pStyle w:val="Normal"/>
        <w:spacing w:before="240" w:after="40"/>
        <w:contextualSpacing/>
        <w:jc w:val="both"/>
        <w:rPr/>
      </w:pPr>
      <w:r>
        <w:rPr>
          <w:rFonts w:eastAsia="Times New Roman" w:cs="Times New Roman" w:ascii="Times New Roman" w:hAnsi="Times New Roman"/>
          <w:b/>
          <w:bCs/>
          <w:color w:val="auto"/>
          <w:sz w:val="24"/>
          <w:lang w:bidi="ar-SA"/>
        </w:rPr>
        <w:t>4.6. Информация об аудиторе эмитента</w:t>
      </w:r>
    </w:p>
    <w:p>
      <w:pPr>
        <w:pStyle w:val="Normal"/>
        <w:spacing w:before="240" w:after="40"/>
        <w:contextualSpacing/>
        <w:jc w:val="both"/>
        <w:rPr/>
      </w:pPr>
      <w:r>
        <w:rPr/>
      </w:r>
    </w:p>
    <w:p>
      <w:pPr>
        <w:pStyle w:val="Normal"/>
        <w:spacing w:before="20" w:after="40"/>
        <w:contextualSpacing/>
        <w:jc w:val="both"/>
        <w:rPr/>
      </w:pPr>
      <w:r>
        <w:rPr/>
        <w:t>Информация в отношении аудитора (аудиторской организации, индивидуального аудитора) эмитента, который проводил проверку промежуточной отчетности эмитента, раскрытой эмитентом в отчетном периоде, и (или) который проводил (будет проводить) проверку (обязательный аудит) годовой отчетности эмитента за текущий и последний завершенный отчетный год</w:t>
      </w:r>
    </w:p>
    <w:p>
      <w:pPr>
        <w:pStyle w:val="Normal"/>
        <w:spacing w:before="20" w:after="40"/>
        <w:contextualSpacing/>
        <w:jc w:val="both"/>
        <w:rPr/>
      </w:pPr>
      <w:r>
        <w:rPr/>
      </w:r>
    </w:p>
    <w:p>
      <w:pPr>
        <w:pStyle w:val="Normal"/>
        <w:spacing w:before="20" w:after="40"/>
        <w:ind w:firstLine="567"/>
        <w:contextualSpacing/>
        <w:jc w:val="both"/>
        <w:rPr>
          <w:b/>
          <w:i/>
          <w:i/>
        </w:rPr>
      </w:pPr>
      <w:r>
        <w:rPr>
          <w:b/>
          <w:i/>
        </w:rPr>
      </w:r>
    </w:p>
    <w:p>
      <w:pPr>
        <w:pStyle w:val="Normal"/>
        <w:jc w:val="both"/>
        <w:rPr/>
      </w:pPr>
      <w:r>
        <w:rPr/>
        <w:t>Полное фирменное наименование:</w:t>
      </w:r>
      <w:r>
        <w:rPr>
          <w:b/>
          <w:i/>
        </w:rPr>
        <w:t xml:space="preserve"> Общество с ограниченной ответственностью «Группа Финансы»</w:t>
      </w:r>
    </w:p>
    <w:p>
      <w:pPr>
        <w:pStyle w:val="Normal"/>
        <w:jc w:val="both"/>
        <w:rPr/>
      </w:pPr>
      <w:r>
        <w:rPr/>
        <w:t>Сокращенное фирменное наименование:</w:t>
      </w:r>
      <w:r>
        <w:rPr>
          <w:b/>
          <w:i/>
        </w:rPr>
        <w:t xml:space="preserve"> ООО «Группа Финансы»</w:t>
      </w:r>
    </w:p>
    <w:p>
      <w:pPr>
        <w:pStyle w:val="Normal"/>
        <w:jc w:val="both"/>
        <w:rPr/>
      </w:pPr>
      <w:r>
        <w:rPr/>
        <w:t>Место нахождения:</w:t>
      </w:r>
      <w:r>
        <w:rPr>
          <w:b/>
          <w:i/>
        </w:rPr>
        <w:t xml:space="preserve"> 111020, г. Москва, вн.тер.г. Муниципальный Округ Лефортово, ул 2-я Синичкина, д. 9А, стр. 7</w:t>
      </w:r>
    </w:p>
    <w:p>
      <w:pPr>
        <w:pStyle w:val="Normal"/>
        <w:jc w:val="both"/>
        <w:rPr/>
      </w:pPr>
      <w:r>
        <w:rPr/>
        <w:t>ИНН:</w:t>
      </w:r>
      <w:r>
        <w:rPr>
          <w:b/>
          <w:i/>
        </w:rPr>
        <w:t xml:space="preserve"> 2312145943</w:t>
      </w:r>
    </w:p>
    <w:p>
      <w:pPr>
        <w:pStyle w:val="Normal"/>
        <w:jc w:val="both"/>
        <w:rPr/>
      </w:pPr>
      <w:r>
        <w:rPr/>
        <w:t>ОГРН:</w:t>
      </w:r>
      <w:r>
        <w:rPr>
          <w:b/>
          <w:i/>
        </w:rPr>
        <w:t xml:space="preserve"> 1082312000110</w:t>
      </w:r>
    </w:p>
    <w:p>
      <w:pPr>
        <w:pStyle w:val="Normal"/>
        <w:jc w:val="both"/>
        <w:rPr>
          <w:b/>
          <w:i/>
          <w:i/>
        </w:rPr>
      </w:pPr>
      <w:r>
        <w:rPr>
          <w:b/>
          <w:i/>
        </w:rPr>
      </w:r>
    </w:p>
    <w:p>
      <w:pPr>
        <w:pStyle w:val="Normal"/>
        <w:rPr/>
      </w:pPr>
      <w:r>
        <w:rPr/>
        <w:t>Отчетный год и (или) иной отчетный период из числа последних трех завершенных отчетных лет и текущего года, за который аудитором проводилась (будет проводиться) проверка отчетности эмитента:</w:t>
      </w:r>
    </w:p>
    <w:p>
      <w:pPr>
        <w:pStyle w:val="ThinDelim"/>
        <w:rPr/>
      </w:pPr>
      <w:r>
        <w:rPr/>
      </w:r>
    </w:p>
    <w:tbl>
      <w:tblPr>
        <w:tblW w:w="8852" w:type="dxa"/>
        <w:jc w:val="left"/>
        <w:tblInd w:w="361" w:type="dxa"/>
        <w:tblLayout w:type="fixed"/>
        <w:tblCellMar>
          <w:top w:w="0" w:type="dxa"/>
          <w:left w:w="72" w:type="dxa"/>
          <w:bottom w:w="0" w:type="dxa"/>
          <w:right w:w="72" w:type="dxa"/>
        </w:tblCellMar>
        <w:tblLook w:noVBand="1" w:val="04a0" w:noHBand="0" w:lastColumn="0" w:firstColumn="1" w:lastRow="0" w:firstRow="1"/>
      </w:tblPr>
      <w:tblGrid>
        <w:gridCol w:w="4423"/>
        <w:gridCol w:w="4428"/>
      </w:tblGrid>
      <w:tr>
        <w:trPr/>
        <w:tc>
          <w:tcPr>
            <w:tcW w:w="4423"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jc w:val="center"/>
              <w:rPr/>
            </w:pPr>
            <w:r>
              <w:rPr>
                <w:b/>
                <w:bCs/>
                <w:i/>
                <w:iCs/>
                <w:sz w:val="18"/>
                <w:szCs w:val="18"/>
              </w:rPr>
              <w:t>Отчетный год и (или) иной отчетный период из числа последних трех завершенных отчетных лет и текущего года, за который аудитором проводилась (будет проводиться) проверка отчетности эмитента</w:t>
            </w:r>
          </w:p>
        </w:tc>
        <w:tc>
          <w:tcPr>
            <w:tcW w:w="4428"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jc w:val="center"/>
              <w:rPr/>
            </w:pPr>
            <w:r>
              <w:rPr>
                <w:b/>
                <w:bCs/>
                <w:i/>
                <w:iCs/>
                <w:sz w:val="18"/>
                <w:szCs w:val="18"/>
              </w:rPr>
              <w:t>Вид отчетности эмитента, в отношении которой аудитором проводилась (будет проводиться) проверка (бухгалтерская (финансовая) отчетность; консолидированная финансовая отчетность или финансовая отчетность)</w:t>
            </w:r>
          </w:p>
        </w:tc>
      </w:tr>
      <w:tr>
        <w:trPr/>
        <w:tc>
          <w:tcPr>
            <w:tcW w:w="4423"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pPr>
            <w:r>
              <w:rPr>
                <w:b/>
                <w:bCs/>
                <w:i/>
                <w:iCs/>
                <w:sz w:val="18"/>
                <w:szCs w:val="18"/>
              </w:rPr>
              <w:t>6 месяцев 2024</w:t>
            </w:r>
          </w:p>
        </w:tc>
        <w:tc>
          <w:tcPr>
            <w:tcW w:w="4428"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pPr>
            <w:r>
              <w:rPr>
                <w:b/>
                <w:bCs/>
                <w:i/>
                <w:iCs/>
                <w:sz w:val="18"/>
                <w:szCs w:val="18"/>
              </w:rPr>
              <w:t>Консолидированная отчетность</w:t>
            </w:r>
          </w:p>
        </w:tc>
      </w:tr>
      <w:tr>
        <w:trPr/>
        <w:tc>
          <w:tcPr>
            <w:tcW w:w="4423"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pPr>
            <w:r>
              <w:rPr>
                <w:b/>
                <w:bCs/>
                <w:i/>
                <w:iCs/>
                <w:sz w:val="18"/>
                <w:szCs w:val="18"/>
              </w:rPr>
              <w:t>2024</w:t>
            </w:r>
          </w:p>
        </w:tc>
        <w:tc>
          <w:tcPr>
            <w:tcW w:w="4428"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pPr>
            <w:r>
              <w:rPr>
                <w:b/>
                <w:bCs/>
                <w:i/>
                <w:iCs/>
                <w:sz w:val="18"/>
                <w:szCs w:val="18"/>
              </w:rPr>
              <w:t>Консолидированная отчетность</w:t>
            </w:r>
          </w:p>
        </w:tc>
      </w:tr>
      <w:tr>
        <w:trPr/>
        <w:tc>
          <w:tcPr>
            <w:tcW w:w="4423"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pPr>
            <w:r>
              <w:rPr>
                <w:b/>
                <w:bCs/>
                <w:i/>
                <w:iCs/>
                <w:sz w:val="18"/>
                <w:szCs w:val="18"/>
              </w:rPr>
              <w:t>2024</w:t>
            </w:r>
          </w:p>
        </w:tc>
        <w:tc>
          <w:tcPr>
            <w:tcW w:w="4428"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0" w:after="40"/>
              <w:contextualSpacing w:val="false"/>
              <w:rPr/>
            </w:pPr>
            <w:r>
              <w:rPr>
                <w:b/>
                <w:bCs/>
                <w:i/>
                <w:iCs/>
                <w:sz w:val="18"/>
                <w:szCs w:val="18"/>
              </w:rPr>
              <w:t>Бухгалтерская (финансовая) отчетность</w:t>
            </w:r>
          </w:p>
        </w:tc>
      </w:tr>
    </w:tbl>
    <w:p>
      <w:pPr>
        <w:pStyle w:val="Normal"/>
        <w:rPr/>
      </w:pPr>
      <w:r>
        <w:rPr/>
      </w:r>
    </w:p>
    <w:p>
      <w:pPr>
        <w:pStyle w:val="Normal"/>
        <w:ind w:left="57" w:hanging="0"/>
        <w:jc w:val="both"/>
        <w:rPr/>
      </w:pPr>
      <w:r>
        <w:rPr/>
        <w:t>Сопутствующие аудиту и прочие связанные с аудиторской деятельностью услуги, которые оказывались (будут оказываться) эмитенту в течение последних трех завершенных отчетных лет и текущего года аудитором:</w:t>
      </w:r>
    </w:p>
    <w:p>
      <w:pPr>
        <w:pStyle w:val="Normal"/>
        <w:ind w:left="57" w:hanging="0"/>
        <w:jc w:val="both"/>
        <w:rPr/>
      </w:pPr>
      <w:r>
        <w:rPr>
          <w:b/>
          <w:i/>
        </w:rPr>
        <w:t>Сопутствующих аудиту и прочих связанных с аудиторской деятельностью услуг в течение последних трех завершенных отчетных лет и текущего года аудитором не оказывалось.</w:t>
      </w:r>
    </w:p>
    <w:p>
      <w:pPr>
        <w:pStyle w:val="Normal"/>
        <w:ind w:left="57" w:hanging="0"/>
        <w:jc w:val="both"/>
        <w:rPr/>
      </w:pPr>
      <w:r>
        <w:rPr/>
      </w:r>
    </w:p>
    <w:p>
      <w:pPr>
        <w:pStyle w:val="Normal"/>
        <w:spacing w:before="20" w:after="40"/>
        <w:contextualSpacing/>
        <w:jc w:val="both"/>
        <w:rPr/>
      </w:pPr>
      <w:r>
        <w:rPr/>
        <w:t>Факторы, которые могут оказать влияние на независимость аудитора, в том числе сведения о наличии существенных интересов (взаимоотношений), связывающих с эмитентом (членами органов управления и органов контроля за финансово-хозяйственной деятельностью эмитента) аудитора эмитента, членов органов управления и органов контроля за финансово-хозяйственной деятельностью аудитора, а также участников аудиторской группы:</w:t>
      </w:r>
    </w:p>
    <w:p>
      <w:pPr>
        <w:pStyle w:val="Normal"/>
        <w:spacing w:before="20" w:after="40"/>
        <w:contextualSpacing/>
        <w:jc w:val="both"/>
        <w:rPr/>
      </w:pPr>
      <w:r>
        <w:rPr>
          <w:b/>
          <w:i/>
        </w:rPr>
        <w:t>Аудиторская организация независима от Эмитента. Факторов, которые могут оказать влияние на независимость Аудиторской организации от Эмитента, а также существенных интересов (взаимоотношений), связывающих Аудиторскую организацию (членов органов управления и органов контроля за финансово-хозяйственной деятельностью Аудиторской организации, участников аудиторской группы) с Эмитентом (членами органов управления и органов контроля за финансово-хозяйственной деятельностью Эмитента), нет</w:t>
      </w:r>
      <w:r>
        <w:rPr/>
        <w:t>.</w:t>
      </w:r>
    </w:p>
    <w:p>
      <w:pPr>
        <w:pStyle w:val="Normal"/>
        <w:spacing w:before="20" w:after="40"/>
        <w:contextualSpacing/>
        <w:jc w:val="both"/>
        <w:rPr/>
      </w:pPr>
      <w:r>
        <w:rPr/>
      </w:r>
    </w:p>
    <w:p>
      <w:pPr>
        <w:pStyle w:val="Normal"/>
        <w:spacing w:before="20" w:after="40"/>
        <w:contextualSpacing/>
        <w:jc w:val="both"/>
        <w:rPr/>
      </w:pPr>
      <w:r>
        <w:rPr/>
        <w:t>Меры, пре</w:t>
      </w:r>
      <w:r>
        <w:rPr>
          <w:shd w:fill="auto" w:val="clear"/>
        </w:rPr>
        <w:t>дпринятые эмитентом и аудитором эмитента для снижения влияния факторов, которые могут оказать влияние на независимость аудитора:</w:t>
      </w:r>
    </w:p>
    <w:p>
      <w:pPr>
        <w:pStyle w:val="Normal"/>
        <w:spacing w:before="0" w:after="0"/>
        <w:contextualSpacing/>
        <w:jc w:val="both"/>
        <w:rPr>
          <w:highlight w:val="none"/>
          <w:shd w:fill="auto" w:val="clear"/>
        </w:rPr>
      </w:pPr>
      <w:r>
        <w:rPr>
          <w:b/>
          <w:i/>
          <w:shd w:fill="auto" w:val="clear"/>
        </w:rPr>
        <w:t xml:space="preserve">Эмитент и Аудиторская организация действовали в рамках законодательства Российской Федерации, в частности, в соответствии с Федеральным законом от 30.12.2008 № 307-ФЗ «Об аудиторской деятельности». </w:t>
      </w:r>
    </w:p>
    <w:p>
      <w:pPr>
        <w:pStyle w:val="Normal"/>
        <w:spacing w:before="0" w:after="0"/>
        <w:contextualSpacing/>
        <w:jc w:val="both"/>
        <w:rPr>
          <w:highlight w:val="none"/>
          <w:shd w:fill="auto" w:val="clear"/>
        </w:rPr>
      </w:pPr>
      <w:r>
        <w:rPr>
          <w:shd w:fill="auto" w:val="clear"/>
        </w:rPr>
      </w:r>
    </w:p>
    <w:p>
      <w:pPr>
        <w:pStyle w:val="Normal"/>
        <w:spacing w:before="0" w:after="0"/>
        <w:contextualSpacing/>
        <w:jc w:val="both"/>
        <w:rPr>
          <w:highlight w:val="none"/>
          <w:shd w:fill="auto" w:val="clear"/>
        </w:rPr>
      </w:pPr>
      <w:r>
        <w:rPr>
          <w:b/>
          <w:i/>
          <w:shd w:fill="auto" w:val="clear"/>
        </w:rPr>
        <w:t>При оказании аудиторских услуг аудиторская организация не зависима и соблюдала правила независимости аудиторов и аудиторских организаций. Под независимостью аудиторской организации, аудитора понимается отсутствие отношений связанности (аффилированности), основанной на имущественной, родственной или иной зависимости аудиторской организации, аудитора от аудируемого лица, его учредителей (участников, акционеров), руководителей и иных должностных лиц, других лиц, в случаях, предусмотренных настоящим Федеральным законом, другими федеральными законами, правилами независимости аудиторов и аудиторских организаций.</w:t>
      </w:r>
    </w:p>
    <w:p>
      <w:pPr>
        <w:pStyle w:val="Normal"/>
        <w:spacing w:before="0" w:after="0"/>
        <w:contextualSpacing/>
        <w:jc w:val="both"/>
        <w:rPr>
          <w:b/>
          <w:i/>
          <w:i/>
        </w:rPr>
      </w:pPr>
      <w:r>
        <w:rPr>
          <w:b/>
          <w:i/>
        </w:rPr>
      </w:r>
    </w:p>
    <w:p>
      <w:pPr>
        <w:pStyle w:val="Normal"/>
        <w:spacing w:before="0" w:after="0"/>
        <w:contextualSpacing/>
        <w:jc w:val="both"/>
        <w:rPr>
          <w:highlight w:val="none"/>
          <w:shd w:fill="auto" w:val="clear"/>
        </w:rPr>
      </w:pPr>
      <w:r>
        <w:rPr>
          <w:b/>
          <w:i/>
          <w:shd w:fill="auto" w:val="clear"/>
        </w:rPr>
        <w:t xml:space="preserve">Основной мерой, предпринятой Эмитентом для снижения зависимости друг от друга, является процесс тщательного рассмотрения кандидатуры Аудиторской организации на предмет ее независимости от Эмитента. </w:t>
      </w:r>
    </w:p>
    <w:p>
      <w:pPr>
        <w:pStyle w:val="Normal"/>
        <w:spacing w:before="0" w:after="0"/>
        <w:contextualSpacing/>
        <w:jc w:val="both"/>
        <w:rPr>
          <w:b/>
          <w:i/>
          <w:i/>
        </w:rPr>
      </w:pPr>
      <w:r>
        <w:rPr>
          <w:b/>
          <w:i/>
        </w:rPr>
      </w:r>
    </w:p>
    <w:p>
      <w:pPr>
        <w:pStyle w:val="Normal"/>
        <w:spacing w:before="0" w:after="0"/>
        <w:contextualSpacing/>
        <w:jc w:val="both"/>
        <w:rPr>
          <w:highlight w:val="none"/>
          <w:shd w:fill="auto" w:val="clear"/>
        </w:rPr>
      </w:pPr>
      <w:r>
        <w:rPr>
          <w:b/>
          <w:i/>
          <w:shd w:fill="auto" w:val="clear"/>
        </w:rPr>
        <w:t>Аудиторская организация является полностью независимой от органов управления Эмитента в соответствии с требованиями ст. 8 Федерального закона от 30.12.2008 № 307-ФЗ «Об аудиторской деятельности»; размер вознаграждения Аудиторской организации не ставился в зависимость от результатов проведенной проверки.</w:t>
      </w:r>
    </w:p>
    <w:p>
      <w:pPr>
        <w:pStyle w:val="Normal"/>
        <w:spacing w:before="0" w:after="0"/>
        <w:contextualSpacing/>
        <w:jc w:val="both"/>
        <w:rPr>
          <w:highlight w:val="none"/>
          <w:shd w:fill="auto" w:val="clear"/>
        </w:rPr>
      </w:pPr>
      <w:r>
        <w:rPr>
          <w:shd w:fill="auto" w:val="clear"/>
        </w:rPr>
      </w:r>
    </w:p>
    <w:p>
      <w:pPr>
        <w:pStyle w:val="Normal"/>
        <w:spacing w:before="0" w:after="0"/>
        <w:contextualSpacing/>
        <w:jc w:val="both"/>
        <w:rPr/>
      </w:pPr>
      <w:r>
        <w:rPr/>
        <w:t>Фактический размер вознаграждения, выплаченного эмитентом аудитору за последний завершенный отчетный год, с отдельным указанием размера вознаграждения, выплаченного за аудит (проверку), в том числе обязательный, отчетности эмитента и за оказание сопутствующих аудиту и прочих связанных с аудиторской де</w:t>
      </w:r>
      <w:r>
        <w:rPr>
          <w:shd w:fill="auto" w:val="clear"/>
        </w:rPr>
        <w:t xml:space="preserve">ятельностью услуг: </w:t>
      </w:r>
    </w:p>
    <w:p>
      <w:pPr>
        <w:pStyle w:val="Normal"/>
        <w:jc w:val="both"/>
        <w:rPr/>
      </w:pPr>
      <w:r>
        <w:rPr>
          <w:b/>
          <w:i/>
          <w:shd w:fill="auto" w:val="clear"/>
        </w:rPr>
        <w:t>Фактический р</w:t>
      </w:r>
      <w:r>
        <w:rPr>
          <w:rStyle w:val="Subst"/>
          <w:bCs/>
          <w:iCs/>
          <w:sz w:val="20"/>
          <w:shd w:fill="auto" w:val="clear"/>
        </w:rPr>
        <w:t>азмер вознаграждения, выплаченного ООО «Группа Финансы», за аудит    консолидированной (финансовой) отчетности в соответствии со стандартами МСФО и бухгалтерской (финансовой) отчетности Общества за 2024 год составляет 4 190 200 рублей (без учета НДС).</w:t>
        <w:br/>
        <w:t>В соответствии с графиком платежей по договору с ООО «Группа Финансы» в первом полугодии 2025 года выплачено за аудит годовой консолидированной отчетности по стандартам МФСО за 2024 в размере 1 722 000 рублей (без учета НДС), годовой бухгалтерской (финансовой) отчетности в соответствии со стандартами РСБУ за 2024 год в размере 1 291 500 рублей (без учета НДС).</w:t>
      </w:r>
    </w:p>
    <w:p>
      <w:pPr>
        <w:pStyle w:val="Normal"/>
        <w:jc w:val="both"/>
        <w:rPr/>
      </w:pPr>
      <w:r>
        <w:rPr/>
      </w:r>
    </w:p>
    <w:p>
      <w:pPr>
        <w:pStyle w:val="Normal"/>
        <w:jc w:val="both"/>
        <w:rPr/>
      </w:pPr>
      <w:r>
        <w:rPr>
          <w:b/>
          <w:i/>
        </w:rPr>
        <w:t>Отсроченных и просроченных платежей за оказанные аудитором услуги нет</w:t>
      </w:r>
    </w:p>
    <w:p>
      <w:pPr>
        <w:pStyle w:val="Normal"/>
        <w:jc w:val="both"/>
        <w:rPr/>
      </w:pPr>
      <w:r>
        <w:rPr>
          <w:b/>
          <w:i/>
        </w:rPr>
        <w:t>Аудитор проводил проверку консолидированной финансовой отчетности эмитента</w:t>
      </w:r>
    </w:p>
    <w:p>
      <w:pPr>
        <w:pStyle w:val="Normal"/>
        <w:spacing w:before="20" w:after="40"/>
        <w:contextualSpacing/>
        <w:jc w:val="both"/>
        <w:rPr/>
      </w:pPr>
      <w:r>
        <w:rPr/>
      </w:r>
    </w:p>
    <w:p>
      <w:pPr>
        <w:pStyle w:val="Normal"/>
        <w:spacing w:before="0" w:after="0"/>
        <w:contextualSpacing/>
        <w:jc w:val="both"/>
        <w:rPr/>
      </w:pPr>
      <w:r>
        <w:rPr/>
        <w:t>Фактический размер вознаграждения, выплаченного эмитентом и подконтрольными эмитенту организациями, имеющими для него существенное значение, указанному аудитору за аудит (проверку), в том числе обязательный, консолидированной финансовой отчетности эмитента за последний завершенный отчетный год и за оказание сопутствующих аудиту и прочих связанных с аудиторской деятельностью услуг:</w:t>
      </w:r>
    </w:p>
    <w:p>
      <w:pPr>
        <w:pStyle w:val="Normal"/>
        <w:spacing w:before="0" w:after="0"/>
        <w:contextualSpacing/>
        <w:jc w:val="both"/>
        <w:rPr/>
      </w:pPr>
      <w:r>
        <w:rPr>
          <w:b/>
          <w:i/>
        </w:rPr>
        <w:t>Информация о вознаграждении, предусмотренная настоящим подпунктом, раскрывается в отношении Эмитента. Размер вознаграждения, выплаченного за аудит (проверку), в том числе обязательный, консолидированной финансовой отчетности Эмитента за 2024 год указан выше.</w:t>
      </w:r>
    </w:p>
    <w:p>
      <w:pPr>
        <w:pStyle w:val="Normal"/>
        <w:spacing w:before="20" w:after="40"/>
        <w:contextualSpacing/>
        <w:jc w:val="both"/>
        <w:rPr/>
      </w:pPr>
      <w:r>
        <w:rPr>
          <w:b/>
          <w:i/>
        </w:rPr>
        <w:t>Подконтрольной ПАО «Камчатскэнерго» организации АО «ЮЭСК» услуги по аудиту бухгалтерской (финансовой) отчетности в 2025 году не оказывались.</w:t>
      </w:r>
    </w:p>
    <w:p>
      <w:pPr>
        <w:pStyle w:val="Normal"/>
        <w:spacing w:before="0" w:after="0"/>
        <w:contextualSpacing/>
        <w:jc w:val="both"/>
        <w:rPr/>
      </w:pPr>
      <w:r>
        <w:rPr>
          <w:b/>
          <w:i/>
        </w:rPr>
        <w:t>Сопутствующие аудиту и прочие связанные с аудиторской деятельностью услуги, Аудиторской организацией эмитенту не оказывались.</w:t>
      </w:r>
    </w:p>
    <w:p>
      <w:pPr>
        <w:pStyle w:val="Normal"/>
        <w:spacing w:before="0" w:after="0"/>
        <w:contextualSpacing/>
        <w:jc w:val="both"/>
        <w:rPr/>
      </w:pPr>
      <w:r>
        <w:rPr/>
      </w:r>
    </w:p>
    <w:p>
      <w:pPr>
        <w:pStyle w:val="Normal"/>
        <w:spacing w:before="0" w:after="0"/>
        <w:contextualSpacing/>
        <w:jc w:val="both"/>
        <w:rPr/>
      </w:pPr>
      <w:r>
        <w:rPr/>
        <w:t>Процедура выдвижения кандидатуры аудитора для утверждения общим собранием акционеров (участников) эмитента, в том числе орган управления эмитента, принимающий решение о выдвижении кандидатуры аудитора эмитента:</w:t>
      </w:r>
    </w:p>
    <w:p>
      <w:pPr>
        <w:pStyle w:val="Normal"/>
        <w:widowControl w:val="false"/>
        <w:suppressAutoHyphens w:val="true"/>
        <w:bidi w:val="0"/>
        <w:spacing w:before="23" w:after="40"/>
        <w:ind w:left="0" w:right="0" w:hanging="0"/>
        <w:contextualSpacing/>
        <w:jc w:val="both"/>
        <w:rPr/>
      </w:pPr>
      <w:r>
        <w:rPr>
          <w:rStyle w:val="Subst"/>
          <w:rFonts w:eastAsia="0" w:cs="0"/>
          <w:b/>
          <w:i/>
          <w:color w:val="000000"/>
          <w:kern w:val="0"/>
          <w:sz w:val="20"/>
          <w:szCs w:val="24"/>
          <w:lang w:val="ru-RU" w:eastAsia="zh-CN" w:bidi="hi-IN"/>
        </w:rPr>
        <w:t>В рамках проведения внеплановой закупки на оказание услуг по аудиту бухгалтерской отчетности, подготовленной в соответствии с российскими стандартами бухгалтерского учета, и финансовой отчетности по международным стандартам финансовой отчетности за 2024 год как у единственного поставщика, эмитентом направлен запрос предложений в аудиторские организации, включенные в реестр аудиторских организаций, оказывающих аудиторские услуги ОЗОФР. На основании полученных предложений и определения их результатов заключен договор сроком на 1 год с   ООО «Группа Финансы»</w:t>
      </w:r>
    </w:p>
    <w:p>
      <w:pPr>
        <w:pStyle w:val="Normal"/>
        <w:spacing w:before="0" w:after="0"/>
        <w:contextualSpacing/>
        <w:rPr>
          <w:b/>
          <w:i/>
          <w:i/>
        </w:rPr>
      </w:pPr>
      <w:r>
        <w:rPr>
          <w:b/>
          <w:i/>
        </w:rPr>
      </w:r>
    </w:p>
    <w:p>
      <w:pPr>
        <w:pStyle w:val="Normal"/>
        <w:spacing w:before="20" w:after="40"/>
        <w:contextualSpacing/>
        <w:jc w:val="both"/>
        <w:rPr/>
      </w:pPr>
      <w:r>
        <w:rPr/>
        <w:t xml:space="preserve">Процедура выдвижения кандидатуры аудитора для утверждения общим собранием акционеров (участников), в том числе орган управления эмитента, принимающий решение о выдвижении кандидатуры аудитора эмитента: </w:t>
      </w:r>
    </w:p>
    <w:p>
      <w:pPr>
        <w:pStyle w:val="Normal"/>
        <w:spacing w:before="20" w:after="40"/>
        <w:contextualSpacing/>
        <w:jc w:val="both"/>
        <w:rPr/>
      </w:pPr>
      <w:r>
        <w:rPr>
          <w:b/>
          <w:i/>
        </w:rPr>
        <w:t xml:space="preserve">Совет директоров Эмитента рекомендует кандидатуру Аудиторской организации для назначения Общим собранием акционеров Общества. </w:t>
      </w:r>
    </w:p>
    <w:p>
      <w:pPr>
        <w:pStyle w:val="Normal"/>
        <w:spacing w:before="20" w:after="40"/>
        <w:contextualSpacing/>
        <w:jc w:val="both"/>
        <w:rPr/>
      </w:pPr>
      <w:r>
        <w:rPr>
          <w:b/>
          <w:i/>
        </w:rPr>
        <w:t xml:space="preserve">В соответствии с требованиями законодательства Российской Федерации Эмитент обязан проводить ежегодный аудит финансовой отчетности. Для проведения аудита годовой бухгалтерской (финансовой) отчетности Общее собрание акционеров ежегодно назначает Аудиторскую организацию Общества. </w:t>
      </w:r>
    </w:p>
    <w:p>
      <w:pPr>
        <w:pStyle w:val="Normal"/>
        <w:spacing w:before="20" w:after="40"/>
        <w:contextualSpacing/>
        <w:jc w:val="both"/>
        <w:rPr/>
      </w:pPr>
      <w:r>
        <w:rPr>
          <w:b/>
          <w:i/>
        </w:rPr>
        <w:t xml:space="preserve">Общество с ограниченной ответственностью «Группа Финансы» назначена Аудиторской организацией эмитента на 2024 год в соответствии с решением внеочередного Общего собрания акционеров Общества от 03.10.2024 (протокол от 07.10.2024 №2). </w:t>
      </w:r>
    </w:p>
    <w:p>
      <w:pPr>
        <w:pStyle w:val="Normal"/>
        <w:spacing w:before="20" w:after="40"/>
        <w:contextualSpacing/>
        <w:jc w:val="both"/>
        <w:rPr>
          <w:b/>
          <w:i/>
          <w:i/>
        </w:rPr>
      </w:pPr>
      <w:r>
        <w:rPr>
          <w:b/>
          <w:i/>
        </w:rPr>
      </w:r>
    </w:p>
    <w:p>
      <w:pPr>
        <w:pStyle w:val="Normal"/>
        <w:spacing w:before="20" w:after="40"/>
        <w:contextualSpacing/>
        <w:jc w:val="both"/>
        <w:rPr>
          <w:b/>
          <w:i/>
          <w:i/>
        </w:rPr>
      </w:pPr>
      <w:r>
        <w:rPr>
          <w:b/>
          <w:i/>
        </w:rPr>
      </w:r>
    </w:p>
    <w:p>
      <w:pPr>
        <w:pStyle w:val="Normal"/>
        <w:spacing w:before="20" w:after="40"/>
        <w:contextualSpacing/>
        <w:jc w:val="both"/>
        <w:rPr>
          <w:b/>
          <w:i/>
          <w:i/>
          <w:shd w:fill="FFFF00" w:val="clear"/>
        </w:rPr>
      </w:pPr>
      <w:r>
        <w:rPr>
          <w:b/>
          <w:i/>
          <w:shd w:fill="FFFF00" w:val="clear"/>
        </w:rPr>
      </w:r>
    </w:p>
    <w:p>
      <w:pPr>
        <w:pStyle w:val="Normal"/>
        <w:spacing w:before="20" w:after="40"/>
        <w:ind w:firstLine="57"/>
        <w:contextualSpacing/>
        <w:jc w:val="both"/>
        <w:rPr/>
      </w:pPr>
      <w:r>
        <w:rPr/>
        <w:t>Полное фирменное наименование:</w:t>
      </w:r>
      <w:r>
        <w:rPr>
          <w:rFonts w:ascii="Times New Roman" w:hAnsi="Times New Roman"/>
          <w:b/>
          <w:i/>
          <w:sz w:val="26"/>
          <w:szCs w:val="26"/>
        </w:rPr>
        <w:t xml:space="preserve"> </w:t>
      </w:r>
      <w:r>
        <w:rPr>
          <w:b/>
          <w:bCs/>
          <w:i/>
        </w:rPr>
        <w:t>Акционерное общество «Технологии Доверия – Аудит»</w:t>
      </w:r>
    </w:p>
    <w:p>
      <w:pPr>
        <w:pStyle w:val="Normal"/>
        <w:spacing w:before="20" w:after="40"/>
        <w:contextualSpacing/>
        <w:jc w:val="both"/>
        <w:rPr/>
      </w:pPr>
      <w:r>
        <w:rPr/>
        <w:t xml:space="preserve">Сокращенное фирменное наименование: </w:t>
      </w:r>
      <w:r>
        <w:rPr>
          <w:rStyle w:val="-"/>
          <w:rFonts w:eastAsia="0" w:cs="0"/>
          <w:b/>
          <w:bCs/>
          <w:i/>
          <w:color w:val="000000"/>
          <w:sz w:val="20"/>
          <w:u w:val="none"/>
        </w:rPr>
        <w:t>АО «Технологии Доверия – Аудит»</w:t>
      </w:r>
    </w:p>
    <w:p>
      <w:pPr>
        <w:pStyle w:val="Normal"/>
        <w:spacing w:before="20" w:after="40"/>
        <w:contextualSpacing/>
        <w:jc w:val="both"/>
        <w:rPr/>
      </w:pPr>
      <w:r>
        <w:rPr/>
        <w:t>Место нахождения:</w:t>
      </w:r>
      <w:r>
        <w:rPr>
          <w:rFonts w:ascii="Times New Roman" w:hAnsi="Times New Roman"/>
          <w:b/>
          <w:i/>
          <w:sz w:val="26"/>
          <w:szCs w:val="26"/>
        </w:rPr>
        <w:t xml:space="preserve"> </w:t>
      </w:r>
      <w:r>
        <w:rPr>
          <w:rStyle w:val="-"/>
          <w:rFonts w:eastAsia="0" w:cs="0"/>
          <w:b/>
          <w:bCs/>
          <w:i/>
          <w:color w:val="000000"/>
          <w:sz w:val="20"/>
          <w:u w:val="none"/>
        </w:rPr>
        <w:t>117218, г. Москва, вн.тер.г. МО Академический,</w:t>
      </w:r>
      <w:r>
        <w:rPr>
          <w:rStyle w:val="-"/>
          <w:rFonts w:eastAsia="0" w:cs="0" w:ascii="Times New Roman" w:hAnsi="Times New Roman"/>
          <w:b/>
          <w:i/>
          <w:color w:val="000000"/>
          <w:sz w:val="26"/>
          <w:szCs w:val="26"/>
          <w:u w:val="none"/>
        </w:rPr>
        <w:t xml:space="preserve"> </w:t>
      </w:r>
      <w:r>
        <w:rPr>
          <w:rStyle w:val="-"/>
          <w:rFonts w:eastAsia="0" w:cs="0"/>
          <w:b/>
          <w:bCs/>
          <w:i/>
          <w:color w:val="000000"/>
          <w:sz w:val="20"/>
          <w:u w:val="none"/>
        </w:rPr>
        <w:t>ул. Кржижановского, д. 14, к. 3, помещ. 5/1</w:t>
      </w:r>
    </w:p>
    <w:p>
      <w:pPr>
        <w:pStyle w:val="Normal"/>
        <w:spacing w:before="20" w:after="40"/>
        <w:contextualSpacing/>
        <w:jc w:val="both"/>
        <w:rPr>
          <w:rStyle w:val="-"/>
          <w:rFonts w:eastAsia="0" w:cs="0"/>
          <w:b/>
          <w:bCs/>
          <w:i/>
          <w:i/>
          <w:color w:val="000000"/>
          <w:sz w:val="20"/>
          <w:u w:val="none"/>
        </w:rPr>
      </w:pPr>
      <w:r>
        <w:rPr/>
        <w:t xml:space="preserve">ИНН: </w:t>
      </w:r>
      <w:r>
        <w:rPr>
          <w:rStyle w:val="-"/>
          <w:rFonts w:eastAsia="0" w:cs="0"/>
          <w:b/>
          <w:bCs/>
          <w:i/>
          <w:color w:val="000000"/>
          <w:sz w:val="20"/>
          <w:u w:val="none"/>
        </w:rPr>
        <w:t>7705051102</w:t>
      </w:r>
    </w:p>
    <w:p>
      <w:pPr>
        <w:pStyle w:val="Normal"/>
        <w:spacing w:before="20" w:after="40"/>
        <w:contextualSpacing/>
        <w:jc w:val="both"/>
        <w:rPr/>
      </w:pPr>
      <w:r>
        <w:rPr/>
        <w:t>ОГРН:</w:t>
      </w:r>
      <w:r>
        <w:rPr>
          <w:rFonts w:ascii="Times New Roman" w:hAnsi="Times New Roman"/>
          <w:b/>
          <w:i/>
          <w:sz w:val="26"/>
          <w:szCs w:val="26"/>
        </w:rPr>
        <w:t xml:space="preserve"> </w:t>
      </w:r>
      <w:r>
        <w:rPr>
          <w:rStyle w:val="-"/>
          <w:rFonts w:eastAsia="0" w:cs="0"/>
          <w:b/>
          <w:bCs/>
          <w:i/>
          <w:color w:val="000000"/>
          <w:sz w:val="20"/>
          <w:u w:val="none"/>
        </w:rPr>
        <w:t>1027700148431</w:t>
      </w:r>
    </w:p>
    <w:p>
      <w:pPr>
        <w:pStyle w:val="Normal"/>
        <w:spacing w:before="20" w:after="40"/>
        <w:contextualSpacing/>
        <w:jc w:val="both"/>
        <w:rPr>
          <w:b/>
          <w:i/>
          <w:i/>
          <w:shd w:fill="FFFF00" w:val="clear"/>
        </w:rPr>
      </w:pPr>
      <w:r>
        <w:rPr>
          <w:b/>
          <w:i/>
          <w:shd w:fill="FFFF00" w:val="clear"/>
        </w:rPr>
      </w:r>
    </w:p>
    <w:p>
      <w:pPr>
        <w:pStyle w:val="Normal"/>
        <w:jc w:val="both"/>
        <w:rPr/>
      </w:pPr>
      <w:r>
        <w:rPr/>
        <w:t>Отчетный год и (или) иной отчетный период из числа последних трех завершенных отчетных лет и текущего года, за который аудитором проводилась (будет проводиться) проверка отчетности эмитента:</w:t>
      </w:r>
    </w:p>
    <w:p>
      <w:pPr>
        <w:pStyle w:val="ThinDelim"/>
        <w:rPr/>
      </w:pPr>
      <w:r>
        <w:rPr/>
      </w:r>
    </w:p>
    <w:tbl>
      <w:tblPr>
        <w:tblW w:w="9101" w:type="dxa"/>
        <w:jc w:val="left"/>
        <w:tblInd w:w="112" w:type="dxa"/>
        <w:tblLayout w:type="fixed"/>
        <w:tblCellMar>
          <w:top w:w="0" w:type="dxa"/>
          <w:left w:w="72" w:type="dxa"/>
          <w:bottom w:w="0" w:type="dxa"/>
          <w:right w:w="72" w:type="dxa"/>
        </w:tblCellMar>
        <w:tblLook w:noVBand="1" w:val="04a0" w:noHBand="0" w:lastColumn="0" w:firstColumn="1" w:lastRow="0" w:firstRow="1"/>
      </w:tblPr>
      <w:tblGrid>
        <w:gridCol w:w="4666"/>
        <w:gridCol w:w="4434"/>
      </w:tblGrid>
      <w:tr>
        <w:trPr/>
        <w:tc>
          <w:tcPr>
            <w:tcW w:w="466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3" w:after="40"/>
              <w:contextualSpacing/>
              <w:jc w:val="center"/>
              <w:rPr/>
            </w:pPr>
            <w:r>
              <w:rPr>
                <w:b/>
                <w:bCs/>
                <w:i/>
                <w:iCs/>
                <w:sz w:val="18"/>
                <w:szCs w:val="18"/>
              </w:rPr>
              <w:t>Отчетный год и (или) иной отчетный период из числа последних трех завершенных отчетных лет и текущего года, за который аудитором проводилась (будет проводиться) проверка отчетности эмитента</w:t>
            </w:r>
          </w:p>
        </w:tc>
        <w:tc>
          <w:tcPr>
            <w:tcW w:w="4434"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3" w:after="40"/>
              <w:contextualSpacing/>
              <w:jc w:val="center"/>
              <w:rPr/>
            </w:pPr>
            <w:r>
              <w:rPr>
                <w:b/>
                <w:bCs/>
                <w:i/>
                <w:iCs/>
                <w:sz w:val="18"/>
                <w:szCs w:val="18"/>
              </w:rPr>
              <w:t>Вид отчетности эмитента, в отношении которой аудитором проводилась (будет проводиться) проверка (бухгалтерская (финансовая) отчетность; консолидированная финансовая отчетность или финансовая отчетность)</w:t>
            </w:r>
          </w:p>
        </w:tc>
      </w:tr>
      <w:tr>
        <w:trPr/>
        <w:tc>
          <w:tcPr>
            <w:tcW w:w="466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3" w:after="40"/>
              <w:contextualSpacing/>
              <w:rPr/>
            </w:pPr>
            <w:r>
              <w:rPr>
                <w:b/>
                <w:bCs/>
                <w:i/>
                <w:iCs/>
                <w:sz w:val="18"/>
                <w:szCs w:val="18"/>
              </w:rPr>
              <w:t>6 месяцев 2025</w:t>
            </w:r>
          </w:p>
        </w:tc>
        <w:tc>
          <w:tcPr>
            <w:tcW w:w="4434"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3" w:after="40"/>
              <w:contextualSpacing/>
              <w:rPr/>
            </w:pPr>
            <w:r>
              <w:rPr>
                <w:b/>
                <w:bCs/>
                <w:i/>
                <w:iCs/>
                <w:sz w:val="18"/>
                <w:szCs w:val="18"/>
              </w:rPr>
              <w:t>Консолидированная отчетность</w:t>
            </w:r>
          </w:p>
        </w:tc>
      </w:tr>
      <w:tr>
        <w:trPr/>
        <w:tc>
          <w:tcPr>
            <w:tcW w:w="466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3" w:after="40"/>
              <w:contextualSpacing/>
              <w:rPr/>
            </w:pPr>
            <w:r>
              <w:rPr>
                <w:b/>
                <w:bCs/>
                <w:i/>
                <w:iCs/>
                <w:sz w:val="18"/>
                <w:szCs w:val="18"/>
              </w:rPr>
              <w:t>2025</w:t>
            </w:r>
          </w:p>
        </w:tc>
        <w:tc>
          <w:tcPr>
            <w:tcW w:w="4434"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3" w:after="40"/>
              <w:contextualSpacing/>
              <w:rPr/>
            </w:pPr>
            <w:r>
              <w:rPr>
                <w:b/>
                <w:bCs/>
                <w:i/>
                <w:iCs/>
                <w:sz w:val="18"/>
                <w:szCs w:val="18"/>
              </w:rPr>
              <w:t>Консолидированная отчетность</w:t>
            </w:r>
          </w:p>
        </w:tc>
      </w:tr>
      <w:tr>
        <w:trPr/>
        <w:tc>
          <w:tcPr>
            <w:tcW w:w="4666"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3" w:after="40"/>
              <w:contextualSpacing/>
              <w:rPr/>
            </w:pPr>
            <w:r>
              <w:rPr>
                <w:b/>
                <w:bCs/>
                <w:i/>
                <w:iCs/>
                <w:sz w:val="18"/>
                <w:szCs w:val="18"/>
              </w:rPr>
              <w:t>2025</w:t>
            </w:r>
          </w:p>
        </w:tc>
        <w:tc>
          <w:tcPr>
            <w:tcW w:w="4434" w:type="dxa"/>
            <w:tcBorders>
              <w:top w:val="single" w:sz="6" w:space="0" w:color="000000"/>
              <w:left w:val="single" w:sz="6" w:space="0" w:color="000000"/>
              <w:bottom w:val="single" w:sz="6" w:space="0" w:color="000000"/>
              <w:right w:val="single" w:sz="6" w:space="0" w:color="000000"/>
            </w:tcBorders>
          </w:tcPr>
          <w:p>
            <w:pPr>
              <w:pStyle w:val="Normal"/>
              <w:widowControl w:val="false"/>
              <w:spacing w:before="23" w:after="40"/>
              <w:contextualSpacing/>
              <w:rPr/>
            </w:pPr>
            <w:r>
              <w:rPr>
                <w:b/>
                <w:bCs/>
                <w:i/>
                <w:iCs/>
                <w:sz w:val="18"/>
                <w:szCs w:val="18"/>
              </w:rPr>
              <w:t>Бухгалтерская (финансовая) отчетность</w:t>
            </w:r>
          </w:p>
        </w:tc>
      </w:tr>
      <w:tr>
        <w:trPr/>
        <w:tc>
          <w:tcPr>
            <w:tcW w:w="4666" w:type="dxa"/>
            <w:tcBorders>
              <w:left w:val="single" w:sz="6" w:space="0" w:color="000000"/>
              <w:bottom w:val="single" w:sz="6" w:space="0" w:color="000000"/>
              <w:right w:val="single" w:sz="6" w:space="0" w:color="000000"/>
            </w:tcBorders>
          </w:tcPr>
          <w:p>
            <w:pPr>
              <w:pStyle w:val="Normal"/>
              <w:widowControl w:val="false"/>
              <w:spacing w:before="23" w:after="40"/>
              <w:contextualSpacing/>
              <w:rPr/>
            </w:pPr>
            <w:r>
              <w:rPr>
                <w:b/>
                <w:bCs/>
                <w:i/>
                <w:iCs/>
                <w:sz w:val="18"/>
                <w:szCs w:val="18"/>
              </w:rPr>
              <w:t>6 месяцев 2026</w:t>
            </w:r>
          </w:p>
        </w:tc>
        <w:tc>
          <w:tcPr>
            <w:tcW w:w="4434" w:type="dxa"/>
            <w:tcBorders>
              <w:left w:val="single" w:sz="6" w:space="0" w:color="000000"/>
              <w:bottom w:val="single" w:sz="6" w:space="0" w:color="000000"/>
              <w:right w:val="single" w:sz="6" w:space="0" w:color="000000"/>
            </w:tcBorders>
          </w:tcPr>
          <w:p>
            <w:pPr>
              <w:pStyle w:val="Normal"/>
              <w:widowControl w:val="false"/>
              <w:spacing w:before="23" w:after="40"/>
              <w:contextualSpacing/>
              <w:rPr/>
            </w:pPr>
            <w:r>
              <w:rPr>
                <w:b/>
                <w:bCs/>
                <w:i/>
                <w:iCs/>
                <w:sz w:val="18"/>
                <w:szCs w:val="18"/>
              </w:rPr>
              <w:t>Консолидированная отчетность</w:t>
            </w:r>
          </w:p>
        </w:tc>
      </w:tr>
      <w:tr>
        <w:trPr/>
        <w:tc>
          <w:tcPr>
            <w:tcW w:w="4666" w:type="dxa"/>
            <w:tcBorders>
              <w:left w:val="single" w:sz="6" w:space="0" w:color="000000"/>
              <w:bottom w:val="single" w:sz="6" w:space="0" w:color="000000"/>
              <w:right w:val="single" w:sz="6" w:space="0" w:color="000000"/>
            </w:tcBorders>
          </w:tcPr>
          <w:p>
            <w:pPr>
              <w:pStyle w:val="Normal"/>
              <w:widowControl w:val="false"/>
              <w:spacing w:before="23" w:after="40"/>
              <w:contextualSpacing/>
              <w:rPr/>
            </w:pPr>
            <w:r>
              <w:rPr>
                <w:b/>
                <w:bCs/>
                <w:i/>
                <w:iCs/>
                <w:sz w:val="18"/>
                <w:szCs w:val="18"/>
              </w:rPr>
              <w:t>2026</w:t>
            </w:r>
          </w:p>
        </w:tc>
        <w:tc>
          <w:tcPr>
            <w:tcW w:w="4434" w:type="dxa"/>
            <w:tcBorders>
              <w:left w:val="single" w:sz="6" w:space="0" w:color="000000"/>
              <w:bottom w:val="single" w:sz="6" w:space="0" w:color="000000"/>
              <w:right w:val="single" w:sz="6" w:space="0" w:color="000000"/>
            </w:tcBorders>
          </w:tcPr>
          <w:p>
            <w:pPr>
              <w:pStyle w:val="Normal"/>
              <w:widowControl w:val="false"/>
              <w:spacing w:before="23" w:after="40"/>
              <w:contextualSpacing/>
              <w:rPr/>
            </w:pPr>
            <w:r>
              <w:rPr>
                <w:b/>
                <w:bCs/>
                <w:i/>
                <w:iCs/>
                <w:sz w:val="18"/>
                <w:szCs w:val="18"/>
              </w:rPr>
              <w:t>Консолидированная отчетность</w:t>
            </w:r>
          </w:p>
        </w:tc>
      </w:tr>
      <w:tr>
        <w:trPr/>
        <w:tc>
          <w:tcPr>
            <w:tcW w:w="4666" w:type="dxa"/>
            <w:tcBorders>
              <w:left w:val="single" w:sz="6" w:space="0" w:color="000000"/>
              <w:bottom w:val="single" w:sz="6" w:space="0" w:color="000000"/>
              <w:right w:val="single" w:sz="6" w:space="0" w:color="000000"/>
            </w:tcBorders>
          </w:tcPr>
          <w:p>
            <w:pPr>
              <w:pStyle w:val="Normal"/>
              <w:widowControl w:val="false"/>
              <w:spacing w:before="23" w:after="40"/>
              <w:contextualSpacing/>
              <w:rPr/>
            </w:pPr>
            <w:r>
              <w:rPr>
                <w:b/>
                <w:bCs/>
                <w:i/>
                <w:iCs/>
                <w:sz w:val="18"/>
                <w:szCs w:val="18"/>
              </w:rPr>
              <w:t>2026</w:t>
            </w:r>
          </w:p>
        </w:tc>
        <w:tc>
          <w:tcPr>
            <w:tcW w:w="4434" w:type="dxa"/>
            <w:tcBorders>
              <w:left w:val="single" w:sz="6" w:space="0" w:color="000000"/>
              <w:bottom w:val="single" w:sz="6" w:space="0" w:color="000000"/>
              <w:right w:val="single" w:sz="6" w:space="0" w:color="000000"/>
            </w:tcBorders>
          </w:tcPr>
          <w:p>
            <w:pPr>
              <w:pStyle w:val="Normal"/>
              <w:widowControl w:val="false"/>
              <w:spacing w:before="23" w:after="40"/>
              <w:contextualSpacing/>
              <w:rPr/>
            </w:pPr>
            <w:r>
              <w:rPr>
                <w:b/>
                <w:bCs/>
                <w:i/>
                <w:iCs/>
                <w:sz w:val="18"/>
                <w:szCs w:val="18"/>
              </w:rPr>
              <w:t>Бухгалтерская (финансовая) отчетность</w:t>
            </w:r>
          </w:p>
        </w:tc>
      </w:tr>
      <w:tr>
        <w:trPr/>
        <w:tc>
          <w:tcPr>
            <w:tcW w:w="4666" w:type="dxa"/>
            <w:tcBorders>
              <w:left w:val="single" w:sz="6" w:space="0" w:color="000000"/>
              <w:bottom w:val="single" w:sz="6" w:space="0" w:color="000000"/>
              <w:right w:val="single" w:sz="6" w:space="0" w:color="000000"/>
            </w:tcBorders>
          </w:tcPr>
          <w:p>
            <w:pPr>
              <w:pStyle w:val="Normal"/>
              <w:widowControl w:val="false"/>
              <w:spacing w:before="23" w:after="40"/>
              <w:contextualSpacing/>
              <w:rPr/>
            </w:pPr>
            <w:r>
              <w:rPr>
                <w:b/>
                <w:bCs/>
                <w:i/>
                <w:iCs/>
                <w:sz w:val="18"/>
                <w:szCs w:val="18"/>
              </w:rPr>
              <w:t>6 месяцев 2027</w:t>
            </w:r>
          </w:p>
        </w:tc>
        <w:tc>
          <w:tcPr>
            <w:tcW w:w="4434" w:type="dxa"/>
            <w:tcBorders>
              <w:left w:val="single" w:sz="6" w:space="0" w:color="000000"/>
              <w:bottom w:val="single" w:sz="6" w:space="0" w:color="000000"/>
              <w:right w:val="single" w:sz="6" w:space="0" w:color="000000"/>
            </w:tcBorders>
          </w:tcPr>
          <w:p>
            <w:pPr>
              <w:pStyle w:val="Normal"/>
              <w:widowControl w:val="false"/>
              <w:spacing w:before="23" w:after="40"/>
              <w:contextualSpacing/>
              <w:rPr/>
            </w:pPr>
            <w:r>
              <w:rPr>
                <w:b/>
                <w:bCs/>
                <w:i/>
                <w:iCs/>
                <w:sz w:val="18"/>
                <w:szCs w:val="18"/>
              </w:rPr>
              <w:t>Консолидированная отчетность</w:t>
            </w:r>
          </w:p>
        </w:tc>
      </w:tr>
      <w:tr>
        <w:trPr/>
        <w:tc>
          <w:tcPr>
            <w:tcW w:w="4666" w:type="dxa"/>
            <w:tcBorders>
              <w:left w:val="single" w:sz="6" w:space="0" w:color="000000"/>
              <w:bottom w:val="single" w:sz="6" w:space="0" w:color="000000"/>
              <w:right w:val="single" w:sz="6" w:space="0" w:color="000000"/>
            </w:tcBorders>
          </w:tcPr>
          <w:p>
            <w:pPr>
              <w:pStyle w:val="Normal"/>
              <w:widowControl w:val="false"/>
              <w:spacing w:before="23" w:after="40"/>
              <w:contextualSpacing/>
              <w:rPr/>
            </w:pPr>
            <w:r>
              <w:rPr>
                <w:b/>
                <w:bCs/>
                <w:i/>
                <w:iCs/>
                <w:sz w:val="18"/>
                <w:szCs w:val="18"/>
              </w:rPr>
              <w:t>2027</w:t>
            </w:r>
          </w:p>
        </w:tc>
        <w:tc>
          <w:tcPr>
            <w:tcW w:w="4434" w:type="dxa"/>
            <w:tcBorders>
              <w:left w:val="single" w:sz="6" w:space="0" w:color="000000"/>
              <w:bottom w:val="single" w:sz="6" w:space="0" w:color="000000"/>
              <w:right w:val="single" w:sz="6" w:space="0" w:color="000000"/>
            </w:tcBorders>
          </w:tcPr>
          <w:p>
            <w:pPr>
              <w:pStyle w:val="Normal"/>
              <w:widowControl w:val="false"/>
              <w:spacing w:before="23" w:after="40"/>
              <w:contextualSpacing/>
              <w:rPr/>
            </w:pPr>
            <w:r>
              <w:rPr>
                <w:b/>
                <w:bCs/>
                <w:i/>
                <w:iCs/>
                <w:sz w:val="18"/>
                <w:szCs w:val="18"/>
              </w:rPr>
              <w:t>Консолидированная отчетность</w:t>
            </w:r>
          </w:p>
        </w:tc>
      </w:tr>
      <w:tr>
        <w:trPr/>
        <w:tc>
          <w:tcPr>
            <w:tcW w:w="4666" w:type="dxa"/>
            <w:tcBorders>
              <w:left w:val="single" w:sz="6" w:space="0" w:color="000000"/>
              <w:bottom w:val="single" w:sz="6" w:space="0" w:color="000000"/>
              <w:right w:val="single" w:sz="6" w:space="0" w:color="000000"/>
            </w:tcBorders>
          </w:tcPr>
          <w:p>
            <w:pPr>
              <w:pStyle w:val="Normal"/>
              <w:widowControl w:val="false"/>
              <w:spacing w:before="23" w:after="40"/>
              <w:contextualSpacing/>
              <w:rPr/>
            </w:pPr>
            <w:r>
              <w:rPr>
                <w:b/>
                <w:bCs/>
                <w:i/>
                <w:iCs/>
                <w:sz w:val="18"/>
                <w:szCs w:val="18"/>
              </w:rPr>
              <w:t>2027</w:t>
            </w:r>
          </w:p>
        </w:tc>
        <w:tc>
          <w:tcPr>
            <w:tcW w:w="4434" w:type="dxa"/>
            <w:tcBorders>
              <w:left w:val="single" w:sz="6" w:space="0" w:color="000000"/>
              <w:bottom w:val="single" w:sz="6" w:space="0" w:color="000000"/>
              <w:right w:val="single" w:sz="6" w:space="0" w:color="000000"/>
            </w:tcBorders>
          </w:tcPr>
          <w:p>
            <w:pPr>
              <w:pStyle w:val="Normal"/>
              <w:widowControl w:val="false"/>
              <w:spacing w:before="23" w:after="40"/>
              <w:contextualSpacing/>
              <w:rPr/>
            </w:pPr>
            <w:r>
              <w:rPr>
                <w:b/>
                <w:bCs/>
                <w:i/>
                <w:iCs/>
                <w:sz w:val="18"/>
                <w:szCs w:val="18"/>
              </w:rPr>
              <w:t>Бухгалтерская (финансовая) отчетность</w:t>
            </w:r>
          </w:p>
        </w:tc>
      </w:tr>
    </w:tbl>
    <w:p>
      <w:pPr>
        <w:pStyle w:val="Normal"/>
        <w:spacing w:before="20" w:after="40"/>
        <w:contextualSpacing/>
        <w:jc w:val="both"/>
        <w:rPr>
          <w:b/>
          <w:i/>
          <w:i/>
        </w:rPr>
      </w:pPr>
      <w:r>
        <w:rPr>
          <w:b/>
          <w:i/>
        </w:rPr>
      </w:r>
    </w:p>
    <w:p>
      <w:pPr>
        <w:pStyle w:val="Normal"/>
        <w:ind w:left="57" w:hanging="0"/>
        <w:jc w:val="both"/>
        <w:rPr/>
      </w:pPr>
      <w:r>
        <w:rPr/>
        <w:t>Сопутствующие аудиту и прочие связанные с аудиторской деятельностью услуги, которые оказывались (будут оказываться) эмитенту в течение последних трех завершенных отчетных лет и текущего года аудитором:</w:t>
      </w:r>
    </w:p>
    <w:p>
      <w:pPr>
        <w:pStyle w:val="Normal"/>
        <w:ind w:left="57" w:hanging="0"/>
        <w:jc w:val="both"/>
        <w:rPr/>
      </w:pPr>
      <w:r>
        <w:rPr>
          <w:b/>
          <w:i/>
        </w:rPr>
        <w:t>Сопутствующих аудиту и прочих связанных с аудиторской деятельностью услуг в течение последних трех завершенных отчетных лет и текущего года аудитором не оказывалось.</w:t>
      </w:r>
    </w:p>
    <w:p>
      <w:pPr>
        <w:pStyle w:val="Normal"/>
        <w:ind w:left="57" w:hanging="0"/>
        <w:jc w:val="both"/>
        <w:rPr/>
      </w:pPr>
      <w:r>
        <w:rPr/>
      </w:r>
    </w:p>
    <w:p>
      <w:pPr>
        <w:pStyle w:val="Normal"/>
        <w:spacing w:before="20" w:after="40"/>
        <w:contextualSpacing/>
        <w:jc w:val="both"/>
        <w:rPr/>
      </w:pPr>
      <w:r>
        <w:rPr/>
        <w:t>Факторы, которые могут оказать влияние на независимость аудитора, в том числе сведения о наличии существенных интересов (взаимоотношений), связывающих с эмитентом (членами органов управления и органов контроля за финансово-хозяйственной деятельностью эмитента) аудитора эмитента, членов органов управления и органов контроля за финансово-хозяйственной деятельностью аудитора, а также участников аудиторской группы:</w:t>
      </w:r>
    </w:p>
    <w:p>
      <w:pPr>
        <w:pStyle w:val="Normal"/>
        <w:spacing w:before="20" w:after="40"/>
        <w:contextualSpacing/>
        <w:jc w:val="both"/>
        <w:rPr>
          <w:highlight w:val="none"/>
          <w:shd w:fill="auto" w:val="clear"/>
        </w:rPr>
      </w:pPr>
      <w:r>
        <w:rPr>
          <w:b/>
          <w:i/>
          <w:iCs/>
        </w:rPr>
        <w:t>Аудиторская организация независима от Эмитента. Факторов, которые могут оказать влияние на независимость Аудиторской организации от Эмитента, а также существенных интересов (взаимоотношений), связывающих Аудиторскую организацию (членов органов управления и органов контроля за финансово-хозяйственной деятельностью Аудиторской организации, участников аудиторской группы) с Эмитентом (членами органов управления и органов контроля за финансово-хозяйственной деятельностью Эмитента), не выявлено</w:t>
      </w:r>
      <w:r>
        <w:rPr>
          <w:i/>
          <w:iCs/>
        </w:rPr>
        <w:t>.</w:t>
      </w:r>
    </w:p>
    <w:p>
      <w:pPr>
        <w:pStyle w:val="Normal"/>
        <w:spacing w:before="20" w:after="40"/>
        <w:contextualSpacing/>
        <w:jc w:val="both"/>
        <w:rPr>
          <w:highlight w:val="none"/>
          <w:shd w:fill="auto" w:val="clear"/>
        </w:rPr>
      </w:pPr>
      <w:r>
        <w:rPr>
          <w:shd w:fill="auto" w:val="clear"/>
        </w:rPr>
      </w:r>
    </w:p>
    <w:p>
      <w:pPr>
        <w:pStyle w:val="Normal"/>
        <w:spacing w:before="20" w:after="40"/>
        <w:contextualSpacing/>
        <w:jc w:val="both"/>
        <w:rPr>
          <w:highlight w:val="none"/>
          <w:shd w:fill="auto" w:val="clear"/>
        </w:rPr>
      </w:pPr>
      <w:r>
        <w:rPr>
          <w:shd w:fill="auto" w:val="clear"/>
        </w:rPr>
        <w:t>Меры, предпринятые эмитентом и аудитором эмитента для снижения влияния факторов, которые могут оказать влияние на независимость аудитора:</w:t>
      </w:r>
    </w:p>
    <w:p>
      <w:pPr>
        <w:pStyle w:val="Normal"/>
        <w:spacing w:before="0" w:after="0"/>
        <w:contextualSpacing/>
        <w:jc w:val="both"/>
        <w:rPr>
          <w:highlight w:val="none"/>
          <w:shd w:fill="auto" w:val="clear"/>
        </w:rPr>
      </w:pPr>
      <w:r>
        <w:rPr>
          <w:b/>
          <w:i/>
          <w:shd w:fill="auto" w:val="clear"/>
        </w:rPr>
        <w:t xml:space="preserve">Эмитент и Аудиторская организация действовали в рамках законодательства Российской Федерации, в частности, в соответствии с Федеральным законом от 30.12.2008 № 307-ФЗ «Об аудиторской деятельности». </w:t>
      </w:r>
    </w:p>
    <w:p>
      <w:pPr>
        <w:pStyle w:val="Normal"/>
        <w:spacing w:before="0" w:after="0"/>
        <w:contextualSpacing/>
        <w:jc w:val="both"/>
        <w:rPr>
          <w:highlight w:val="none"/>
          <w:shd w:fill="auto" w:val="clear"/>
        </w:rPr>
      </w:pPr>
      <w:r>
        <w:rPr>
          <w:shd w:fill="auto" w:val="clear"/>
        </w:rPr>
      </w:r>
    </w:p>
    <w:p>
      <w:pPr>
        <w:pStyle w:val="Normal"/>
        <w:spacing w:before="0" w:after="0"/>
        <w:contextualSpacing/>
        <w:jc w:val="both"/>
        <w:rPr>
          <w:highlight w:val="none"/>
          <w:shd w:fill="auto" w:val="clear"/>
        </w:rPr>
      </w:pPr>
      <w:r>
        <w:rPr>
          <w:b/>
          <w:i/>
          <w:shd w:fill="auto" w:val="clear"/>
        </w:rPr>
        <w:t>При оказании аудиторских услуг аудиторская организация не зависима и соблюдала правила независимости аудиторов и аудиторских организаций. Под независимостью аудиторской организации, аудитора понимается отсутствие отношений связанности (аффилированности), основанной на имущественной, родственной или иной зависимости аудиторской организации, аудитора от аудируемого лица, его учредителей (участников, акционеров), руководителей и иных должностных лиц, других лиц, в случаях, предусмотренных настоящим Федеральным законом, другими федеральными законами, правилами независимости аудиторов и аудиторских организаций.</w:t>
      </w:r>
    </w:p>
    <w:p>
      <w:pPr>
        <w:pStyle w:val="Normal"/>
        <w:spacing w:before="0" w:after="0"/>
        <w:contextualSpacing/>
        <w:jc w:val="both"/>
        <w:rPr>
          <w:b/>
          <w:i/>
          <w:i/>
          <w:highlight w:val="none"/>
          <w:shd w:fill="auto" w:val="clear"/>
        </w:rPr>
      </w:pPr>
      <w:r>
        <w:rPr>
          <w:b/>
          <w:i/>
          <w:shd w:fill="auto" w:val="clear"/>
        </w:rPr>
      </w:r>
    </w:p>
    <w:p>
      <w:pPr>
        <w:pStyle w:val="Normal"/>
        <w:spacing w:before="0" w:after="0"/>
        <w:contextualSpacing/>
        <w:jc w:val="both"/>
        <w:rPr>
          <w:highlight w:val="none"/>
          <w:shd w:fill="auto" w:val="clear"/>
        </w:rPr>
      </w:pPr>
      <w:r>
        <w:rPr>
          <w:b/>
          <w:i/>
          <w:shd w:fill="auto" w:val="clear"/>
        </w:rPr>
        <w:t xml:space="preserve">Основной мерой, предпринятой Эмитентом для снижения зависимости друг от друга, является процесс тщательного рассмотрения кандидатуры Аудиторской организации на предмет ее независимости от Эмитента. </w:t>
      </w:r>
    </w:p>
    <w:p>
      <w:pPr>
        <w:pStyle w:val="Normal"/>
        <w:spacing w:before="0" w:after="0"/>
        <w:contextualSpacing/>
        <w:jc w:val="both"/>
        <w:rPr>
          <w:b/>
          <w:i/>
          <w:i/>
          <w:highlight w:val="none"/>
          <w:shd w:fill="auto" w:val="clear"/>
        </w:rPr>
      </w:pPr>
      <w:r>
        <w:rPr>
          <w:b/>
          <w:i/>
          <w:shd w:fill="auto" w:val="clear"/>
        </w:rPr>
      </w:r>
    </w:p>
    <w:p>
      <w:pPr>
        <w:pStyle w:val="Normal"/>
        <w:spacing w:before="0" w:after="0"/>
        <w:contextualSpacing/>
        <w:jc w:val="both"/>
        <w:rPr>
          <w:highlight w:val="none"/>
          <w:shd w:fill="auto" w:val="clear"/>
        </w:rPr>
      </w:pPr>
      <w:r>
        <w:rPr>
          <w:b/>
          <w:i/>
          <w:shd w:fill="auto" w:val="clear"/>
        </w:rPr>
        <w:t>Аудиторская организация является полностью независимой от органов управления Эмитента в соответствии с требованиями ст. 8 Федерального закона от 30.12.2008 № 307-ФЗ «Об аудиторской деятельности»; размер вознаграждения Аудиторской организации не ставился в зависимость от результатов проведенной проверки.</w:t>
      </w:r>
    </w:p>
    <w:p>
      <w:pPr>
        <w:pStyle w:val="Normal"/>
        <w:spacing w:before="0" w:after="0"/>
        <w:contextualSpacing/>
        <w:jc w:val="both"/>
        <w:rPr>
          <w:highlight w:val="none"/>
          <w:shd w:fill="auto" w:val="clear"/>
        </w:rPr>
      </w:pPr>
      <w:r>
        <w:rPr>
          <w:shd w:fill="auto" w:val="clear"/>
        </w:rPr>
      </w:r>
    </w:p>
    <w:p>
      <w:pPr>
        <w:pStyle w:val="Normal"/>
        <w:spacing w:before="0" w:after="0"/>
        <w:contextualSpacing/>
        <w:jc w:val="both"/>
        <w:rPr/>
      </w:pPr>
      <w:r>
        <w:rPr/>
        <w:t xml:space="preserve">Фактический размер вознаграждения, выплаченного эмитентом аудитору за последний завершенный отчетный год, с отдельным указанием размера вознаграждения, выплаченного за аудит (проверку), в том числе обязательный, отчетности эмитента и за оказание сопутствующих аудиту и прочих связанных с аудиторской деятельностью услуг: </w:t>
      </w:r>
    </w:p>
    <w:p>
      <w:pPr>
        <w:pStyle w:val="Normal"/>
        <w:jc w:val="both"/>
        <w:rPr/>
      </w:pPr>
      <w:r>
        <w:rPr>
          <w:rStyle w:val="Style12"/>
          <w:rFonts w:eastAsia="0" w:cs="0"/>
          <w:b/>
          <w:i/>
          <w:color w:val="000000"/>
          <w:kern w:val="0"/>
          <w:sz w:val="20"/>
          <w:szCs w:val="24"/>
          <w:shd w:fill="auto" w:val="clear"/>
          <w:lang w:val="ru-RU" w:eastAsia="zh-CN" w:bidi="hi-IN"/>
        </w:rPr>
        <w:t>Размер вознаграждения, выплаченного/подлежащего выплате АО «Технологии Доверия – Аудит», за аудит консолидированной финансовой отчетности Группы и бухгалтерской отчетности Общества за 2025 год составляет 3 281 410 рублей (без учета НДС). </w:t>
      </w:r>
    </w:p>
    <w:p>
      <w:pPr>
        <w:pStyle w:val="Normal"/>
        <w:jc w:val="both"/>
        <w:rPr/>
      </w:pPr>
      <w:r>
        <w:rPr>
          <w:rStyle w:val="Style12"/>
          <w:rFonts w:eastAsia="0" w:cs="0"/>
          <w:b/>
          <w:i/>
          <w:color w:val="000000"/>
          <w:kern w:val="0"/>
          <w:sz w:val="20"/>
          <w:szCs w:val="24"/>
          <w:shd w:fill="auto" w:val="clear"/>
          <w:lang w:val="ru-RU" w:eastAsia="zh-CN" w:bidi="hi-IN"/>
        </w:rPr>
        <w:t>Размер вознаграждения, отличного от представленного выше и выплаченного/подлежащего выплате АО «Технологии Доверия – Аудит», за оказание услуг в течение 2025 года, составляет 1 492 702 рублей (без учета НДС), в том числе:</w:t>
      </w:r>
    </w:p>
    <w:p>
      <w:pPr>
        <w:pStyle w:val="Normal"/>
        <w:jc w:val="both"/>
        <w:rPr/>
      </w:pPr>
      <w:r>
        <w:rPr>
          <w:rStyle w:val="Style12"/>
          <w:rFonts w:eastAsia="0" w:cs="0"/>
          <w:b/>
          <w:i/>
          <w:color w:val="000000"/>
          <w:kern w:val="0"/>
          <w:sz w:val="20"/>
          <w:szCs w:val="24"/>
          <w:shd w:fill="auto" w:val="clear"/>
          <w:lang w:val="ru-RU" w:eastAsia="zh-CN" w:bidi="hi-IN"/>
        </w:rPr>
        <w:t>- за обзорную проверку сокращенной консолидированной промежуточной финансовой информации Группы за шесть месяцев, заканчивающихся 30 июня 2025 года – 1 492 702 рублей (без учета НДС). </w:t>
      </w:r>
    </w:p>
    <w:p>
      <w:pPr>
        <w:pStyle w:val="Normal"/>
        <w:jc w:val="both"/>
        <w:rPr>
          <w:rStyle w:val="Style12"/>
          <w:rFonts w:ascii="0" w:hAnsi="0" w:eastAsia="0" w:cs="0"/>
          <w:b/>
          <w:i/>
          <w:i/>
          <w:color w:val="000000"/>
          <w:kern w:val="0"/>
          <w:sz w:val="20"/>
          <w:szCs w:val="24"/>
          <w:shd w:fill="auto" w:val="clear"/>
          <w:lang w:val="ru-RU" w:eastAsia="zh-CN" w:bidi="hi-IN"/>
        </w:rPr>
      </w:pPr>
      <w:r>
        <w:rPr>
          <w:rFonts w:eastAsia="0" w:cs="0"/>
          <w:b/>
          <w:i/>
          <w:color w:val="000000"/>
          <w:kern w:val="0"/>
          <w:sz w:val="20"/>
          <w:szCs w:val="24"/>
          <w:shd w:fill="auto" w:val="clear"/>
          <w:lang w:val="ru-RU" w:eastAsia="zh-CN" w:bidi="hi-IN"/>
        </w:rPr>
      </w:r>
    </w:p>
    <w:p>
      <w:pPr>
        <w:pStyle w:val="Normal"/>
        <w:jc w:val="both"/>
        <w:rPr/>
      </w:pPr>
      <w:r>
        <w:rPr>
          <w:rStyle w:val="Style12"/>
          <w:rFonts w:eastAsia="0" w:cs="0"/>
          <w:b/>
          <w:i/>
          <w:color w:val="000000"/>
          <w:kern w:val="0"/>
          <w:sz w:val="20"/>
          <w:szCs w:val="24"/>
          <w:shd w:fill="auto" w:val="clear"/>
          <w:lang w:val="ru-RU" w:eastAsia="zh-CN" w:bidi="hi-IN"/>
        </w:rPr>
        <w:t>Прочие неаудиторские услуги аудитором, а также организациями, входящими в группу «Технологии Доверия», эмитенту не оказывались.</w:t>
      </w:r>
    </w:p>
    <w:p>
      <w:pPr>
        <w:pStyle w:val="Normal"/>
        <w:widowControl w:val="false"/>
        <w:suppressAutoHyphens w:val="true"/>
        <w:bidi w:val="0"/>
        <w:spacing w:before="23" w:after="40"/>
        <w:ind w:left="0" w:right="0" w:hanging="0"/>
        <w:contextualSpacing/>
        <w:jc w:val="both"/>
        <w:rPr>
          <w:rStyle w:val="Subst"/>
          <w:rFonts w:eastAsia="0" w:cs="0"/>
          <w:b/>
          <w:i/>
          <w:i/>
          <w:color w:val="000000"/>
          <w:kern w:val="0"/>
          <w:sz w:val="20"/>
          <w:szCs w:val="24"/>
          <w:highlight w:val="none"/>
          <w:shd w:fill="auto" w:val="clear"/>
          <w:lang w:val="ru-RU" w:eastAsia="zh-CN" w:bidi="hi-IN"/>
        </w:rPr>
      </w:pPr>
      <w:r>
        <w:rPr>
          <w:rFonts w:eastAsia="0" w:cs="0"/>
          <w:b/>
          <w:i/>
          <w:color w:val="000000"/>
          <w:kern w:val="0"/>
          <w:sz w:val="20"/>
          <w:szCs w:val="24"/>
          <w:shd w:fill="auto" w:val="clear"/>
          <w:lang w:val="ru-RU" w:eastAsia="zh-CN" w:bidi="hi-IN"/>
        </w:rPr>
      </w:r>
    </w:p>
    <w:p>
      <w:pPr>
        <w:pStyle w:val="Normal"/>
        <w:tabs>
          <w:tab w:val="clear" w:pos="720"/>
          <w:tab w:val="left" w:pos="400" w:leader="none"/>
          <w:tab w:val="left" w:pos="517" w:leader="none"/>
        </w:tabs>
        <w:spacing w:before="0" w:after="0"/>
        <w:contextualSpacing/>
        <w:jc w:val="both"/>
        <w:rPr>
          <w:highlight w:val="none"/>
          <w:shd w:fill="auto" w:val="clear"/>
        </w:rPr>
      </w:pPr>
      <w:r>
        <w:rPr>
          <w:b/>
          <w:i/>
          <w:iCs/>
          <w:shd w:fill="auto" w:val="clear"/>
        </w:rPr>
        <w:t>Сопутствующие аудиту и прочие связанные с аудиторской деятельностью услуги аудитором эмитенту не оказывались.</w:t>
      </w:r>
    </w:p>
    <w:p>
      <w:pPr>
        <w:pStyle w:val="Normal"/>
        <w:tabs>
          <w:tab w:val="clear" w:pos="720"/>
          <w:tab w:val="left" w:pos="400" w:leader="none"/>
          <w:tab w:val="left" w:pos="517" w:leader="none"/>
        </w:tabs>
        <w:jc w:val="both"/>
        <w:rPr>
          <w:b/>
          <w:i/>
          <w:i/>
          <w:iCs/>
        </w:rPr>
      </w:pPr>
      <w:r>
        <w:rPr>
          <w:b/>
          <w:i/>
          <w:iCs/>
        </w:rPr>
        <w:t>Отсроченных и просроченных платежей за оказанные аудитором услуги нет.</w:t>
      </w:r>
    </w:p>
    <w:p>
      <w:pPr>
        <w:pStyle w:val="Normal"/>
        <w:ind w:firstLine="567"/>
        <w:jc w:val="both"/>
        <w:rPr/>
      </w:pPr>
      <w:r>
        <w:rPr/>
      </w:r>
    </w:p>
    <w:p>
      <w:pPr>
        <w:pStyle w:val="Style14"/>
        <w:spacing w:lineRule="auto" w:line="240" w:before="164" w:after="0"/>
        <w:contextualSpacing/>
        <w:jc w:val="both"/>
        <w:rPr/>
      </w:pPr>
      <w:r>
        <w:rPr/>
        <w:t xml:space="preserve">Размер вознаграждения за оказанные аудитором эмитента услуги, выплата которого отложена или просрочена эмитентом, с отдельным указанием отложенного или просроченного вознаграждения за аудит (проверку), в том числе обязательный, отчетности эмитента и за оказание сопутствующих аудиту и прочих связанных с аудиторской деятельностью услуг: </w:t>
      </w:r>
      <w:r>
        <w:rPr>
          <w:b/>
          <w:bCs/>
        </w:rPr>
        <w:t>отложенные или просроченные платежи отсутствуют</w:t>
      </w:r>
    </w:p>
    <w:p>
      <w:pPr>
        <w:pStyle w:val="Style14"/>
        <w:spacing w:lineRule="auto" w:line="240" w:before="164" w:after="0"/>
        <w:contextualSpacing/>
        <w:jc w:val="both"/>
        <w:rPr>
          <w:b/>
          <w:bCs/>
        </w:rPr>
      </w:pPr>
      <w:r>
        <w:rPr>
          <w:b/>
          <w:bCs/>
        </w:rPr>
      </w:r>
    </w:p>
    <w:p>
      <w:pPr>
        <w:pStyle w:val="Normal"/>
        <w:spacing w:before="20" w:after="40"/>
        <w:contextualSpacing/>
        <w:jc w:val="both"/>
        <w:rPr/>
      </w:pPr>
      <w:r>
        <w:rPr/>
        <w:t>Фактический размер вознаграждения, выплаченного эмитентом и подконтрольными эмитенту организациями, имеющими для него существенное значение, указанному аудитору за аудит (проверку), в том числе обязательный, консолидированной финансовой отчетности эмитента за последний завершенный отчетный год и за оказание сопутствующих аудиту и прочих связанных с аудиторской деятельностью услуг:</w:t>
      </w:r>
    </w:p>
    <w:p>
      <w:pPr>
        <w:pStyle w:val="Normal"/>
        <w:suppressAutoHyphens w:val="true"/>
        <w:bidi w:val="0"/>
        <w:spacing w:before="0" w:after="0"/>
        <w:ind w:left="0" w:right="0" w:hanging="0"/>
        <w:contextualSpacing/>
        <w:jc w:val="both"/>
        <w:rPr>
          <w:rFonts w:ascii="0" w:hAnsi="0" w:eastAsia="0" w:cs="0"/>
          <w:b/>
          <w:i/>
          <w:i/>
          <w:iCs/>
          <w:color w:val="000000"/>
          <w:kern w:val="0"/>
          <w:sz w:val="20"/>
          <w:szCs w:val="24"/>
          <w:lang w:val="ru-RU" w:eastAsia="zh-CN" w:bidi="hi-IN"/>
        </w:rPr>
      </w:pPr>
      <w:r>
        <w:rPr>
          <w:rFonts w:eastAsia="0" w:cs="0"/>
          <w:b/>
          <w:i/>
          <w:iCs/>
          <w:color w:val="000000"/>
          <w:kern w:val="0"/>
          <w:sz w:val="20"/>
          <w:szCs w:val="24"/>
          <w:lang w:val="ru-RU" w:eastAsia="zh-CN" w:bidi="hi-IN"/>
        </w:rPr>
        <w:t>Информация о вознаграждении, предусмотренная настоящим подпунктом, раскрывается в отношении Эмитента. Размер вознаграждения, выплаченного за аудит (проверку), в том числе обязательный, консолидированной финансовой отчетности Эмитента за 2025 год указан выше.</w:t>
      </w:r>
    </w:p>
    <w:p>
      <w:pPr>
        <w:pStyle w:val="Style14"/>
        <w:spacing w:before="0" w:after="0"/>
        <w:contextualSpacing/>
        <w:jc w:val="left"/>
        <w:rPr/>
      </w:pPr>
      <w:r>
        <w:rPr>
          <w:rStyle w:val="Subst"/>
          <w:rFonts w:eastAsia="0" w:cs="0"/>
          <w:color w:val="000000"/>
          <w:kern w:val="0"/>
          <w:sz w:val="20"/>
          <w:szCs w:val="24"/>
          <w:lang w:val="ru-RU" w:eastAsia="zh-CN" w:bidi="hi-IN"/>
        </w:rPr>
        <w:t>По</w:t>
      </w:r>
      <w:r>
        <w:rPr>
          <w:rStyle w:val="Subst"/>
          <w:rFonts w:eastAsia="0" w:cs="0"/>
          <w:b/>
          <w:i/>
          <w:iCs/>
          <w:color w:val="000000"/>
          <w:kern w:val="0"/>
          <w:sz w:val="20"/>
          <w:szCs w:val="24"/>
          <w:lang w:val="ru-RU" w:eastAsia="zh-CN" w:bidi="hi-IN"/>
        </w:rPr>
        <w:t>дконтрольной ПАО «Камчатскэнерго» организации АО «ЮЭСК» услуги по аудиту бухгалтерской (финансовой) отчетности не оказывались.</w:t>
      </w:r>
    </w:p>
    <w:p>
      <w:pPr>
        <w:pStyle w:val="Style14"/>
        <w:spacing w:before="0" w:after="0"/>
        <w:contextualSpacing/>
        <w:jc w:val="left"/>
        <w:rPr/>
      </w:pPr>
      <w:r>
        <w:rPr>
          <w:rStyle w:val="Subst"/>
          <w:rFonts w:eastAsia="0" w:cs="0"/>
          <w:b/>
          <w:i/>
          <w:iCs/>
          <w:color w:val="000000"/>
          <w:kern w:val="0"/>
          <w:sz w:val="20"/>
          <w:szCs w:val="24"/>
          <w:lang w:val="ru-RU" w:eastAsia="zh-CN" w:bidi="hi-IN"/>
        </w:rPr>
        <w:t>Сопутствующие аудиту и прочие связанные с аудиторской деятельностью услуги, Аудиторской организацией эмитенту не оказыва</w:t>
      </w:r>
    </w:p>
    <w:p>
      <w:pPr>
        <w:pStyle w:val="Normal"/>
        <w:ind w:firstLine="567"/>
        <w:jc w:val="both"/>
        <w:rPr>
          <w:rFonts w:ascii="0" w:hAnsi="0" w:eastAsia="0" w:cs="0"/>
          <w:b/>
          <w:i/>
          <w:i/>
          <w:iCs/>
          <w:color w:val="000000"/>
          <w:kern w:val="0"/>
          <w:sz w:val="20"/>
          <w:szCs w:val="24"/>
          <w:lang w:val="ru-RU" w:eastAsia="zh-CN" w:bidi="hi-IN"/>
        </w:rPr>
      </w:pPr>
      <w:r>
        <w:rPr>
          <w:rFonts w:eastAsia="0" w:cs="0"/>
          <w:b/>
          <w:i/>
          <w:iCs/>
          <w:color w:val="000000"/>
          <w:kern w:val="0"/>
          <w:sz w:val="20"/>
          <w:szCs w:val="24"/>
          <w:lang w:val="ru-RU" w:eastAsia="zh-CN" w:bidi="hi-IN"/>
        </w:rPr>
      </w:r>
    </w:p>
    <w:p>
      <w:pPr>
        <w:pStyle w:val="Normal"/>
        <w:spacing w:before="240" w:after="40"/>
        <w:contextualSpacing/>
        <w:jc w:val="both"/>
        <w:rPr/>
      </w:pPr>
      <w:r>
        <w:rPr/>
        <w:t>Порядок выбора аудитора эмитента</w:t>
      </w:r>
    </w:p>
    <w:p>
      <w:pPr>
        <w:pStyle w:val="Normal"/>
        <w:spacing w:before="20" w:after="40"/>
        <w:contextualSpacing/>
        <w:jc w:val="both"/>
        <w:rPr/>
      </w:pPr>
      <w:r>
        <w:rPr/>
        <w:t>Процедура конкурса, связанного с выбором аудитора, и его основные условия:</w:t>
      </w:r>
    </w:p>
    <w:p>
      <w:pPr>
        <w:pStyle w:val="Normal"/>
        <w:spacing w:before="20" w:after="40"/>
        <w:contextualSpacing/>
        <w:jc w:val="both"/>
        <w:rPr>
          <w:b/>
          <w:i/>
          <w:i/>
        </w:rPr>
      </w:pPr>
      <w:r>
        <w:rPr>
          <w:b/>
          <w:i/>
        </w:rPr>
        <w:t xml:space="preserve">Процедура тендера, связанного с выбором кандидатуры аудитора Общества, осуществляется ПАО «РусГидро» в соответствии с ГКПЗ Общества. </w:t>
      </w:r>
    </w:p>
    <w:p>
      <w:pPr>
        <w:pStyle w:val="Normal"/>
        <w:spacing w:before="20" w:after="40"/>
        <w:ind w:right="57" w:hanging="0"/>
        <w:contextualSpacing/>
        <w:jc w:val="both"/>
        <w:rPr>
          <w:b/>
          <w:i/>
          <w:i/>
        </w:rPr>
      </w:pPr>
      <w:r>
        <w:rPr>
          <w:b/>
          <w:i/>
        </w:rPr>
        <w:t xml:space="preserve">В соответствии с Федеральным законом от 30.12.2008 № 307-ФЗ «Об аудиторской деятельности» конкурсный отбор Аудиторской организации Общества на 2022-2024 гг. проводился на основании Федерального закона от 05.04.2013 44-ФЗ «О контрактной системе в сфере закупок товаров, работ, услуг для обеспечения государственных и муниципальных нужд». </w:t>
      </w:r>
    </w:p>
    <w:p>
      <w:pPr>
        <w:pStyle w:val="Normal"/>
        <w:spacing w:before="0" w:after="0"/>
        <w:ind w:right="-57" w:firstLine="567"/>
        <w:contextualSpacing w:val="false"/>
        <w:jc w:val="both"/>
        <w:rPr>
          <w:b/>
          <w:i/>
          <w:i/>
        </w:rPr>
      </w:pPr>
      <w:r>
        <w:rPr>
          <w:b/>
          <w:i/>
        </w:rPr>
        <w:t>ПАО «РусГидро» проведена объединенная закупка, конкурс в электронной форме: «Услуги по аудиту бухгалтерской отчетности, подготовленной в соответствии с российскими стандартами бухгалтерского учета и финансовой отчетности по международным стандартам финансовой отчетности за 2025 – 2027 годы для подконтрольных обществ ПАО «РусГидро»».</w:t>
      </w:r>
    </w:p>
    <w:p>
      <w:pPr>
        <w:pStyle w:val="Normal"/>
        <w:jc w:val="both"/>
        <w:rPr/>
      </w:pPr>
      <w:r>
        <w:rPr>
          <w:rStyle w:val="Subst"/>
          <w:sz w:val="20"/>
        </w:rPr>
        <w:t>Решением закупочной комиссии от 02.12.2024 №6/ВП победителем определено Акционерное общество «Технологии Доверия - Аудит». В соответствии с указанным решением между ПАО «Камчатскэнерго» и АО «Технологии Доверия - Аудит» заключен договор об оказании услуг по проведению аудита бухгалтерской (финансовой) отчетности, составленной в соответствии с РСБУ, и консолидированной финансовой отчетности, составленной в соответствии с МСФО,   на 2025-2027 годы от 12.03.2025 №111105-НАЛ ДКУО-2025-КамчЭн.</w:t>
      </w:r>
    </w:p>
    <w:p>
      <w:pPr>
        <w:pStyle w:val="Normal"/>
        <w:spacing w:before="0" w:after="0"/>
        <w:contextualSpacing/>
        <w:jc w:val="both"/>
        <w:rPr/>
      </w:pPr>
      <w:r>
        <w:rPr/>
      </w:r>
    </w:p>
    <w:p>
      <w:pPr>
        <w:pStyle w:val="Normal"/>
        <w:spacing w:before="0" w:after="0"/>
        <w:contextualSpacing/>
        <w:jc w:val="both"/>
        <w:rPr/>
      </w:pPr>
      <w:r>
        <w:rPr/>
        <w:t>Процедура выдвижения кандидатуры аудитора для утверждения общим собранием акционеров (участников) эмитента, в том числе орган управления эмитента, принимающий решение о выдвижении кандидатуры аудитора эмитента:</w:t>
      </w:r>
    </w:p>
    <w:p>
      <w:pPr>
        <w:pStyle w:val="Normal"/>
        <w:spacing w:before="20" w:after="40"/>
        <w:contextualSpacing/>
        <w:jc w:val="both"/>
        <w:rPr/>
      </w:pPr>
      <w:r>
        <w:rPr>
          <w:rStyle w:val="-"/>
          <w:rFonts w:eastAsia="0" w:cs="0"/>
          <w:b/>
          <w:i/>
          <w:color w:val="000000"/>
          <w:sz w:val="20"/>
          <w:u w:val="none"/>
        </w:rPr>
        <w:t xml:space="preserve">Совет директоров Эмитента рекомендует кандидатуру Аудиторской организации для назначения Общим собранием акционеров Общества. </w:t>
      </w:r>
    </w:p>
    <w:p>
      <w:pPr>
        <w:pStyle w:val="Normal"/>
        <w:spacing w:before="20" w:after="40"/>
        <w:contextualSpacing/>
        <w:jc w:val="both"/>
        <w:rPr/>
      </w:pPr>
      <w:r>
        <w:rPr>
          <w:rStyle w:val="-"/>
          <w:rFonts w:eastAsia="0" w:cs="0"/>
          <w:b/>
          <w:i/>
          <w:color w:val="000000"/>
          <w:sz w:val="20"/>
          <w:u w:val="none"/>
        </w:rPr>
        <w:t>В соответствии с требованиями законодательства Российской Федерации Эмитент обязан проводить ежегодный аудит финансовой отчетности. Для проведения аудита годовой бухгалтерской (финансовой) отчетности Общее собрание</w:t>
      </w:r>
      <w:r>
        <w:rPr>
          <w:rStyle w:val="-"/>
          <w:rFonts w:eastAsia="0" w:cs="0"/>
          <w:b/>
          <w:i/>
          <w:color w:val="000000"/>
          <w:sz w:val="20"/>
          <w:u w:val="none"/>
          <w:shd w:fill="auto" w:val="clear"/>
        </w:rPr>
        <w:t xml:space="preserve"> акционеров ежегодно назначает Аудиторскую организацию Общества. </w:t>
      </w:r>
    </w:p>
    <w:p>
      <w:pPr>
        <w:pStyle w:val="Normal"/>
        <w:spacing w:before="20" w:after="40"/>
        <w:contextualSpacing/>
        <w:jc w:val="both"/>
        <w:rPr/>
      </w:pPr>
      <w:r>
        <w:rPr>
          <w:rStyle w:val="-"/>
          <w:rFonts w:eastAsia="0" w:cs="0"/>
          <w:b/>
          <w:i/>
          <w:color w:val="000000"/>
          <w:sz w:val="20"/>
          <w:u w:val="none"/>
          <w:shd w:fill="auto" w:val="clear"/>
        </w:rPr>
        <w:t xml:space="preserve">Советом директоров ПАО «Камчатскэнерго» от 24.04.2025 (протокол № 14) принято решение предложить назначить АО «Технологии доверия - Аудит» аудиторской организацией Общества. </w:t>
      </w:r>
    </w:p>
    <w:p>
      <w:pPr>
        <w:pStyle w:val="Normal"/>
        <w:spacing w:before="20" w:after="40"/>
        <w:contextualSpacing/>
        <w:jc w:val="both"/>
        <w:rPr/>
      </w:pPr>
      <w:r>
        <w:rPr>
          <w:rStyle w:val="-"/>
          <w:rFonts w:eastAsia="0" w:cs="0"/>
          <w:b/>
          <w:i/>
          <w:color w:val="000000"/>
          <w:sz w:val="20"/>
          <w:u w:val="none"/>
          <w:shd w:fill="auto" w:val="clear"/>
        </w:rPr>
        <w:t>АО «Технологии Доверия – Аудит». (АО «Технологии Доверия – Аудит») назначена Аудиторской организацией эмитента в соответствии с решением годового заседания Общего собрания акционеров Публичного акционерного общества энергетики и электрификации «Камчатскэнерго» 29.05.2025 (протокол от 30.05.2025 №1).</w:t>
      </w:r>
    </w:p>
    <w:p>
      <w:pPr>
        <w:pStyle w:val="Normal"/>
        <w:spacing w:before="20" w:after="40"/>
        <w:contextualSpacing/>
        <w:jc w:val="both"/>
        <w:rPr>
          <w:highlight w:val="none"/>
          <w:shd w:fill="auto" w:val="clear"/>
        </w:rPr>
      </w:pPr>
      <w:r>
        <w:rPr>
          <w:shd w:fill="auto" w:val="clear"/>
        </w:rPr>
      </w:r>
    </w:p>
    <w:p>
      <w:pPr>
        <w:pStyle w:val="Normal"/>
        <w:spacing w:before="20" w:after="40"/>
        <w:contextualSpacing/>
        <w:jc w:val="both"/>
        <w:rPr/>
      </w:pPr>
      <w:r>
        <w:rPr>
          <w:b/>
          <w:bCs/>
          <w:i/>
          <w:iCs/>
          <w:shd w:fill="auto" w:val="clear"/>
        </w:rPr>
        <w:t>Изменений в составе информации настоящего пункта между отчетной датой и датой раскрытия соответствующей отчётности, на основе которой в отчёте эмитента раскрывается информация о финансово-хозяйственной деятельности эмитента, не происходило.</w:t>
      </w:r>
    </w:p>
    <w:p>
      <w:pPr>
        <w:pStyle w:val="Normal"/>
        <w:spacing w:before="20" w:after="40"/>
        <w:contextualSpacing/>
        <w:jc w:val="both"/>
        <w:rPr>
          <w:b/>
          <w:i/>
          <w:i/>
        </w:rPr>
      </w:pPr>
      <w:r>
        <w:rPr>
          <w:b/>
          <w:i/>
        </w:rPr>
      </w:r>
    </w:p>
    <w:p>
      <w:pPr>
        <w:pStyle w:val="1"/>
        <w:spacing w:before="360" w:after="120"/>
        <w:contextualSpacing/>
        <w:jc w:val="both"/>
        <w:rPr/>
      </w:pPr>
      <w:r>
        <w:rPr/>
        <w:t>Раздел 5. Консолидированная финансовая отчетность (финансовая отчетность), бухгалтерская (финансовая) отчетность эмитента.</w:t>
      </w:r>
    </w:p>
    <w:p>
      <w:pPr>
        <w:pStyle w:val="2"/>
        <w:rPr/>
      </w:pPr>
      <w:r>
        <w:rPr/>
        <w:t>5.1. Консолидированная финансовая отчетность (финансовая отчетность) эмитента</w:t>
      </w:r>
    </w:p>
    <w:p>
      <w:pPr>
        <w:pStyle w:val="Normal"/>
        <w:spacing w:before="20" w:after="40"/>
        <w:contextualSpacing/>
        <w:jc w:val="both"/>
        <w:rPr/>
      </w:pPr>
      <w:r>
        <w:rPr>
          <w:b/>
          <w:i/>
        </w:rPr>
        <w:t xml:space="preserve">Cсылка на </w:t>
      </w:r>
      <w:r>
        <w:rPr>
          <w:b/>
          <w:i/>
          <w:shd w:fill="auto" w:val="clear"/>
        </w:rPr>
        <w:t>страницу в сети Интернет, на которой опубликована Консолидированная финансовая отче</w:t>
      </w:r>
      <w:r>
        <w:rPr>
          <w:b/>
          <w:i/>
          <w:sz w:val="20"/>
          <w:szCs w:val="20"/>
          <w:shd w:fill="auto" w:val="clear"/>
        </w:rPr>
        <w:t>тность (финансовая отчетность) эмитента за отчетный период, состоящий из 12 месяцев 2025 года</w:t>
      </w:r>
      <w:r>
        <w:rPr>
          <w:sz w:val="20"/>
          <w:szCs w:val="20"/>
          <w:shd w:fill="auto" w:val="clear"/>
        </w:rPr>
        <w:t>:</w:t>
      </w:r>
      <w:r>
        <w:rPr>
          <w:b/>
          <w:i/>
          <w:sz w:val="20"/>
          <w:szCs w:val="20"/>
          <w:shd w:fill="auto" w:val="clear"/>
        </w:rPr>
        <w:t xml:space="preserve"> </w:t>
      </w:r>
      <w:r>
        <w:rPr>
          <w:rStyle w:val="Subst"/>
          <w:bCs/>
          <w:iCs/>
          <w:sz w:val="20"/>
          <w:szCs w:val="20"/>
          <w:shd w:fill="auto" w:val="clear"/>
        </w:rPr>
        <w:t xml:space="preserve"> </w:t>
      </w:r>
    </w:p>
    <w:p>
      <w:pPr>
        <w:pStyle w:val="Normal"/>
        <w:spacing w:before="20" w:after="40"/>
        <w:contextualSpacing/>
        <w:jc w:val="both"/>
        <w:rPr/>
      </w:pPr>
      <w:r>
        <w:rPr>
          <w:rStyle w:val="Subst"/>
          <w:bCs/>
          <w:iCs/>
          <w:sz w:val="20"/>
          <w:szCs w:val="20"/>
          <w:shd w:fill="auto" w:val="clear"/>
        </w:rPr>
        <w:t>https://e-disclosure.ru/portal/files.aspx?id=1409&amp;type=4</w:t>
      </w:r>
    </w:p>
    <w:p>
      <w:pPr>
        <w:pStyle w:val="2"/>
        <w:rPr>
          <w:highlight w:val="none"/>
          <w:shd w:fill="auto" w:val="clear"/>
        </w:rPr>
      </w:pPr>
      <w:r>
        <w:rPr>
          <w:shd w:fill="auto" w:val="clear"/>
        </w:rPr>
        <w:t>5.2. Бухгалтерская (финансовая) отчетность</w:t>
      </w:r>
    </w:p>
    <w:p>
      <w:pPr>
        <w:pStyle w:val="Normal"/>
        <w:spacing w:before="20" w:after="40"/>
        <w:contextualSpacing/>
        <w:jc w:val="both"/>
        <w:rPr>
          <w:rFonts w:ascii="0" w:hAnsi="0" w:eastAsia="0" w:cs="0"/>
          <w:b/>
          <w:i/>
          <w:i/>
          <w:color w:val="000000"/>
          <w:kern w:val="0"/>
          <w:sz w:val="20"/>
          <w:szCs w:val="24"/>
          <w:highlight w:val="none"/>
          <w:shd w:fill="auto" w:val="clear"/>
          <w:lang w:val="ru-RU" w:eastAsia="zh-CN" w:bidi="hi-IN"/>
        </w:rPr>
      </w:pPr>
      <w:r>
        <w:rPr>
          <w:rFonts w:eastAsia="0" w:cs="0"/>
          <w:b/>
          <w:i/>
          <w:color w:val="000000"/>
          <w:kern w:val="0"/>
          <w:sz w:val="20"/>
          <w:szCs w:val="24"/>
          <w:shd w:fill="auto" w:val="clear"/>
          <w:lang w:val="ru-RU" w:eastAsia="zh-CN" w:bidi="hi-IN"/>
        </w:rPr>
        <w:t>Cсылка на страницу в сети Интернет, на которой опубликована годовая Бухгалтерская (финансовая) отчетность эмитента за 2025 год:</w:t>
      </w:r>
    </w:p>
    <w:p>
      <w:pPr>
        <w:pStyle w:val="Normal"/>
        <w:spacing w:before="20" w:after="40"/>
        <w:contextualSpacing/>
        <w:jc w:val="both"/>
        <w:rPr>
          <w:rFonts w:ascii="0" w:hAnsi="0" w:eastAsia="0" w:cs="0"/>
          <w:b/>
          <w:i/>
          <w:i/>
          <w:color w:val="000000"/>
          <w:kern w:val="0"/>
          <w:sz w:val="20"/>
          <w:szCs w:val="24"/>
          <w:highlight w:val="none"/>
          <w:shd w:fill="auto" w:val="clear"/>
          <w:lang w:val="ru-RU" w:eastAsia="zh-CN" w:bidi="hi-IN"/>
        </w:rPr>
      </w:pPr>
      <w:r>
        <w:rPr>
          <w:rFonts w:eastAsia="0" w:cs="0"/>
          <w:b/>
          <w:i/>
          <w:color w:val="000000"/>
          <w:kern w:val="0"/>
          <w:sz w:val="20"/>
          <w:szCs w:val="24"/>
          <w:shd w:fill="auto" w:val="clear"/>
          <w:lang w:val="ru-RU" w:eastAsia="zh-CN" w:bidi="hi-IN"/>
        </w:rPr>
        <w:t>https://www.e-disclosure.ru/portal/files.aspx?id=1409&amp;type=3</w:t>
      </w:r>
      <w:bookmarkEnd w:id="3"/>
    </w:p>
    <w:sectPr>
      <w:footerReference w:type="default" r:id="rId10"/>
      <w:type w:val="nextPage"/>
      <w:pgSz w:w="11906" w:h="16838"/>
      <w:pgMar w:left="1527" w:right="1254" w:gutter="0" w:header="0" w:top="1134" w:footer="72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PT Astra Serif">
    <w:charset w:val="01"/>
    <w:family w:val="roman"/>
    <w:pitch w:val="default"/>
  </w:font>
  <w:font w:name="0">
    <w:charset w:val="01"/>
    <w:family w:val="roman"/>
    <w:pitch w:val="default"/>
  </w:font>
  <w:font w:name="Times New Roman">
    <w:charset w:val="01"/>
    <w:family w:val="roman"/>
    <w:pitch w:val="default"/>
  </w:font>
  <w:font w:name="Noto Sans Devanagari">
    <w:charset w:val="01"/>
    <w:family w:val="roman"/>
    <w:pitch w:val="default"/>
  </w:font>
  <w:font w:name="Noto Sans">
    <w:charset w:val="01"/>
    <w:family w:val="roman"/>
    <w:pitch w:val="default"/>
  </w:font>
  <w:font w:name="Liberation Sans">
    <w:altName w:val="Arial"/>
    <w:charset w:val="01"/>
    <w:family w:val="roman"/>
    <w:pitch w:val="default"/>
  </w:font>
  <w:font w:name="Liberation Serif">
    <w:altName w:val="Times New Roman"/>
    <w:charset w:val="01"/>
    <w:family w:val="roman"/>
    <w:pitch w:val="default"/>
  </w:font>
  <w:font w:name="Calibri">
    <w:charset w:val="01"/>
    <w:family w:val="roman"/>
    <w:pitch w:val="default"/>
  </w:font>
  <w:font w:name="Arial Narrow">
    <w:charset w:val="01"/>
    <w:family w:val="roman"/>
    <w:pitch w:val="default"/>
  </w:font>
  <w:font w:name="0">
    <w:charset w:val="01"/>
    <w:family w:val="auto"/>
    <w:pitch w:val="default"/>
  </w:font>
  <w:font w:name="Symbol">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0"/>
      <w:contextualSpacing w:val="false"/>
      <w:rPr>
        <w:rStyle w:val="Subst"/>
      </w:rPr>
    </w:pPr>
    <w:r>
      <w:rPr/>
      <w:fldChar w:fldCharType="begin"/>
    </w:r>
    <w:r>
      <w:rPr/>
      <w:instrText xml:space="preserve"> PAGE </w:instrText>
    </w:r>
    <w:r>
      <w:rPr/>
      <w:fldChar w:fldCharType="separate"/>
    </w:r>
    <w:r>
      <w:rPr/>
      <w:t>86</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0" w:hanging="360"/>
      </w:pPr>
      <w:rPr>
        <w:sz w:val="20"/>
        <w:rFonts w:ascii="0" w:hAnsi="0"/>
      </w:rPr>
    </w:lvl>
    <w:lvl w:ilvl="1">
      <w:start w:val="1"/>
      <w:numFmt w:val="lowerLetter"/>
      <w:lvlText w:val="%2."/>
      <w:lvlJc w:val="left"/>
      <w:pPr>
        <w:tabs>
          <w:tab w:val="num" w:pos="0"/>
        </w:tabs>
        <w:ind w:left="0" w:hanging="360"/>
      </w:pPr>
      <w:rPr>
        <w:sz w:val="20"/>
        <w:rFonts w:ascii="0" w:hAnsi="0"/>
      </w:rPr>
    </w:lvl>
    <w:lvl w:ilvl="2">
      <w:start w:val="1"/>
      <w:numFmt w:val="lowerRoman"/>
      <w:lvlText w:val="%3."/>
      <w:lvlJc w:val="right"/>
      <w:pPr>
        <w:tabs>
          <w:tab w:val="num" w:pos="0"/>
        </w:tabs>
        <w:ind w:left="0" w:hanging="180"/>
      </w:pPr>
      <w:rPr>
        <w:sz w:val="20"/>
        <w:rFonts w:ascii="0" w:hAnsi="0"/>
      </w:rPr>
    </w:lvl>
    <w:lvl w:ilvl="3">
      <w:start w:val="1"/>
      <w:numFmt w:val="decimal"/>
      <w:lvlText w:val="%4."/>
      <w:lvlJc w:val="left"/>
      <w:pPr>
        <w:tabs>
          <w:tab w:val="num" w:pos="0"/>
        </w:tabs>
        <w:ind w:left="0" w:hanging="360"/>
      </w:pPr>
      <w:rPr>
        <w:sz w:val="20"/>
        <w:rFonts w:ascii="0" w:hAnsi="0"/>
      </w:rPr>
    </w:lvl>
    <w:lvl w:ilvl="4">
      <w:start w:val="1"/>
      <w:numFmt w:val="lowerLetter"/>
      <w:lvlText w:val="%5."/>
      <w:lvlJc w:val="left"/>
      <w:pPr>
        <w:tabs>
          <w:tab w:val="num" w:pos="0"/>
        </w:tabs>
        <w:ind w:left="0" w:hanging="360"/>
      </w:pPr>
      <w:rPr>
        <w:sz w:val="20"/>
        <w:rFonts w:ascii="0" w:hAnsi="0"/>
      </w:rPr>
    </w:lvl>
    <w:lvl w:ilvl="5">
      <w:start w:val="1"/>
      <w:numFmt w:val="lowerRoman"/>
      <w:lvlText w:val="%6."/>
      <w:lvlJc w:val="right"/>
      <w:pPr>
        <w:tabs>
          <w:tab w:val="num" w:pos="0"/>
        </w:tabs>
        <w:ind w:left="0" w:hanging="180"/>
      </w:pPr>
      <w:rPr>
        <w:sz w:val="20"/>
        <w:rFonts w:ascii="0" w:hAnsi="0"/>
      </w:rPr>
    </w:lvl>
    <w:lvl w:ilvl="6">
      <w:start w:val="1"/>
      <w:numFmt w:val="decimal"/>
      <w:lvlText w:val="%7."/>
      <w:lvlJc w:val="left"/>
      <w:pPr>
        <w:tabs>
          <w:tab w:val="num" w:pos="0"/>
        </w:tabs>
        <w:ind w:left="0" w:hanging="360"/>
      </w:pPr>
      <w:rPr>
        <w:sz w:val="20"/>
        <w:rFonts w:ascii="0" w:hAnsi="0"/>
      </w:rPr>
    </w:lvl>
    <w:lvl w:ilvl="7">
      <w:start w:val="1"/>
      <w:numFmt w:val="lowerLetter"/>
      <w:lvlText w:val="%8."/>
      <w:lvlJc w:val="left"/>
      <w:pPr>
        <w:tabs>
          <w:tab w:val="num" w:pos="0"/>
        </w:tabs>
        <w:ind w:left="0" w:hanging="360"/>
      </w:pPr>
      <w:rPr>
        <w:sz w:val="20"/>
        <w:rFonts w:ascii="0" w:hAnsi="0"/>
      </w:rPr>
    </w:lvl>
    <w:lvl w:ilvl="8">
      <w:start w:val="1"/>
      <w:numFmt w:val="lowerRoman"/>
      <w:lvlText w:val="%9."/>
      <w:lvlJc w:val="right"/>
      <w:pPr>
        <w:tabs>
          <w:tab w:val="num" w:pos="0"/>
        </w:tabs>
        <w:ind w:left="0" w:hanging="180"/>
      </w:pPr>
      <w:rPr>
        <w:sz w:val="20"/>
        <w:rFonts w:ascii="0" w:hAnsi="0"/>
      </w:rPr>
    </w:lvl>
  </w:abstractNum>
  <w:abstractNum w:abstractNumId="2">
    <w:lvl w:ilvl="0">
      <w:start w:val="1"/>
      <w:numFmt w:val="bullet"/>
      <w:lvlText w:val="•"/>
      <w:lvlJc w:val="left"/>
      <w:pPr>
        <w:tabs>
          <w:tab w:val="num" w:pos="0"/>
        </w:tabs>
        <w:ind w:left="0" w:hanging="360"/>
      </w:pPr>
      <w:rPr>
        <w:rFonts w:ascii="0" w:hAnsi="0" w:cs="0" w:hint="default"/>
        <w:sz w:val="20"/>
      </w:rPr>
    </w:lvl>
    <w:lvl w:ilvl="1">
      <w:start w:val="1"/>
      <w:numFmt w:val="bullet"/>
      <w:lvlText w:val="•"/>
      <w:lvlJc w:val="left"/>
      <w:pPr>
        <w:tabs>
          <w:tab w:val="num" w:pos="0"/>
        </w:tabs>
        <w:ind w:left="0" w:hanging="360"/>
      </w:pPr>
      <w:rPr>
        <w:rFonts w:ascii="0" w:hAnsi="0" w:cs="0" w:hint="default"/>
        <w:sz w:val="20"/>
      </w:rPr>
    </w:lvl>
    <w:lvl w:ilvl="2">
      <w:start w:val="1"/>
      <w:numFmt w:val="bullet"/>
      <w:lvlText w:val="•"/>
      <w:lvlJc w:val="left"/>
      <w:pPr>
        <w:tabs>
          <w:tab w:val="num" w:pos="0"/>
        </w:tabs>
        <w:ind w:left="0" w:hanging="360"/>
      </w:pPr>
      <w:rPr>
        <w:rFonts w:ascii="0" w:hAnsi="0" w:cs="0" w:hint="default"/>
        <w:sz w:val="20"/>
      </w:rPr>
    </w:lvl>
    <w:lvl w:ilvl="3">
      <w:start w:val="1"/>
      <w:numFmt w:val="bullet"/>
      <w:lvlText w:val="•"/>
      <w:lvlJc w:val="left"/>
      <w:pPr>
        <w:tabs>
          <w:tab w:val="num" w:pos="0"/>
        </w:tabs>
        <w:ind w:left="0" w:hanging="360"/>
      </w:pPr>
      <w:rPr>
        <w:rFonts w:ascii="0" w:hAnsi="0" w:cs="0" w:hint="default"/>
        <w:sz w:val="20"/>
      </w:rPr>
    </w:lvl>
    <w:lvl w:ilvl="4">
      <w:start w:val="1"/>
      <w:numFmt w:val="bullet"/>
      <w:lvlText w:val="•"/>
      <w:lvlJc w:val="left"/>
      <w:pPr>
        <w:tabs>
          <w:tab w:val="num" w:pos="0"/>
        </w:tabs>
        <w:ind w:left="0" w:hanging="360"/>
      </w:pPr>
      <w:rPr>
        <w:rFonts w:ascii="0" w:hAnsi="0" w:cs="0" w:hint="default"/>
        <w:sz w:val="20"/>
      </w:rPr>
    </w:lvl>
    <w:lvl w:ilvl="5">
      <w:start w:val="1"/>
      <w:numFmt w:val="bullet"/>
      <w:lvlText w:val="•"/>
      <w:lvlJc w:val="left"/>
      <w:pPr>
        <w:tabs>
          <w:tab w:val="num" w:pos="0"/>
        </w:tabs>
        <w:ind w:left="0" w:hanging="360"/>
      </w:pPr>
      <w:rPr>
        <w:rFonts w:ascii="0" w:hAnsi="0" w:cs="0" w:hint="default"/>
        <w:sz w:val="20"/>
      </w:rPr>
    </w:lvl>
    <w:lvl w:ilvl="6">
      <w:start w:val="1"/>
      <w:numFmt w:val="bullet"/>
      <w:lvlText w:val="•"/>
      <w:lvlJc w:val="left"/>
      <w:pPr>
        <w:tabs>
          <w:tab w:val="num" w:pos="0"/>
        </w:tabs>
        <w:ind w:left="0" w:hanging="360"/>
      </w:pPr>
      <w:rPr>
        <w:rFonts w:ascii="0" w:hAnsi="0" w:cs="0" w:hint="default"/>
        <w:sz w:val="20"/>
      </w:rPr>
    </w:lvl>
    <w:lvl w:ilvl="7">
      <w:start w:val="1"/>
      <w:numFmt w:val="bullet"/>
      <w:lvlText w:val="•"/>
      <w:lvlJc w:val="left"/>
      <w:pPr>
        <w:tabs>
          <w:tab w:val="num" w:pos="0"/>
        </w:tabs>
        <w:ind w:left="0" w:hanging="360"/>
      </w:pPr>
      <w:rPr>
        <w:rFonts w:ascii="0" w:hAnsi="0" w:cs="0" w:hint="default"/>
        <w:sz w:val="20"/>
      </w:rPr>
    </w:lvl>
    <w:lvl w:ilvl="8">
      <w:start w:val="1"/>
      <w:numFmt w:val="bullet"/>
      <w:lvlText w:val="•"/>
      <w:lvlJc w:val="left"/>
      <w:pPr>
        <w:tabs>
          <w:tab w:val="num" w:pos="0"/>
        </w:tabs>
        <w:ind w:left="0" w:hanging="360"/>
      </w:pPr>
      <w:rPr>
        <w:rFonts w:ascii="0" w:hAnsi="0" w:cs="0" w:hint="default"/>
        <w:sz w:val="20"/>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PT Astra Serif" w:hAnsi="PT Astra Serif" w:eastAsia="Tahoma" w:cs="Noto Sans Devanagari"/>
        <w:sz w:val="24"/>
        <w:szCs w:val="24"/>
        <w:lang w:val="ru-RU" w:eastAsia="zh-CN" w:bidi="hi-IN"/>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suppressAutoHyphens w:val="true"/>
      <w:bidi w:val="0"/>
      <w:spacing w:before="23" w:after="40"/>
      <w:contextualSpacing/>
      <w:jc w:val="left"/>
    </w:pPr>
    <w:rPr>
      <w:rFonts w:ascii="0" w:hAnsi="0" w:eastAsia="0" w:cs="0"/>
      <w:color w:val="000000"/>
      <w:kern w:val="0"/>
      <w:sz w:val="20"/>
      <w:szCs w:val="24"/>
      <w:lang w:val="ru-RU" w:eastAsia="zh-CN" w:bidi="hi-IN"/>
    </w:rPr>
  </w:style>
  <w:style w:type="paragraph" w:styleId="1">
    <w:name w:val="Heading 1"/>
    <w:basedOn w:val="Normal"/>
    <w:qFormat/>
    <w:pPr>
      <w:spacing w:before="360" w:after="120"/>
      <w:contextualSpacing w:val="false"/>
      <w:jc w:val="center"/>
      <w:outlineLvl w:val="0"/>
    </w:pPr>
    <w:rPr>
      <w:b/>
      <w:sz w:val="28"/>
    </w:rPr>
  </w:style>
  <w:style w:type="paragraph" w:styleId="2">
    <w:name w:val="Heading 2"/>
    <w:basedOn w:val="Normal"/>
    <w:qFormat/>
    <w:pPr>
      <w:spacing w:before="240" w:after="40"/>
      <w:contextualSpacing w:val="false"/>
      <w:outlineLvl w:val="1"/>
    </w:pPr>
    <w:rPr>
      <w:rFonts w:ascii="Times New Roman" w:hAnsi="Times New Roman" w:eastAsia="Times New Roman" w:cs="Times New Roman"/>
      <w:b/>
      <w:bCs/>
      <w:color w:val="auto"/>
      <w:sz w:val="24"/>
      <w:lang w:bidi="ar-SA"/>
    </w:rPr>
  </w:style>
  <w:style w:type="paragraph" w:styleId="3">
    <w:name w:val="Heading 3"/>
    <w:basedOn w:val="Style18"/>
    <w:qFormat/>
    <w:pPr>
      <w:keepNext w:val="true"/>
      <w:keepLines/>
      <w:spacing w:before="320" w:after="200"/>
      <w:outlineLvl w:val="2"/>
    </w:pPr>
    <w:rPr>
      <w:sz w:val="30"/>
    </w:rPr>
  </w:style>
  <w:style w:type="paragraph" w:styleId="4">
    <w:name w:val="Heading 4"/>
    <w:basedOn w:val="Style18"/>
    <w:qFormat/>
    <w:pPr>
      <w:keepNext w:val="true"/>
      <w:keepLines/>
      <w:spacing w:before="320" w:after="200"/>
      <w:outlineLvl w:val="3"/>
    </w:pPr>
    <w:rPr>
      <w:sz w:val="26"/>
    </w:rPr>
  </w:style>
  <w:style w:type="paragraph" w:styleId="5">
    <w:name w:val="Heading 5"/>
    <w:basedOn w:val="Style18"/>
    <w:qFormat/>
    <w:pPr>
      <w:keepNext w:val="true"/>
      <w:keepLines/>
      <w:spacing w:before="320" w:after="200"/>
      <w:outlineLvl w:val="4"/>
    </w:pPr>
    <w:rPr>
      <w:sz w:val="24"/>
    </w:rPr>
  </w:style>
  <w:style w:type="paragraph" w:styleId="6">
    <w:name w:val="Heading 6"/>
    <w:basedOn w:val="Style18"/>
    <w:qFormat/>
    <w:pPr>
      <w:keepNext w:val="true"/>
      <w:keepLines/>
      <w:spacing w:before="320" w:after="200"/>
      <w:outlineLvl w:val="5"/>
    </w:pPr>
    <w:rPr>
      <w:sz w:val="22"/>
    </w:rPr>
  </w:style>
  <w:style w:type="paragraph" w:styleId="7">
    <w:name w:val="Heading 7"/>
    <w:basedOn w:val="Style18"/>
    <w:qFormat/>
    <w:pPr>
      <w:keepNext w:val="true"/>
      <w:keepLines/>
      <w:spacing w:before="320" w:after="200"/>
      <w:outlineLvl w:val="6"/>
    </w:pPr>
    <w:rPr>
      <w:i/>
      <w:sz w:val="22"/>
    </w:rPr>
  </w:style>
  <w:style w:type="paragraph" w:styleId="8">
    <w:name w:val="Heading 8"/>
    <w:basedOn w:val="Style18"/>
    <w:qFormat/>
    <w:pPr>
      <w:keepNext w:val="true"/>
      <w:keepLines/>
      <w:spacing w:before="320" w:after="200"/>
      <w:outlineLvl w:val="7"/>
    </w:pPr>
    <w:rPr>
      <w:i/>
      <w:sz w:val="22"/>
    </w:rPr>
  </w:style>
  <w:style w:type="paragraph" w:styleId="9">
    <w:name w:val="Heading 9"/>
    <w:basedOn w:val="Style18"/>
    <w:qFormat/>
    <w:pPr>
      <w:keepNext w:val="true"/>
      <w:keepLines/>
      <w:spacing w:before="320" w:after="200"/>
      <w:outlineLvl w:val="8"/>
    </w:pPr>
    <w:rPr>
      <w:i/>
      <w:sz w:val="21"/>
    </w:rPr>
  </w:style>
  <w:style w:type="character" w:styleId="DefaultParagraphFont" w:default="1">
    <w:name w:val="Default Paragraph Font"/>
    <w:uiPriority w:val="1"/>
    <w:semiHidden/>
    <w:unhideWhenUsed/>
    <w:qFormat/>
    <w:rPr/>
  </w:style>
  <w:style w:type="character" w:styleId="Heading1Char" w:customStyle="1">
    <w:name w:val="Heading 1 Char"/>
    <w:qFormat/>
    <w:rPr>
      <w:rFonts w:ascii="0" w:hAnsi="0"/>
      <w:sz w:val="40"/>
    </w:rPr>
  </w:style>
  <w:style w:type="character" w:styleId="Heading2Char" w:customStyle="1">
    <w:name w:val="Heading 2 Char"/>
    <w:qFormat/>
    <w:rPr>
      <w:rFonts w:ascii="0" w:hAnsi="0"/>
      <w:sz w:val="34"/>
    </w:rPr>
  </w:style>
  <w:style w:type="character" w:styleId="Heading3Char" w:customStyle="1">
    <w:name w:val="Heading 3 Char"/>
    <w:qFormat/>
    <w:rPr>
      <w:rFonts w:ascii="0" w:hAnsi="0"/>
      <w:sz w:val="30"/>
    </w:rPr>
  </w:style>
  <w:style w:type="character" w:styleId="Heading4Char" w:customStyle="1">
    <w:name w:val="Heading 4 Char"/>
    <w:qFormat/>
    <w:rPr>
      <w:rFonts w:ascii="0" w:hAnsi="0"/>
      <w:b/>
      <w:sz w:val="26"/>
    </w:rPr>
  </w:style>
  <w:style w:type="character" w:styleId="Heading5Char" w:customStyle="1">
    <w:name w:val="Heading 5 Char"/>
    <w:qFormat/>
    <w:rPr>
      <w:rFonts w:ascii="0" w:hAnsi="0"/>
      <w:b/>
      <w:sz w:val="24"/>
    </w:rPr>
  </w:style>
  <w:style w:type="character" w:styleId="Heading6Char" w:customStyle="1">
    <w:name w:val="Heading 6 Char"/>
    <w:qFormat/>
    <w:rPr>
      <w:rFonts w:ascii="0" w:hAnsi="0"/>
      <w:b/>
      <w:sz w:val="22"/>
    </w:rPr>
  </w:style>
  <w:style w:type="character" w:styleId="Heading7Char" w:customStyle="1">
    <w:name w:val="Heading 7 Char"/>
    <w:qFormat/>
    <w:rPr>
      <w:rFonts w:ascii="0" w:hAnsi="0"/>
      <w:b/>
      <w:i/>
      <w:sz w:val="22"/>
    </w:rPr>
  </w:style>
  <w:style w:type="character" w:styleId="Heading8Char" w:customStyle="1">
    <w:name w:val="Heading 8 Char"/>
    <w:qFormat/>
    <w:rPr>
      <w:rFonts w:ascii="0" w:hAnsi="0"/>
      <w:i/>
      <w:sz w:val="22"/>
    </w:rPr>
  </w:style>
  <w:style w:type="character" w:styleId="Heading9Char" w:customStyle="1">
    <w:name w:val="Heading 9 Char"/>
    <w:qFormat/>
    <w:rPr>
      <w:rFonts w:ascii="0" w:hAnsi="0"/>
      <w:i/>
      <w:sz w:val="21"/>
    </w:rPr>
  </w:style>
  <w:style w:type="character" w:styleId="TitleChar" w:customStyle="1">
    <w:name w:val="Title Char"/>
    <w:qFormat/>
    <w:rPr>
      <w:sz w:val="48"/>
    </w:rPr>
  </w:style>
  <w:style w:type="character" w:styleId="SubtitleChar" w:customStyle="1">
    <w:name w:val="Subtitle Char"/>
    <w:qFormat/>
    <w:rPr>
      <w:sz w:val="24"/>
    </w:rPr>
  </w:style>
  <w:style w:type="character" w:styleId="QuoteChar" w:customStyle="1">
    <w:name w:val="Quote Char"/>
    <w:qFormat/>
    <w:rPr>
      <w:i/>
    </w:rPr>
  </w:style>
  <w:style w:type="character" w:styleId="IntenseQuoteChar" w:customStyle="1">
    <w:name w:val="Intense Quote Char"/>
    <w:qFormat/>
    <w:rPr>
      <w:i/>
    </w:rPr>
  </w:style>
  <w:style w:type="character" w:styleId="HeaderChar" w:customStyle="1">
    <w:name w:val="Header Char"/>
    <w:qFormat/>
    <w:rPr/>
  </w:style>
  <w:style w:type="character" w:styleId="FooterChar" w:customStyle="1">
    <w:name w:val="Footer Char"/>
    <w:qFormat/>
    <w:rPr/>
  </w:style>
  <w:style w:type="character" w:styleId="CaptionChar" w:customStyle="1">
    <w:name w:val="Caption Char"/>
    <w:qFormat/>
    <w:rPr/>
  </w:style>
  <w:style w:type="character" w:styleId="-">
    <w:name w:val="Hyperlink"/>
    <w:rPr>
      <w:rFonts w:eastAsia="Times New Roman" w:cs="Times New Roman"/>
      <w:color w:val="0563C1"/>
      <w:sz w:val="24"/>
      <w:szCs w:val="24"/>
      <w:u w:val="single"/>
    </w:rPr>
  </w:style>
  <w:style w:type="character" w:styleId="FootnoteTextChar" w:customStyle="1">
    <w:name w:val="Footnote Text Char"/>
    <w:qFormat/>
    <w:rPr>
      <w:sz w:val="18"/>
    </w:rPr>
  </w:style>
  <w:style w:type="character" w:styleId="Style5" w:customStyle="1">
    <w:name w:val="Символ сноски"/>
    <w:qFormat/>
    <w:rPr>
      <w:rFonts w:ascii="0" w:hAnsi="0"/>
      <w:sz w:val="24"/>
      <w:vertAlign w:val="superscript"/>
    </w:rPr>
  </w:style>
  <w:style w:type="character" w:styleId="Style6">
    <w:name w:val="Footnote Reference"/>
    <w:rPr>
      <w:rFonts w:ascii="0" w:hAnsi="0"/>
      <w:sz w:val="24"/>
      <w:vertAlign w:val="superscript"/>
    </w:rPr>
  </w:style>
  <w:style w:type="character" w:styleId="EndnoteTextChar" w:customStyle="1">
    <w:name w:val="Endnote Text Char"/>
    <w:qFormat/>
    <w:rPr>
      <w:sz w:val="20"/>
    </w:rPr>
  </w:style>
  <w:style w:type="character" w:styleId="Style7" w:customStyle="1">
    <w:name w:val="Символ концевой сноски"/>
    <w:qFormat/>
    <w:rPr>
      <w:vertAlign w:val="superscript"/>
    </w:rPr>
  </w:style>
  <w:style w:type="character" w:styleId="Style8">
    <w:name w:val="Endnote Reference"/>
    <w:rPr>
      <w:vertAlign w:val="superscript"/>
    </w:rPr>
  </w:style>
  <w:style w:type="character" w:styleId="11" w:customStyle="1">
    <w:name w:val="Заголовок 1 Знак"/>
    <w:basedOn w:val="DefaultParagraphFont"/>
    <w:qFormat/>
    <w:rPr>
      <w:rFonts w:eastAsia="Times New Roman" w:cs="Times New Roman"/>
      <w:b/>
      <w:color w:val="000000"/>
      <w:sz w:val="32"/>
    </w:rPr>
  </w:style>
  <w:style w:type="character" w:styleId="21" w:customStyle="1">
    <w:name w:val="Заголовок 2 Знак"/>
    <w:basedOn w:val="DefaultParagraphFont"/>
    <w:qFormat/>
    <w:rPr>
      <w:rFonts w:eastAsia="Times New Roman" w:cs="Times New Roman"/>
      <w:b/>
      <w:i/>
      <w:color w:val="000000"/>
      <w:sz w:val="28"/>
    </w:rPr>
  </w:style>
  <w:style w:type="character" w:styleId="Style9" w:customStyle="1">
    <w:name w:val="Заголовок Знак"/>
    <w:basedOn w:val="DefaultParagraphFont"/>
    <w:qFormat/>
    <w:rPr>
      <w:rFonts w:eastAsia="Times New Roman" w:cs="Times New Roman"/>
      <w:b/>
      <w:color w:val="000000"/>
      <w:sz w:val="32"/>
    </w:rPr>
  </w:style>
  <w:style w:type="character" w:styleId="Subst" w:customStyle="1">
    <w:name w:val="Subst"/>
    <w:qFormat/>
    <w:rPr>
      <w:rFonts w:ascii="0" w:hAnsi="0"/>
      <w:b/>
      <w:i/>
      <w:sz w:val="24"/>
    </w:rPr>
  </w:style>
  <w:style w:type="character" w:styleId="Style10" w:customStyle="1">
    <w:name w:val="Текст сноски Знак"/>
    <w:basedOn w:val="DefaultParagraphFont"/>
    <w:qFormat/>
    <w:rPr>
      <w:rFonts w:eastAsia="Times New Roman" w:cs="Times New Roman"/>
      <w:color w:val="000000"/>
      <w:sz w:val="24"/>
    </w:rPr>
  </w:style>
  <w:style w:type="character" w:styleId="FontStyle15" w:customStyle="1">
    <w:name w:val="Font Style15"/>
    <w:basedOn w:val="DefaultParagraphFont"/>
    <w:qFormat/>
    <w:rPr>
      <w:rFonts w:eastAsia="Times New Roman" w:cs="Times New Roman"/>
      <w:color w:val="000000"/>
      <w:sz w:val="22"/>
    </w:rPr>
  </w:style>
  <w:style w:type="character" w:styleId="Style11" w:customStyle="1">
    <w:name w:val="Символ нумерации"/>
    <w:qFormat/>
    <w:rPr>
      <w:rFonts w:ascii="0" w:hAnsi="0"/>
      <w:sz w:val="24"/>
    </w:rPr>
  </w:style>
  <w:style w:type="character" w:styleId="Style12">
    <w:name w:val="Emphasis"/>
    <w:qFormat/>
    <w:rPr>
      <w:i/>
      <w:iCs/>
    </w:rPr>
  </w:style>
  <w:style w:type="paragraph" w:styleId="Style13">
    <w:name w:val="Заголовок"/>
    <w:basedOn w:val="Normal"/>
    <w:next w:val="Style14"/>
    <w:qFormat/>
    <w:pPr>
      <w:keepNext w:val="true"/>
      <w:spacing w:before="240" w:after="120"/>
      <w:contextualSpacing w:val="false"/>
    </w:pPr>
    <w:rPr>
      <w:rFonts w:ascii="PT Astra Serif" w:hAnsi="PT Astra Serif" w:eastAsia="Tahoma" w:cs="Noto Sans Devanagari"/>
      <w:sz w:val="28"/>
      <w:szCs w:val="28"/>
    </w:rPr>
  </w:style>
  <w:style w:type="paragraph" w:styleId="Style14">
    <w:name w:val="Body Text"/>
    <w:basedOn w:val="Normal"/>
    <w:pPr>
      <w:spacing w:lineRule="exact" w:line="276" w:before="0" w:after="140"/>
      <w:contextualSpacing w:val="false"/>
    </w:pPr>
    <w:rPr/>
  </w:style>
  <w:style w:type="paragraph" w:styleId="Style15">
    <w:name w:val="List"/>
    <w:basedOn w:val="Style14"/>
    <w:pPr/>
    <w:rPr/>
  </w:style>
  <w:style w:type="paragraph" w:styleId="Style16">
    <w:name w:val="Caption"/>
    <w:basedOn w:val="Normal"/>
    <w:qFormat/>
    <w:pPr>
      <w:suppressLineNumbers/>
      <w:spacing w:before="120" w:after="120"/>
      <w:contextualSpacing w:val="false"/>
    </w:pPr>
    <w:rPr>
      <w:rFonts w:ascii="PT Astra Serif" w:hAnsi="PT Astra Serif" w:cs="Noto Sans Devanagari"/>
      <w:i/>
      <w:iCs/>
      <w:sz w:val="24"/>
      <w:szCs w:val="24"/>
    </w:rPr>
  </w:style>
  <w:style w:type="paragraph" w:styleId="Style17">
    <w:name w:val="Указатель"/>
    <w:basedOn w:val="Normal"/>
    <w:qFormat/>
    <w:pPr>
      <w:suppressLineNumbers/>
    </w:pPr>
    <w:rPr>
      <w:rFonts w:ascii="PT Astra Serif" w:hAnsi="PT Astra Serif" w:cs="Noto Sans Devanagari"/>
    </w:rPr>
  </w:style>
  <w:style w:type="paragraph" w:styleId="Style18">
    <w:name w:val="Title"/>
    <w:basedOn w:val="Normal"/>
    <w:next w:val="Style14"/>
    <w:qFormat/>
    <w:pPr>
      <w:spacing w:before="0" w:after="240"/>
      <w:contextualSpacing w:val="false"/>
      <w:jc w:val="center"/>
    </w:pPr>
    <w:rPr>
      <w:b/>
      <w:sz w:val="32"/>
    </w:rPr>
  </w:style>
  <w:style w:type="paragraph" w:styleId="Caption">
    <w:name w:val="caption"/>
    <w:basedOn w:val="Normal"/>
    <w:qFormat/>
    <w:pPr>
      <w:spacing w:before="120" w:after="120"/>
      <w:contextualSpacing w:val="false"/>
    </w:pPr>
    <w:rPr>
      <w:i/>
      <w:sz w:val="24"/>
    </w:rPr>
  </w:style>
  <w:style w:type="paragraph" w:styleId="Indexheading">
    <w:name w:val="index heading"/>
    <w:basedOn w:val="Style18"/>
    <w:qFormat/>
    <w:pPr>
      <w:keepNext w:val="true"/>
      <w:spacing w:before="240" w:after="120"/>
    </w:pPr>
    <w:rPr>
      <w:sz w:val="28"/>
    </w:rPr>
  </w:style>
  <w:style w:type="paragraph" w:styleId="ListParagraph">
    <w:name w:val="List Paragraph"/>
    <w:qFormat/>
    <w:pPr>
      <w:widowControl w:val="false"/>
      <w:suppressAutoHyphens w:val="true"/>
      <w:bidi w:val="0"/>
      <w:spacing w:before="0" w:after="0"/>
      <w:ind w:left="720" w:hanging="0"/>
      <w:contextualSpacing/>
      <w:jc w:val="left"/>
    </w:pPr>
    <w:rPr>
      <w:rFonts w:ascii="PT Astra Serif" w:hAnsi="PT Astra Serif" w:eastAsia="0" w:cs="0"/>
      <w:color w:val="auto"/>
      <w:kern w:val="0"/>
      <w:sz w:val="24"/>
      <w:szCs w:val="24"/>
      <w:lang w:val="ru-RU" w:eastAsia="zh-CN" w:bidi="hi-IN"/>
    </w:rPr>
  </w:style>
  <w:style w:type="paragraph" w:styleId="NoSpacing">
    <w:name w:val="No Spacing"/>
    <w:qFormat/>
    <w:pPr>
      <w:widowControl w:val="false"/>
      <w:suppressAutoHyphens w:val="true"/>
      <w:bidi w:val="0"/>
      <w:spacing w:before="0" w:after="0"/>
      <w:jc w:val="left"/>
    </w:pPr>
    <w:rPr>
      <w:rFonts w:ascii="0" w:hAnsi="0" w:eastAsia="0" w:cs="0"/>
      <w:color w:val="auto"/>
      <w:kern w:val="0"/>
      <w:sz w:val="24"/>
      <w:szCs w:val="24"/>
      <w:lang w:val="ru-RU" w:eastAsia="zh-CN" w:bidi="hi-IN"/>
    </w:rPr>
  </w:style>
  <w:style w:type="paragraph" w:styleId="Quote">
    <w:name w:val="Quote"/>
    <w:qFormat/>
    <w:pPr>
      <w:widowControl w:val="false"/>
      <w:suppressAutoHyphens w:val="true"/>
      <w:bidi w:val="0"/>
      <w:spacing w:before="0" w:after="0"/>
      <w:ind w:left="720" w:right="720" w:hanging="0"/>
      <w:jc w:val="left"/>
    </w:pPr>
    <w:rPr>
      <w:rFonts w:ascii="PT Astra Serif" w:hAnsi="PT Astra Serif" w:eastAsia="0" w:cs="0"/>
      <w:i/>
      <w:color w:val="auto"/>
      <w:kern w:val="0"/>
      <w:sz w:val="24"/>
      <w:szCs w:val="24"/>
      <w:lang w:val="ru-RU" w:eastAsia="zh-CN" w:bidi="hi-IN"/>
    </w:rPr>
  </w:style>
  <w:style w:type="paragraph" w:styleId="IntenseQuote">
    <w:name w:val="Intense Quote"/>
    <w:qFormat/>
    <w:pPr>
      <w:widowControl w:val="false"/>
      <w:pBdr>
        <w:top w:val="single" w:sz="4" w:space="5" w:color="FFFFFF"/>
        <w:left w:val="single" w:sz="4" w:space="10" w:color="FFFFFF"/>
        <w:bottom w:val="single" w:sz="4" w:space="5" w:color="FFFFFF"/>
        <w:right w:val="single" w:sz="4" w:space="10" w:color="FFFFFF"/>
      </w:pBdr>
      <w:shd w:val="clear" w:color="auto" w:fill="F2F2F2"/>
      <w:suppressAutoHyphens w:val="true"/>
      <w:bidi w:val="0"/>
      <w:spacing w:before="0" w:after="0"/>
      <w:ind w:left="720" w:right="720" w:hanging="0"/>
      <w:contextualSpacing/>
      <w:jc w:val="left"/>
    </w:pPr>
    <w:rPr>
      <w:rFonts w:ascii="PT Astra Serif" w:hAnsi="PT Astra Serif" w:eastAsia="0" w:cs="0"/>
      <w:i/>
      <w:color w:val="auto"/>
      <w:kern w:val="0"/>
      <w:sz w:val="24"/>
      <w:szCs w:val="24"/>
      <w:lang w:val="ru-RU" w:eastAsia="zh-CN" w:bidi="hi-IN"/>
    </w:rPr>
  </w:style>
  <w:style w:type="paragraph" w:styleId="Style19" w:customStyle="1">
    <w:name w:val="Колонтитул"/>
    <w:basedOn w:val="Normal"/>
    <w:qFormat/>
    <w:pPr/>
    <w:rPr/>
  </w:style>
  <w:style w:type="paragraph" w:styleId="Style20">
    <w:name w:val="Header"/>
    <w:basedOn w:val="Style19"/>
    <w:pPr>
      <w:tabs>
        <w:tab w:val="clear" w:pos="720"/>
        <w:tab w:val="center" w:pos="7143" w:leader="none"/>
        <w:tab w:val="right" w:pos="14287" w:leader="none"/>
      </w:tabs>
      <w:spacing w:before="0" w:after="0"/>
      <w:contextualSpacing w:val="false"/>
    </w:pPr>
    <w:rPr/>
  </w:style>
  <w:style w:type="paragraph" w:styleId="Style21">
    <w:name w:val="Footer"/>
    <w:basedOn w:val="Style19"/>
    <w:pPr/>
    <w:rPr/>
  </w:style>
  <w:style w:type="paragraph" w:styleId="TableGridLight" w:customStyle="1">
    <w:name w:val="Table Grid Light"/>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111" w:customStyle="1">
    <w:name w:val="Таблица простая 11"/>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211" w:customStyle="1">
    <w:name w:val="Таблица простая 21"/>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31" w:customStyle="1">
    <w:name w:val="Таблица простая 31"/>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41" w:customStyle="1">
    <w:name w:val="Таблица простая 41"/>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51" w:customStyle="1">
    <w:name w:val="Таблица простая 51"/>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11" w:customStyle="1">
    <w:name w:val="Таблица-сетка 1 светлая1"/>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1Light-Accent1" w:customStyle="1">
    <w:name w:val="Grid Table 1 Light - Accent 1"/>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1Light-Accent2" w:customStyle="1">
    <w:name w:val="Grid Table 1 Light - Accent 2"/>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1Light-Accent3" w:customStyle="1">
    <w:name w:val="Grid Table 1 Light - Accent 3"/>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1Light-Accent4" w:customStyle="1">
    <w:name w:val="Grid Table 1 Light - Accent 4"/>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1Light-Accent5" w:customStyle="1">
    <w:name w:val="Grid Table 1 Light - Accent 5"/>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1Light-Accent6" w:customStyle="1">
    <w:name w:val="Grid Table 1 Light - Accent 6"/>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21" w:customStyle="1">
    <w:name w:val="Таблица-сетка 21"/>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2-Accent1" w:customStyle="1">
    <w:name w:val="Grid Table 2 - Accent 1"/>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2-Accent2" w:customStyle="1">
    <w:name w:val="Grid Table 2 - Accent 2"/>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2-Accent3" w:customStyle="1">
    <w:name w:val="Grid Table 2 - Accent 3"/>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2-Accent4" w:customStyle="1">
    <w:name w:val="Grid Table 2 - Accent 4"/>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2-Accent5" w:customStyle="1">
    <w:name w:val="Grid Table 2 - Accent 5"/>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2-Accent6" w:customStyle="1">
    <w:name w:val="Grid Table 2 - Accent 6"/>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31" w:customStyle="1">
    <w:name w:val="Таблица-сетка 31"/>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3-Accent1" w:customStyle="1">
    <w:name w:val="Grid Table 3 - Accent 1"/>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3-Accent2" w:customStyle="1">
    <w:name w:val="Grid Table 3 - Accent 2"/>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3-Accent3" w:customStyle="1">
    <w:name w:val="Grid Table 3 - Accent 3"/>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3-Accent4" w:customStyle="1">
    <w:name w:val="Grid Table 3 - Accent 4"/>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3-Accent5" w:customStyle="1">
    <w:name w:val="Grid Table 3 - Accent 5"/>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3-Accent6" w:customStyle="1">
    <w:name w:val="Grid Table 3 - Accent 6"/>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41" w:customStyle="1">
    <w:name w:val="Таблица-сетка 41"/>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4-Accent1" w:customStyle="1">
    <w:name w:val="Grid Table 4 - Accent 1"/>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4-Accent2" w:customStyle="1">
    <w:name w:val="Grid Table 4 - Accent 2"/>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4-Accent3" w:customStyle="1">
    <w:name w:val="Grid Table 4 - Accent 3"/>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4-Accent4" w:customStyle="1">
    <w:name w:val="Grid Table 4 - Accent 4"/>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4-Accent5" w:customStyle="1">
    <w:name w:val="Grid Table 4 - Accent 5"/>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4-Accent6" w:customStyle="1">
    <w:name w:val="Grid Table 4 - Accent 6"/>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51" w:customStyle="1">
    <w:name w:val="Таблица-сетка 5 темная1"/>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5Dark-Accent1" w:customStyle="1">
    <w:name w:val="Grid Table 5 Dark- Accent 1"/>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5Dark-Accent2" w:customStyle="1">
    <w:name w:val="Grid Table 5 Dark - Accent 2"/>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5Dark-Accent3" w:customStyle="1">
    <w:name w:val="Grid Table 5 Dark - Accent 3"/>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5Dark-Accent4" w:customStyle="1">
    <w:name w:val="Grid Table 5 Dark- Accent 4"/>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5Dark-Accent5" w:customStyle="1">
    <w:name w:val="Grid Table 5 Dark - Accent 5"/>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5Dark-Accent6" w:customStyle="1">
    <w:name w:val="Grid Table 5 Dark - Accent 6"/>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61" w:customStyle="1">
    <w:name w:val="Таблица-сетка 6 цветная1"/>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6Colorful-Accent1" w:customStyle="1">
    <w:name w:val="Grid Table 6 Colorful - Accent 1"/>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6Colorful-Accent2" w:customStyle="1">
    <w:name w:val="Grid Table 6 Colorful - Accent 2"/>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6Colorful-Accent3" w:customStyle="1">
    <w:name w:val="Grid Table 6 Colorful - Accent 3"/>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6Colorful-Accent4" w:customStyle="1">
    <w:name w:val="Grid Table 6 Colorful - Accent 4"/>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6Colorful-Accent5" w:customStyle="1">
    <w:name w:val="Grid Table 6 Colorful - Accent 5"/>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6Colorful-Accent6" w:customStyle="1">
    <w:name w:val="Grid Table 6 Colorful - Accent 6"/>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71" w:customStyle="1">
    <w:name w:val="Таблица-сетка 7 цветная1"/>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7Colorful-Accent1" w:customStyle="1">
    <w:name w:val="Grid Table 7 Colorful - Accent 1"/>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7Colorful-Accent2" w:customStyle="1">
    <w:name w:val="Grid Table 7 Colorful - Accent 2"/>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7Colorful-Accent3" w:customStyle="1">
    <w:name w:val="Grid Table 7 Colorful - Accent 3"/>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7Colorful-Accent4" w:customStyle="1">
    <w:name w:val="Grid Table 7 Colorful - Accent 4"/>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7Colorful-Accent5" w:customStyle="1">
    <w:name w:val="Grid Table 7 Colorful - Accent 5"/>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GridTable7Colorful-Accent6" w:customStyle="1">
    <w:name w:val="Grid Table 7 Colorful - Accent 6"/>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111" w:customStyle="1">
    <w:name w:val="Список-таблица 1 светлая1"/>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1Light-Accent1" w:customStyle="1">
    <w:name w:val="List Table 1 Light - Accent 1"/>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1Light-Accent2" w:customStyle="1">
    <w:name w:val="List Table 1 Light - Accent 2"/>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1Light-Accent3" w:customStyle="1">
    <w:name w:val="List Table 1 Light - Accent 3"/>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1Light-Accent4" w:customStyle="1">
    <w:name w:val="List Table 1 Light - Accent 4"/>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1Light-Accent5" w:customStyle="1">
    <w:name w:val="List Table 1 Light - Accent 5"/>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1Light-Accent6" w:customStyle="1">
    <w:name w:val="List Table 1 Light - Accent 6"/>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211" w:customStyle="1">
    <w:name w:val="Список-таблица 21"/>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2-Accent1" w:customStyle="1">
    <w:name w:val="List Table 2 - Accent 1"/>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2-Accent2" w:customStyle="1">
    <w:name w:val="List Table 2 - Accent 2"/>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2-Accent3" w:customStyle="1">
    <w:name w:val="List Table 2 - Accent 3"/>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2-Accent4" w:customStyle="1">
    <w:name w:val="List Table 2 - Accent 4"/>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2-Accent5" w:customStyle="1">
    <w:name w:val="List Table 2 - Accent 5"/>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2-Accent6" w:customStyle="1">
    <w:name w:val="List Table 2 - Accent 6"/>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311" w:customStyle="1">
    <w:name w:val="Список-таблица 31"/>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3-Accent1" w:customStyle="1">
    <w:name w:val="List Table 3 - Accent 1"/>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3-Accent2" w:customStyle="1">
    <w:name w:val="List Table 3 - Accent 2"/>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3-Accent3" w:customStyle="1">
    <w:name w:val="List Table 3 - Accent 3"/>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3-Accent4" w:customStyle="1">
    <w:name w:val="List Table 3 - Accent 4"/>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3-Accent5" w:customStyle="1">
    <w:name w:val="List Table 3 - Accent 5"/>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3-Accent6" w:customStyle="1">
    <w:name w:val="List Table 3 - Accent 6"/>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411" w:customStyle="1">
    <w:name w:val="Список-таблица 41"/>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4-Accent1" w:customStyle="1">
    <w:name w:val="List Table 4 - Accent 1"/>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4-Accent2" w:customStyle="1">
    <w:name w:val="List Table 4 - Accent 2"/>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4-Accent3" w:customStyle="1">
    <w:name w:val="List Table 4 - Accent 3"/>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4-Accent4" w:customStyle="1">
    <w:name w:val="List Table 4 - Accent 4"/>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4-Accent5" w:customStyle="1">
    <w:name w:val="List Table 4 - Accent 5"/>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4-Accent6" w:customStyle="1">
    <w:name w:val="List Table 4 - Accent 6"/>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511" w:customStyle="1">
    <w:name w:val="Список-таблица 5 темная1"/>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5Dark-Accent1" w:customStyle="1">
    <w:name w:val="List Table 5 Dark - Accent 1"/>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5Dark-Accent2" w:customStyle="1">
    <w:name w:val="List Table 5 Dark - Accent 2"/>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5Dark-Accent3" w:customStyle="1">
    <w:name w:val="List Table 5 Dark - Accent 3"/>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5Dark-Accent4" w:customStyle="1">
    <w:name w:val="List Table 5 Dark - Accent 4"/>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5Dark-Accent5" w:customStyle="1">
    <w:name w:val="List Table 5 Dark - Accent 5"/>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5Dark-Accent6" w:customStyle="1">
    <w:name w:val="List Table 5 Dark - Accent 6"/>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611" w:customStyle="1">
    <w:name w:val="Список-таблица 6 цветная1"/>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6Colorful-Accent1" w:customStyle="1">
    <w:name w:val="List Table 6 Colorful - Accent 1"/>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6Colorful-Accent2" w:customStyle="1">
    <w:name w:val="List Table 6 Colorful - Accent 2"/>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6Colorful-Accent3" w:customStyle="1">
    <w:name w:val="List Table 6 Colorful - Accent 3"/>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6Colorful-Accent4" w:customStyle="1">
    <w:name w:val="List Table 6 Colorful - Accent 4"/>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6Colorful-Accent5" w:customStyle="1">
    <w:name w:val="List Table 6 Colorful - Accent 5"/>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6Colorful-Accent6" w:customStyle="1">
    <w:name w:val="List Table 6 Colorful - Accent 6"/>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711" w:customStyle="1">
    <w:name w:val="Список-таблица 7 цветная1"/>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7Colorful-Accent1" w:customStyle="1">
    <w:name w:val="List Table 7 Colorful - Accent 1"/>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7Colorful-Accent2" w:customStyle="1">
    <w:name w:val="List Table 7 Colorful - Accent 2"/>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7Colorful-Accent3" w:customStyle="1">
    <w:name w:val="List Table 7 Colorful - Accent 3"/>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7Colorful-Accent4" w:customStyle="1">
    <w:name w:val="List Table 7 Colorful - Accent 4"/>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7Colorful-Accent5" w:customStyle="1">
    <w:name w:val="List Table 7 Colorful - Accent 5"/>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stTable7Colorful-Accent6" w:customStyle="1">
    <w:name w:val="List Table 7 Colorful - Accent 6"/>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Lined-Accent" w:customStyle="1">
    <w:name w:val="Lined - Accent"/>
    <w:qFormat/>
    <w:pPr>
      <w:widowControl w:val="false"/>
      <w:suppressAutoHyphens w:val="true"/>
      <w:bidi w:val="0"/>
      <w:spacing w:before="0" w:after="0"/>
      <w:jc w:val="left"/>
    </w:pPr>
    <w:rPr>
      <w:rFonts w:ascii="PT Astra Serif" w:hAnsi="PT Astra Serif" w:eastAsia="0" w:cs="0"/>
      <w:color w:val="404040"/>
      <w:kern w:val="0"/>
      <w:sz w:val="24"/>
      <w:szCs w:val="24"/>
      <w:lang w:val="ru-RU" w:eastAsia="zh-CN" w:bidi="hi-IN"/>
    </w:rPr>
  </w:style>
  <w:style w:type="paragraph" w:styleId="Lined-Accent1" w:customStyle="1">
    <w:name w:val="Lined - Accent 1"/>
    <w:qFormat/>
    <w:pPr>
      <w:widowControl w:val="false"/>
      <w:suppressAutoHyphens w:val="true"/>
      <w:bidi w:val="0"/>
      <w:spacing w:before="0" w:after="0"/>
      <w:jc w:val="left"/>
    </w:pPr>
    <w:rPr>
      <w:rFonts w:ascii="PT Astra Serif" w:hAnsi="PT Astra Serif" w:eastAsia="0" w:cs="0"/>
      <w:color w:val="404040"/>
      <w:kern w:val="0"/>
      <w:sz w:val="24"/>
      <w:szCs w:val="24"/>
      <w:lang w:val="ru-RU" w:eastAsia="zh-CN" w:bidi="hi-IN"/>
    </w:rPr>
  </w:style>
  <w:style w:type="paragraph" w:styleId="Lined-Accent2" w:customStyle="1">
    <w:name w:val="Lined - Accent 2"/>
    <w:qFormat/>
    <w:pPr>
      <w:widowControl w:val="false"/>
      <w:suppressAutoHyphens w:val="true"/>
      <w:bidi w:val="0"/>
      <w:spacing w:before="0" w:after="0"/>
      <w:jc w:val="left"/>
    </w:pPr>
    <w:rPr>
      <w:rFonts w:ascii="PT Astra Serif" w:hAnsi="PT Astra Serif" w:eastAsia="0" w:cs="0"/>
      <w:color w:val="404040"/>
      <w:kern w:val="0"/>
      <w:sz w:val="24"/>
      <w:szCs w:val="24"/>
      <w:lang w:val="ru-RU" w:eastAsia="zh-CN" w:bidi="hi-IN"/>
    </w:rPr>
  </w:style>
  <w:style w:type="paragraph" w:styleId="Lined-Accent3" w:customStyle="1">
    <w:name w:val="Lined - Accent 3"/>
    <w:qFormat/>
    <w:pPr>
      <w:widowControl w:val="false"/>
      <w:suppressAutoHyphens w:val="true"/>
      <w:bidi w:val="0"/>
      <w:spacing w:before="0" w:after="0"/>
      <w:jc w:val="left"/>
    </w:pPr>
    <w:rPr>
      <w:rFonts w:ascii="PT Astra Serif" w:hAnsi="PT Astra Serif" w:eastAsia="0" w:cs="0"/>
      <w:color w:val="404040"/>
      <w:kern w:val="0"/>
      <w:sz w:val="24"/>
      <w:szCs w:val="24"/>
      <w:lang w:val="ru-RU" w:eastAsia="zh-CN" w:bidi="hi-IN"/>
    </w:rPr>
  </w:style>
  <w:style w:type="paragraph" w:styleId="Lined-Accent4" w:customStyle="1">
    <w:name w:val="Lined - Accent 4"/>
    <w:qFormat/>
    <w:pPr>
      <w:widowControl w:val="false"/>
      <w:suppressAutoHyphens w:val="true"/>
      <w:bidi w:val="0"/>
      <w:spacing w:before="0" w:after="0"/>
      <w:jc w:val="left"/>
    </w:pPr>
    <w:rPr>
      <w:rFonts w:ascii="PT Astra Serif" w:hAnsi="PT Astra Serif" w:eastAsia="0" w:cs="0"/>
      <w:color w:val="404040"/>
      <w:kern w:val="0"/>
      <w:sz w:val="24"/>
      <w:szCs w:val="24"/>
      <w:lang w:val="ru-RU" w:eastAsia="zh-CN" w:bidi="hi-IN"/>
    </w:rPr>
  </w:style>
  <w:style w:type="paragraph" w:styleId="Lined-Accent5" w:customStyle="1">
    <w:name w:val="Lined - Accent 5"/>
    <w:qFormat/>
    <w:pPr>
      <w:widowControl w:val="false"/>
      <w:suppressAutoHyphens w:val="true"/>
      <w:bidi w:val="0"/>
      <w:spacing w:before="0" w:after="0"/>
      <w:jc w:val="left"/>
    </w:pPr>
    <w:rPr>
      <w:rFonts w:ascii="PT Astra Serif" w:hAnsi="PT Astra Serif" w:eastAsia="0" w:cs="0"/>
      <w:color w:val="404040"/>
      <w:kern w:val="0"/>
      <w:sz w:val="24"/>
      <w:szCs w:val="24"/>
      <w:lang w:val="ru-RU" w:eastAsia="zh-CN" w:bidi="hi-IN"/>
    </w:rPr>
  </w:style>
  <w:style w:type="paragraph" w:styleId="Lined-Accent6" w:customStyle="1">
    <w:name w:val="Lined - Accent 6"/>
    <w:qFormat/>
    <w:pPr>
      <w:widowControl w:val="false"/>
      <w:suppressAutoHyphens w:val="true"/>
      <w:bidi w:val="0"/>
      <w:spacing w:before="0" w:after="0"/>
      <w:jc w:val="left"/>
    </w:pPr>
    <w:rPr>
      <w:rFonts w:ascii="PT Astra Serif" w:hAnsi="PT Astra Serif" w:eastAsia="0" w:cs="0"/>
      <w:color w:val="404040"/>
      <w:kern w:val="0"/>
      <w:sz w:val="24"/>
      <w:szCs w:val="24"/>
      <w:lang w:val="ru-RU" w:eastAsia="zh-CN" w:bidi="hi-IN"/>
    </w:rPr>
  </w:style>
  <w:style w:type="paragraph" w:styleId="BorderedLined-Accent" w:customStyle="1">
    <w:name w:val="Bordered &amp; Lined - Accent"/>
    <w:qFormat/>
    <w:pPr>
      <w:widowControl w:val="false"/>
      <w:suppressAutoHyphens w:val="true"/>
      <w:bidi w:val="0"/>
      <w:spacing w:before="0" w:after="0"/>
      <w:jc w:val="left"/>
    </w:pPr>
    <w:rPr>
      <w:rFonts w:ascii="PT Astra Serif" w:hAnsi="PT Astra Serif" w:eastAsia="0" w:cs="0"/>
      <w:color w:val="404040"/>
      <w:kern w:val="0"/>
      <w:sz w:val="24"/>
      <w:szCs w:val="24"/>
      <w:lang w:val="ru-RU" w:eastAsia="zh-CN" w:bidi="hi-IN"/>
    </w:rPr>
  </w:style>
  <w:style w:type="paragraph" w:styleId="BorderedLined-Accent1" w:customStyle="1">
    <w:name w:val="Bordered &amp; Lined - Accent 1"/>
    <w:qFormat/>
    <w:pPr>
      <w:widowControl w:val="false"/>
      <w:suppressAutoHyphens w:val="true"/>
      <w:bidi w:val="0"/>
      <w:spacing w:before="0" w:after="0"/>
      <w:jc w:val="left"/>
    </w:pPr>
    <w:rPr>
      <w:rFonts w:ascii="PT Astra Serif" w:hAnsi="PT Astra Serif" w:eastAsia="0" w:cs="0"/>
      <w:color w:val="404040"/>
      <w:kern w:val="0"/>
      <w:sz w:val="24"/>
      <w:szCs w:val="24"/>
      <w:lang w:val="ru-RU" w:eastAsia="zh-CN" w:bidi="hi-IN"/>
    </w:rPr>
  </w:style>
  <w:style w:type="paragraph" w:styleId="BorderedLined-Accent2" w:customStyle="1">
    <w:name w:val="Bordered &amp; Lined - Accent 2"/>
    <w:qFormat/>
    <w:pPr>
      <w:widowControl w:val="false"/>
      <w:suppressAutoHyphens w:val="true"/>
      <w:bidi w:val="0"/>
      <w:spacing w:before="0" w:after="0"/>
      <w:jc w:val="left"/>
    </w:pPr>
    <w:rPr>
      <w:rFonts w:ascii="PT Astra Serif" w:hAnsi="PT Astra Serif" w:eastAsia="0" w:cs="0"/>
      <w:color w:val="404040"/>
      <w:kern w:val="0"/>
      <w:sz w:val="24"/>
      <w:szCs w:val="24"/>
      <w:lang w:val="ru-RU" w:eastAsia="zh-CN" w:bidi="hi-IN"/>
    </w:rPr>
  </w:style>
  <w:style w:type="paragraph" w:styleId="BorderedLined-Accent3" w:customStyle="1">
    <w:name w:val="Bordered &amp; Lined - Accent 3"/>
    <w:qFormat/>
    <w:pPr>
      <w:widowControl w:val="false"/>
      <w:suppressAutoHyphens w:val="true"/>
      <w:bidi w:val="0"/>
      <w:spacing w:before="0" w:after="0"/>
      <w:jc w:val="left"/>
    </w:pPr>
    <w:rPr>
      <w:rFonts w:ascii="PT Astra Serif" w:hAnsi="PT Astra Serif" w:eastAsia="0" w:cs="0"/>
      <w:color w:val="404040"/>
      <w:kern w:val="0"/>
      <w:sz w:val="24"/>
      <w:szCs w:val="24"/>
      <w:lang w:val="ru-RU" w:eastAsia="zh-CN" w:bidi="hi-IN"/>
    </w:rPr>
  </w:style>
  <w:style w:type="paragraph" w:styleId="BorderedLined-Accent4" w:customStyle="1">
    <w:name w:val="Bordered &amp; Lined - Accent 4"/>
    <w:qFormat/>
    <w:pPr>
      <w:widowControl w:val="false"/>
      <w:suppressAutoHyphens w:val="true"/>
      <w:bidi w:val="0"/>
      <w:spacing w:before="0" w:after="0"/>
      <w:jc w:val="left"/>
    </w:pPr>
    <w:rPr>
      <w:rFonts w:ascii="PT Astra Serif" w:hAnsi="PT Astra Serif" w:eastAsia="0" w:cs="0"/>
      <w:color w:val="404040"/>
      <w:kern w:val="0"/>
      <w:sz w:val="24"/>
      <w:szCs w:val="24"/>
      <w:lang w:val="ru-RU" w:eastAsia="zh-CN" w:bidi="hi-IN"/>
    </w:rPr>
  </w:style>
  <w:style w:type="paragraph" w:styleId="BorderedLined-Accent5" w:customStyle="1">
    <w:name w:val="Bordered &amp; Lined - Accent 5"/>
    <w:qFormat/>
    <w:pPr>
      <w:widowControl w:val="false"/>
      <w:suppressAutoHyphens w:val="true"/>
      <w:bidi w:val="0"/>
      <w:spacing w:before="0" w:after="0"/>
      <w:jc w:val="left"/>
    </w:pPr>
    <w:rPr>
      <w:rFonts w:ascii="PT Astra Serif" w:hAnsi="PT Astra Serif" w:eastAsia="0" w:cs="0"/>
      <w:color w:val="404040"/>
      <w:kern w:val="0"/>
      <w:sz w:val="24"/>
      <w:szCs w:val="24"/>
      <w:lang w:val="ru-RU" w:eastAsia="zh-CN" w:bidi="hi-IN"/>
    </w:rPr>
  </w:style>
  <w:style w:type="paragraph" w:styleId="BorderedLined-Accent6" w:customStyle="1">
    <w:name w:val="Bordered &amp; Lined - Accent 6"/>
    <w:qFormat/>
    <w:pPr>
      <w:widowControl w:val="false"/>
      <w:suppressAutoHyphens w:val="true"/>
      <w:bidi w:val="0"/>
      <w:spacing w:before="0" w:after="0"/>
      <w:jc w:val="left"/>
    </w:pPr>
    <w:rPr>
      <w:rFonts w:ascii="PT Astra Serif" w:hAnsi="PT Astra Serif" w:eastAsia="0" w:cs="0"/>
      <w:color w:val="404040"/>
      <w:kern w:val="0"/>
      <w:sz w:val="24"/>
      <w:szCs w:val="24"/>
      <w:lang w:val="ru-RU" w:eastAsia="zh-CN" w:bidi="hi-IN"/>
    </w:rPr>
  </w:style>
  <w:style w:type="paragraph" w:styleId="Bordered" w:customStyle="1">
    <w:name w:val="Bordered"/>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Bordered-Accent1" w:customStyle="1">
    <w:name w:val="Bordered - Accent 1"/>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Bordered-Accent2" w:customStyle="1">
    <w:name w:val="Bordered - Accent 2"/>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Bordered-Accent3" w:customStyle="1">
    <w:name w:val="Bordered - Accent 3"/>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Bordered-Accent4" w:customStyle="1">
    <w:name w:val="Bordered - Accent 4"/>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Bordered-Accent5" w:customStyle="1">
    <w:name w:val="Bordered - Accent 5"/>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Bordered-Accent6" w:customStyle="1">
    <w:name w:val="Bordered - Accent 6"/>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Style22">
    <w:name w:val="Footnote Text"/>
    <w:basedOn w:val="Normal"/>
    <w:pPr/>
    <w:rPr/>
  </w:style>
  <w:style w:type="paragraph" w:styleId="Style23">
    <w:name w:val="Endnote Text"/>
    <w:basedOn w:val="Normal"/>
    <w:pPr>
      <w:spacing w:before="0" w:after="0"/>
      <w:contextualSpacing w:val="false"/>
    </w:pPr>
    <w:rPr/>
  </w:style>
  <w:style w:type="paragraph" w:styleId="12">
    <w:name w:val="TOC 1"/>
    <w:basedOn w:val="Indexheading"/>
    <w:pPr>
      <w:spacing w:before="0" w:after="57"/>
    </w:pPr>
    <w:rPr/>
  </w:style>
  <w:style w:type="paragraph" w:styleId="22">
    <w:name w:val="TOC 2"/>
    <w:basedOn w:val="Indexheading"/>
    <w:pPr>
      <w:spacing w:before="0" w:after="57"/>
      <w:ind w:left="283" w:hanging="0"/>
    </w:pPr>
    <w:rPr/>
  </w:style>
  <w:style w:type="paragraph" w:styleId="32">
    <w:name w:val="TOC 3"/>
    <w:basedOn w:val="Indexheading"/>
    <w:pPr>
      <w:spacing w:before="0" w:after="57"/>
      <w:ind w:left="567" w:hanging="0"/>
    </w:pPr>
    <w:rPr/>
  </w:style>
  <w:style w:type="paragraph" w:styleId="42">
    <w:name w:val="TOC 4"/>
    <w:basedOn w:val="Indexheading"/>
    <w:pPr>
      <w:spacing w:before="0" w:after="57"/>
      <w:ind w:left="850" w:hanging="0"/>
    </w:pPr>
    <w:rPr/>
  </w:style>
  <w:style w:type="paragraph" w:styleId="52">
    <w:name w:val="TOC 5"/>
    <w:basedOn w:val="Indexheading"/>
    <w:pPr>
      <w:spacing w:before="0" w:after="57"/>
      <w:ind w:left="1134" w:hanging="0"/>
    </w:pPr>
    <w:rPr/>
  </w:style>
  <w:style w:type="paragraph" w:styleId="61">
    <w:name w:val="TOC 6"/>
    <w:basedOn w:val="Indexheading"/>
    <w:pPr>
      <w:spacing w:before="0" w:after="57"/>
      <w:ind w:left="1417" w:hanging="0"/>
    </w:pPr>
    <w:rPr/>
  </w:style>
  <w:style w:type="paragraph" w:styleId="71">
    <w:name w:val="TOC 7"/>
    <w:basedOn w:val="Indexheading"/>
    <w:pPr>
      <w:spacing w:before="0" w:after="57"/>
      <w:ind w:left="1701" w:hanging="0"/>
    </w:pPr>
    <w:rPr/>
  </w:style>
  <w:style w:type="paragraph" w:styleId="81">
    <w:name w:val="TOC 8"/>
    <w:basedOn w:val="Indexheading"/>
    <w:pPr>
      <w:spacing w:before="0" w:after="57"/>
      <w:ind w:left="1984" w:hanging="0"/>
    </w:pPr>
    <w:rPr/>
  </w:style>
  <w:style w:type="paragraph" w:styleId="91">
    <w:name w:val="TOC 9"/>
    <w:basedOn w:val="Indexheading"/>
    <w:pPr>
      <w:spacing w:before="0" w:after="57"/>
      <w:ind w:left="2268" w:hanging="0"/>
    </w:pPr>
    <w:rPr/>
  </w:style>
  <w:style w:type="paragraph" w:styleId="Style24">
    <w:name w:val="Index Heading"/>
    <w:basedOn w:val="Style13"/>
    <w:pPr/>
    <w:rPr/>
  </w:style>
  <w:style w:type="paragraph" w:styleId="Style25">
    <w:name w:val="TOC Heading"/>
    <w:basedOn w:val="Indexheading"/>
    <w:pPr/>
    <w:rPr>
      <w:sz w:val="24"/>
    </w:rPr>
  </w:style>
  <w:style w:type="paragraph" w:styleId="Tableoffigures">
    <w:name w:val="table of figures"/>
    <w:qFormat/>
    <w:pPr>
      <w:widowControl w:val="false"/>
      <w:suppressAutoHyphens w:val="true"/>
      <w:bidi w:val="0"/>
      <w:spacing w:before="0" w:after="0"/>
      <w:jc w:val="left"/>
    </w:pPr>
    <w:rPr>
      <w:rFonts w:ascii="PT Astra Serif" w:hAnsi="PT Astra Serif" w:eastAsia="0" w:cs="0"/>
      <w:color w:val="auto"/>
      <w:kern w:val="0"/>
      <w:sz w:val="24"/>
      <w:szCs w:val="24"/>
      <w:lang w:val="ru-RU" w:eastAsia="zh-CN" w:bidi="hi-IN"/>
    </w:rPr>
  </w:style>
  <w:style w:type="paragraph" w:styleId="13" w:customStyle="1">
    <w:name w:val="Обычная таблица1"/>
    <w:qFormat/>
    <w:pPr>
      <w:widowControl w:val="false"/>
      <w:suppressAutoHyphens w:val="true"/>
      <w:bidi w:val="0"/>
      <w:spacing w:lineRule="auto" w:line="252" w:before="0" w:after="160"/>
      <w:jc w:val="left"/>
    </w:pPr>
    <w:rPr>
      <w:rFonts w:ascii="0" w:hAnsi="0" w:eastAsia="0" w:cs="0"/>
      <w:color w:val="000000"/>
      <w:kern w:val="0"/>
      <w:sz w:val="22"/>
      <w:szCs w:val="24"/>
      <w:lang w:val="ru-RU" w:eastAsia="zh-CN" w:bidi="hi-IN"/>
    </w:rPr>
  </w:style>
  <w:style w:type="paragraph" w:styleId="SubHeading" w:customStyle="1">
    <w:name w:val="Sub Heading"/>
    <w:qFormat/>
    <w:pPr>
      <w:widowControl w:val="false"/>
      <w:suppressAutoHyphens w:val="true"/>
      <w:bidi w:val="0"/>
      <w:spacing w:before="240" w:after="40"/>
      <w:jc w:val="left"/>
    </w:pPr>
    <w:rPr>
      <w:rFonts w:ascii="0" w:hAnsi="0" w:eastAsia="0" w:cs="0"/>
      <w:color w:val="000000"/>
      <w:kern w:val="0"/>
      <w:sz w:val="20"/>
      <w:szCs w:val="24"/>
      <w:lang w:val="ru-RU" w:eastAsia="zh-CN" w:bidi="hi-IN"/>
    </w:rPr>
  </w:style>
  <w:style w:type="paragraph" w:styleId="SubHeading1" w:customStyle="1">
    <w:name w:val="Sub Heading1"/>
    <w:qFormat/>
    <w:pPr>
      <w:widowControl w:val="false"/>
      <w:suppressAutoHyphens w:val="true"/>
      <w:bidi w:val="0"/>
      <w:spacing w:before="80" w:after="20"/>
      <w:jc w:val="left"/>
    </w:pPr>
    <w:rPr>
      <w:rFonts w:ascii="0" w:hAnsi="0" w:eastAsia="0" w:cs="0"/>
      <w:color w:val="000000"/>
      <w:kern w:val="0"/>
      <w:sz w:val="20"/>
      <w:szCs w:val="24"/>
      <w:lang w:val="ru-RU" w:eastAsia="zh-CN" w:bidi="hi-IN"/>
    </w:rPr>
  </w:style>
  <w:style w:type="paragraph" w:styleId="Style26">
    <w:name w:val="Subtitle"/>
    <w:basedOn w:val="Style18"/>
    <w:qFormat/>
    <w:pPr>
      <w:keepNext w:val="true"/>
    </w:pPr>
    <w:rPr>
      <w:sz w:val="24"/>
    </w:rPr>
  </w:style>
  <w:style w:type="paragraph" w:styleId="Headingbalance" w:customStyle="1">
    <w:name w:val="Heading_balance"/>
    <w:qFormat/>
    <w:pPr>
      <w:widowControl w:val="false"/>
      <w:suppressAutoHyphens w:val="true"/>
      <w:bidi w:val="0"/>
      <w:spacing w:before="120" w:after="0"/>
      <w:jc w:val="center"/>
    </w:pPr>
    <w:rPr>
      <w:rFonts w:ascii="0" w:hAnsi="0" w:eastAsia="0" w:cs="0"/>
      <w:b/>
      <w:color w:val="000000"/>
      <w:kern w:val="0"/>
      <w:sz w:val="20"/>
      <w:szCs w:val="24"/>
      <w:lang w:val="ru-RU" w:eastAsia="zh-CN" w:bidi="hi-IN"/>
    </w:rPr>
  </w:style>
  <w:style w:type="paragraph" w:styleId="SpacedNormal" w:customStyle="1">
    <w:name w:val="Spaced Normal"/>
    <w:qFormat/>
    <w:pPr>
      <w:widowControl w:val="false"/>
      <w:suppressAutoHyphens w:val="true"/>
      <w:bidi w:val="0"/>
      <w:spacing w:before="120" w:after="40"/>
      <w:jc w:val="left"/>
    </w:pPr>
    <w:rPr>
      <w:rFonts w:ascii="0" w:hAnsi="0" w:eastAsia="0" w:cs="0"/>
      <w:color w:val="000000"/>
      <w:kern w:val="0"/>
      <w:sz w:val="20"/>
      <w:szCs w:val="24"/>
      <w:lang w:val="ru-RU" w:eastAsia="zh-CN" w:bidi="hi-IN"/>
    </w:rPr>
  </w:style>
  <w:style w:type="paragraph" w:styleId="ThinDelim" w:customStyle="1">
    <w:name w:val="Thin Delim"/>
    <w:qFormat/>
    <w:pPr>
      <w:widowControl w:val="false"/>
      <w:suppressAutoHyphens w:val="true"/>
      <w:bidi w:val="0"/>
      <w:spacing w:before="0" w:after="0"/>
      <w:jc w:val="left"/>
    </w:pPr>
    <w:rPr>
      <w:rFonts w:ascii="0" w:hAnsi="0" w:eastAsia="0" w:cs="0"/>
      <w:color w:val="000000"/>
      <w:kern w:val="0"/>
      <w:sz w:val="16"/>
      <w:szCs w:val="24"/>
      <w:lang w:val="ru-RU" w:eastAsia="zh-CN" w:bidi="hi-IN"/>
    </w:rPr>
  </w:style>
  <w:style w:type="paragraph" w:styleId="Default" w:customStyle="1">
    <w:name w:val="Default"/>
    <w:qFormat/>
    <w:pPr>
      <w:widowControl w:val="false"/>
      <w:suppressAutoHyphens w:val="true"/>
      <w:bidi w:val="0"/>
      <w:spacing w:before="0" w:after="0"/>
      <w:jc w:val="left"/>
    </w:pPr>
    <w:rPr>
      <w:rFonts w:ascii="0" w:hAnsi="0" w:eastAsia="0" w:cs="0"/>
      <w:color w:val="000000"/>
      <w:kern w:val="0"/>
      <w:sz w:val="24"/>
      <w:szCs w:val="24"/>
      <w:lang w:val="ru-RU" w:eastAsia="zh-CN" w:bidi="hi-IN"/>
    </w:rPr>
  </w:style>
  <w:style w:type="paragraph" w:styleId="BlockText">
    <w:name w:val="Block Text"/>
    <w:basedOn w:val="Normal"/>
    <w:qFormat/>
    <w:pPr>
      <w:spacing w:before="0" w:after="0"/>
      <w:ind w:left="-284" w:right="-70" w:firstLine="568"/>
      <w:contextualSpacing w:val="false"/>
      <w:jc w:val="both"/>
    </w:pPr>
    <w:rPr>
      <w:sz w:val="26"/>
    </w:rPr>
  </w:style>
  <w:style w:type="paragraph" w:styleId="14" w:customStyle="1">
    <w:name w:val="Сетка таблицы1"/>
    <w:basedOn w:val="13"/>
    <w:qFormat/>
    <w:pPr>
      <w:spacing w:lineRule="exact" w:line="252" w:before="0" w:after="0"/>
    </w:pPr>
    <w:rPr/>
  </w:style>
  <w:style w:type="paragraph" w:styleId="ConsPlusNormal" w:customStyle="1">
    <w:name w:val="ConsPlusNormal"/>
    <w:qFormat/>
    <w:pPr>
      <w:widowControl w:val="false"/>
      <w:suppressAutoHyphens w:val="true"/>
      <w:bidi w:val="0"/>
      <w:spacing w:before="0" w:after="0"/>
      <w:jc w:val="left"/>
    </w:pPr>
    <w:rPr>
      <w:rFonts w:ascii="0" w:hAnsi="0" w:eastAsia="0" w:cs="0"/>
      <w:color w:val="000000"/>
      <w:kern w:val="0"/>
      <w:sz w:val="24"/>
      <w:szCs w:val="24"/>
      <w:lang w:val="ru-RU" w:eastAsia="zh-CN" w:bidi="hi-IN"/>
    </w:rPr>
  </w:style>
  <w:style w:type="paragraph" w:styleId="Style31" w:customStyle="1">
    <w:name w:val="Style3"/>
    <w:basedOn w:val="Normal"/>
    <w:qFormat/>
    <w:pPr>
      <w:spacing w:lineRule="exact" w:line="283"/>
      <w:jc w:val="both"/>
    </w:pPr>
    <w:rPr/>
  </w:style>
  <w:style w:type="paragraph" w:styleId="NormalWeb">
    <w:name w:val="Normal (Web)"/>
    <w:basedOn w:val="Normal"/>
    <w:qFormat/>
    <w:pPr>
      <w:spacing w:beforeAutospacing="1" w:afterAutospacing="1"/>
      <w:contextualSpacing w:val="false"/>
    </w:pPr>
    <w:rPr>
      <w:sz w:val="16"/>
    </w:rPr>
  </w:style>
  <w:style w:type="paragraph" w:styleId="Style27" w:customStyle="1">
    <w:name w:val="Содержимое таблицы"/>
    <w:basedOn w:val="Normal"/>
    <w:qFormat/>
    <w:pPr/>
    <w:rPr/>
  </w:style>
  <w:style w:type="paragraph" w:styleId="Style28" w:customStyle="1">
    <w:name w:val="Заголовок таблицы"/>
    <w:basedOn w:val="Style27"/>
    <w:qFormat/>
    <w:pPr>
      <w:jc w:val="center"/>
    </w:pPr>
    <w:rPr>
      <w:b/>
    </w:rPr>
  </w:style>
  <w:style w:type="paragraph" w:styleId="ListNumber">
    <w:name w:val="List Number"/>
    <w:basedOn w:val="Normal"/>
    <w:qFormat/>
    <w:pPr>
      <w:spacing w:before="0" w:after="0"/>
      <w:contextualSpacing/>
    </w:pPr>
    <w:rPr/>
  </w:style>
  <w:style w:type="paragraph" w:styleId="311" w:customStyle="1">
    <w:name w:val="Основной текст 31"/>
    <w:basedOn w:val="Normal"/>
    <w:qFormat/>
    <w:pPr>
      <w:widowControl/>
      <w:spacing w:before="20" w:after="0"/>
      <w:contextualSpacing w:val="false"/>
    </w:pPr>
    <w:rPr>
      <w:sz w:val="24"/>
    </w:rPr>
  </w:style>
  <w:style w:type="paragraph" w:styleId="Style29" w:customStyle="1">
    <w:name w:val="Объект без заливки"/>
    <w:basedOn w:val="Normal"/>
    <w:qFormat/>
    <w:pPr>
      <w:spacing w:lineRule="atLeast" w:line="200" w:before="0" w:after="0"/>
      <w:contextualSpacing w:val="false"/>
    </w:pPr>
    <w:rPr>
      <w:rFonts w:ascii="Noto Sans Devanagari" w:hAnsi="Noto Sans Devanagari"/>
      <w:color w:val="auto"/>
      <w:sz w:val="36"/>
    </w:rPr>
  </w:style>
  <w:style w:type="paragraph" w:styleId="Style30" w:customStyle="1">
    <w:name w:val="Объект без заливки и линий"/>
    <w:basedOn w:val="Normal"/>
    <w:qFormat/>
    <w:pPr>
      <w:spacing w:lineRule="atLeast" w:line="200" w:before="0" w:after="0"/>
      <w:contextualSpacing w:val="false"/>
    </w:pPr>
    <w:rPr>
      <w:rFonts w:ascii="Noto Sans Devanagari" w:hAnsi="Noto Sans Devanagari"/>
      <w:color w:val="auto"/>
      <w:sz w:val="36"/>
    </w:rPr>
  </w:style>
  <w:style w:type="paragraph" w:styleId="A4" w:customStyle="1">
    <w:name w:val="A4"/>
    <w:qFormat/>
    <w:pPr>
      <w:widowControl w:val="false"/>
      <w:suppressAutoHyphens w:val="true"/>
      <w:bidi w:val="0"/>
      <w:spacing w:before="120" w:after="120"/>
      <w:jc w:val="left"/>
    </w:pPr>
    <w:rPr>
      <w:rFonts w:ascii="Noto Sans" w:hAnsi="Noto Sans" w:eastAsia="Tahoma" w:cs="0"/>
      <w:i/>
      <w:color w:val="auto"/>
      <w:kern w:val="0"/>
      <w:sz w:val="36"/>
      <w:szCs w:val="24"/>
      <w:lang w:val="ru-RU" w:eastAsia="zh-CN" w:bidi="hi-IN"/>
    </w:rPr>
  </w:style>
  <w:style w:type="paragraph" w:styleId="PlainText">
    <w:name w:val="Plain Text"/>
    <w:basedOn w:val="Caption"/>
    <w:qFormat/>
    <w:pPr/>
    <w:rPr/>
  </w:style>
  <w:style w:type="paragraph" w:styleId="43" w:customStyle="1">
    <w:name w:val="Заглавие А4"/>
    <w:basedOn w:val="A4"/>
    <w:qFormat/>
    <w:pPr/>
    <w:rPr>
      <w:sz w:val="87"/>
    </w:rPr>
  </w:style>
  <w:style w:type="paragraph" w:styleId="44" w:customStyle="1">
    <w:name w:val="Заголовок А4"/>
    <w:basedOn w:val="A4"/>
    <w:qFormat/>
    <w:pPr/>
    <w:rPr>
      <w:sz w:val="48"/>
    </w:rPr>
  </w:style>
  <w:style w:type="paragraph" w:styleId="45" w:customStyle="1">
    <w:name w:val="Текст А4"/>
    <w:basedOn w:val="A4"/>
    <w:qFormat/>
    <w:pPr/>
    <w:rPr/>
  </w:style>
  <w:style w:type="paragraph" w:styleId="A0" w:customStyle="1">
    <w:name w:val="A0"/>
    <w:basedOn w:val="PlainText"/>
    <w:qFormat/>
    <w:pPr/>
    <w:rPr>
      <w:rFonts w:ascii="Noto Sans" w:hAnsi="Noto Sans"/>
      <w:sz w:val="95"/>
    </w:rPr>
  </w:style>
  <w:style w:type="paragraph" w:styleId="0" w:customStyle="1">
    <w:name w:val="Заглавие А0"/>
    <w:basedOn w:val="A0"/>
    <w:qFormat/>
    <w:pPr/>
    <w:rPr>
      <w:sz w:val="191"/>
    </w:rPr>
  </w:style>
  <w:style w:type="paragraph" w:styleId="01" w:customStyle="1">
    <w:name w:val="Заголовок А0"/>
    <w:basedOn w:val="A0"/>
    <w:qFormat/>
    <w:pPr/>
    <w:rPr>
      <w:sz w:val="143"/>
    </w:rPr>
  </w:style>
  <w:style w:type="paragraph" w:styleId="02" w:customStyle="1">
    <w:name w:val="Текст А0"/>
    <w:basedOn w:val="A0"/>
    <w:qFormat/>
    <w:pPr/>
    <w:rPr/>
  </w:style>
  <w:style w:type="paragraph" w:styleId="Style32" w:customStyle="1">
    <w:name w:val="Графика"/>
    <w:qFormat/>
    <w:pPr>
      <w:widowControl w:val="false"/>
      <w:suppressAutoHyphens w:val="true"/>
      <w:bidi w:val="0"/>
      <w:spacing w:before="0" w:after="0"/>
      <w:jc w:val="left"/>
    </w:pPr>
    <w:rPr>
      <w:rFonts w:ascii="Liberation Sans" w:hAnsi="Liberation Sans" w:eastAsia="Tahoma" w:cs="Liberation Sans"/>
      <w:color w:val="auto"/>
      <w:kern w:val="0"/>
      <w:sz w:val="36"/>
      <w:szCs w:val="24"/>
      <w:lang w:val="ru-RU" w:eastAsia="zh-CN" w:bidi="hi-IN"/>
    </w:rPr>
  </w:style>
  <w:style w:type="paragraph" w:styleId="Style33" w:customStyle="1">
    <w:name w:val="Фигуры"/>
    <w:basedOn w:val="Style32"/>
    <w:qFormat/>
    <w:pPr/>
    <w:rPr>
      <w:b/>
      <w:sz w:val="28"/>
    </w:rPr>
  </w:style>
  <w:style w:type="paragraph" w:styleId="Style34" w:customStyle="1">
    <w:name w:val="Заливка"/>
    <w:basedOn w:val="Style33"/>
    <w:qFormat/>
    <w:pPr/>
    <w:rPr/>
  </w:style>
  <w:style w:type="paragraph" w:styleId="Style35" w:customStyle="1">
    <w:name w:val="Заливка синим"/>
    <w:basedOn w:val="Style34"/>
    <w:qFormat/>
    <w:pPr/>
    <w:rPr>
      <w:color w:val="FFFFFF"/>
    </w:rPr>
  </w:style>
  <w:style w:type="paragraph" w:styleId="Style36" w:customStyle="1">
    <w:name w:val="Заливка зелёным"/>
    <w:basedOn w:val="Style34"/>
    <w:qFormat/>
    <w:pPr/>
    <w:rPr>
      <w:color w:val="FFFFFF"/>
    </w:rPr>
  </w:style>
  <w:style w:type="paragraph" w:styleId="Style37" w:customStyle="1">
    <w:name w:val="Заливка красным"/>
    <w:basedOn w:val="Style34"/>
    <w:qFormat/>
    <w:pPr/>
    <w:rPr>
      <w:color w:val="FFFFFF"/>
    </w:rPr>
  </w:style>
  <w:style w:type="paragraph" w:styleId="Style38" w:customStyle="1">
    <w:name w:val="Заливка жёлтым"/>
    <w:basedOn w:val="Style34"/>
    <w:qFormat/>
    <w:pPr/>
    <w:rPr>
      <w:color w:val="FFFFFF"/>
    </w:rPr>
  </w:style>
  <w:style w:type="paragraph" w:styleId="Style39" w:customStyle="1">
    <w:name w:val="Контур"/>
    <w:basedOn w:val="Style33"/>
    <w:qFormat/>
    <w:pPr/>
    <w:rPr/>
  </w:style>
  <w:style w:type="paragraph" w:styleId="Style40" w:customStyle="1">
    <w:name w:val="Контур синий"/>
    <w:basedOn w:val="Style39"/>
    <w:qFormat/>
    <w:pPr/>
    <w:rPr>
      <w:color w:val="355269"/>
    </w:rPr>
  </w:style>
  <w:style w:type="paragraph" w:styleId="Style41" w:customStyle="1">
    <w:name w:val="Контур зелёный"/>
    <w:basedOn w:val="Style39"/>
    <w:qFormat/>
    <w:pPr/>
    <w:rPr>
      <w:color w:val="127622"/>
    </w:rPr>
  </w:style>
  <w:style w:type="paragraph" w:styleId="Style42" w:customStyle="1">
    <w:name w:val="Контур красный"/>
    <w:basedOn w:val="Style39"/>
    <w:qFormat/>
    <w:pPr/>
    <w:rPr>
      <w:color w:val="C9211E"/>
    </w:rPr>
  </w:style>
  <w:style w:type="paragraph" w:styleId="Style43" w:customStyle="1">
    <w:name w:val="Контур жёлтый"/>
    <w:basedOn w:val="Style39"/>
    <w:qFormat/>
    <w:pPr/>
    <w:rPr>
      <w:color w:val="B47804"/>
    </w:rPr>
  </w:style>
  <w:style w:type="paragraph" w:styleId="Style44" w:customStyle="1">
    <w:name w:val="Линии"/>
    <w:basedOn w:val="Style32"/>
    <w:qFormat/>
    <w:pPr/>
    <w:rPr/>
  </w:style>
  <w:style w:type="paragraph" w:styleId="Style45" w:customStyle="1">
    <w:name w:val="Стрелки"/>
    <w:basedOn w:val="Style44"/>
    <w:qFormat/>
    <w:pPr/>
    <w:rPr/>
  </w:style>
  <w:style w:type="paragraph" w:styleId="Style46" w:customStyle="1">
    <w:name w:val="Штриховая линия"/>
    <w:basedOn w:val="Style44"/>
    <w:qFormat/>
    <w:pPr/>
    <w:rPr/>
  </w:style>
  <w:style w:type="paragraph" w:styleId="LTGliederung1" w:customStyle="1">
    <w:name w:val="Только заголовок~LT~Gliederung 1"/>
    <w:qFormat/>
    <w:pPr>
      <w:widowControl w:val="false"/>
      <w:suppressAutoHyphens w:val="true"/>
      <w:bidi w:val="0"/>
      <w:spacing w:lineRule="auto" w:line="216" w:before="283" w:after="0"/>
      <w:jc w:val="left"/>
    </w:pPr>
    <w:rPr>
      <w:rFonts w:ascii="Noto Sans Devanagari" w:hAnsi="Noto Sans Devanagari" w:eastAsia="Tahoma" w:cs="Liberation Sans"/>
      <w:color w:val="000000"/>
      <w:kern w:val="0"/>
      <w:sz w:val="61"/>
      <w:szCs w:val="24"/>
      <w:lang w:val="ru-RU" w:eastAsia="zh-CN" w:bidi="hi-IN"/>
    </w:rPr>
  </w:style>
  <w:style w:type="paragraph" w:styleId="LTGliederung2" w:customStyle="1">
    <w:name w:val="Только заголовок~LT~Gliederung 2"/>
    <w:basedOn w:val="LTGliederung1"/>
    <w:qFormat/>
    <w:pPr>
      <w:spacing w:lineRule="exact" w:line="216" w:before="227" w:after="0"/>
    </w:pPr>
    <w:rPr>
      <w:sz w:val="44"/>
    </w:rPr>
  </w:style>
  <w:style w:type="paragraph" w:styleId="LTGliederung3" w:customStyle="1">
    <w:name w:val="Только заголовок~LT~Gliederung 3"/>
    <w:basedOn w:val="LTGliederung2"/>
    <w:qFormat/>
    <w:pPr>
      <w:spacing w:before="170" w:after="0"/>
    </w:pPr>
    <w:rPr>
      <w:sz w:val="39"/>
    </w:rPr>
  </w:style>
  <w:style w:type="paragraph" w:styleId="LTGliederung4" w:customStyle="1">
    <w:name w:val="Только заголовок~LT~Gliederung 4"/>
    <w:basedOn w:val="LTGliederung3"/>
    <w:qFormat/>
    <w:pPr>
      <w:spacing w:before="113" w:after="0"/>
    </w:pPr>
    <w:rPr/>
  </w:style>
  <w:style w:type="paragraph" w:styleId="LTGliederung5" w:customStyle="1">
    <w:name w:val="Только заголовок~LT~Gliederung 5"/>
    <w:basedOn w:val="LTGliederung4"/>
    <w:qFormat/>
    <w:pPr>
      <w:spacing w:before="57" w:after="0"/>
    </w:pPr>
    <w:rPr>
      <w:sz w:val="40"/>
    </w:rPr>
  </w:style>
  <w:style w:type="paragraph" w:styleId="LTGliederung6" w:customStyle="1">
    <w:name w:val="Только заголовок~LT~Gliederung 6"/>
    <w:basedOn w:val="LTGliederung5"/>
    <w:qFormat/>
    <w:pPr/>
    <w:rPr/>
  </w:style>
  <w:style w:type="paragraph" w:styleId="LTGliederung7" w:customStyle="1">
    <w:name w:val="Только заголовок~LT~Gliederung 7"/>
    <w:basedOn w:val="LTGliederung6"/>
    <w:qFormat/>
    <w:pPr/>
    <w:rPr/>
  </w:style>
  <w:style w:type="paragraph" w:styleId="LTGliederung8" w:customStyle="1">
    <w:name w:val="Только заголовок~LT~Gliederung 8"/>
    <w:basedOn w:val="LTGliederung7"/>
    <w:qFormat/>
    <w:pPr/>
    <w:rPr/>
  </w:style>
  <w:style w:type="paragraph" w:styleId="LTGliederung9" w:customStyle="1">
    <w:name w:val="Только заголовок~LT~Gliederung 9"/>
    <w:basedOn w:val="LTGliederung8"/>
    <w:qFormat/>
    <w:pPr/>
    <w:rPr/>
  </w:style>
  <w:style w:type="paragraph" w:styleId="LTTitel" w:customStyle="1">
    <w:name w:val="Только заголовок~LT~Titel"/>
    <w:qFormat/>
    <w:pPr>
      <w:widowControl w:val="false"/>
      <w:suppressAutoHyphens w:val="true"/>
      <w:bidi w:val="0"/>
      <w:spacing w:lineRule="atLeast" w:line="200" w:before="0" w:after="0"/>
      <w:jc w:val="left"/>
    </w:pPr>
    <w:rPr>
      <w:rFonts w:ascii="Noto Sans Devanagari" w:hAnsi="Noto Sans Devanagari" w:eastAsia="Tahoma" w:cs="Liberation Sans"/>
      <w:color w:val="000000"/>
      <w:kern w:val="0"/>
      <w:sz w:val="36"/>
      <w:szCs w:val="24"/>
      <w:lang w:val="ru-RU" w:eastAsia="zh-CN" w:bidi="hi-IN"/>
    </w:rPr>
  </w:style>
  <w:style w:type="paragraph" w:styleId="LTUntertitel" w:customStyle="1">
    <w:name w:val="Только заголовок~LT~Untertitel"/>
    <w:qFormat/>
    <w:pPr>
      <w:widowControl w:val="false"/>
      <w:suppressAutoHyphens w:val="true"/>
      <w:bidi w:val="0"/>
      <w:spacing w:before="0" w:after="0"/>
      <w:jc w:val="center"/>
    </w:pPr>
    <w:rPr>
      <w:rFonts w:ascii="Noto Sans Devanagari" w:hAnsi="Noto Sans Devanagari" w:eastAsia="Tahoma" w:cs="Liberation Sans"/>
      <w:color w:val="auto"/>
      <w:kern w:val="0"/>
      <w:sz w:val="64"/>
      <w:szCs w:val="24"/>
      <w:lang w:val="ru-RU" w:eastAsia="zh-CN" w:bidi="hi-IN"/>
    </w:rPr>
  </w:style>
  <w:style w:type="paragraph" w:styleId="LTNotizen" w:customStyle="1">
    <w:name w:val="Только заголовок~LT~Notizen"/>
    <w:qFormat/>
    <w:pPr>
      <w:widowControl w:val="false"/>
      <w:suppressAutoHyphens w:val="true"/>
      <w:bidi w:val="0"/>
      <w:spacing w:before="0" w:after="0"/>
      <w:ind w:left="340" w:hanging="340"/>
      <w:jc w:val="left"/>
    </w:pPr>
    <w:rPr>
      <w:rFonts w:ascii="Noto Sans Devanagari" w:hAnsi="Noto Sans Devanagari" w:eastAsia="Tahoma" w:cs="Liberation Sans"/>
      <w:color w:val="auto"/>
      <w:kern w:val="0"/>
      <w:sz w:val="40"/>
      <w:szCs w:val="24"/>
      <w:lang w:val="ru-RU" w:eastAsia="zh-CN" w:bidi="hi-IN"/>
    </w:rPr>
  </w:style>
  <w:style w:type="paragraph" w:styleId="LTHintergrundobjekte" w:customStyle="1">
    <w:name w:val="Только заголовок~LT~Hintergrundobjekte"/>
    <w:qFormat/>
    <w:pPr>
      <w:widowControl w:val="false"/>
      <w:suppressAutoHyphens w:val="true"/>
      <w:bidi w:val="0"/>
      <w:spacing w:before="0" w:after="0"/>
      <w:jc w:val="left"/>
    </w:pPr>
    <w:rPr>
      <w:rFonts w:ascii="Liberation Serif" w:hAnsi="Liberation Serif" w:eastAsia="Tahoma" w:cs="Liberation Sans"/>
      <w:color w:val="auto"/>
      <w:kern w:val="0"/>
      <w:sz w:val="24"/>
      <w:szCs w:val="24"/>
      <w:lang w:val="ru-RU" w:eastAsia="zh-CN" w:bidi="hi-IN"/>
    </w:rPr>
  </w:style>
  <w:style w:type="paragraph" w:styleId="LTHintergrund" w:customStyle="1">
    <w:name w:val="Только заголовок~LT~Hintergrund"/>
    <w:qFormat/>
    <w:pPr>
      <w:widowControl w:val="false"/>
      <w:suppressAutoHyphens w:val="true"/>
      <w:bidi w:val="0"/>
      <w:spacing w:before="0" w:after="0"/>
      <w:jc w:val="left"/>
    </w:pPr>
    <w:rPr>
      <w:rFonts w:ascii="Liberation Serif" w:hAnsi="Liberation Serif" w:eastAsia="Tahoma" w:cs="Liberation Sans"/>
      <w:color w:val="auto"/>
      <w:kern w:val="0"/>
      <w:sz w:val="24"/>
      <w:szCs w:val="24"/>
      <w:lang w:val="ru-RU" w:eastAsia="zh-CN" w:bidi="hi-IN"/>
    </w:rPr>
  </w:style>
  <w:style w:type="paragraph" w:styleId="Default1" w:customStyle="1">
    <w:name w:val="default"/>
    <w:qFormat/>
    <w:pPr>
      <w:widowControl w:val="false"/>
      <w:suppressAutoHyphens w:val="true"/>
      <w:bidi w:val="0"/>
      <w:spacing w:before="0" w:after="0"/>
      <w:jc w:val="left"/>
    </w:pPr>
    <w:rPr>
      <w:rFonts w:ascii="Noto Sans Devanagari" w:hAnsi="Noto Sans Devanagari" w:eastAsia="Tahoma" w:cs="Liberation Sans"/>
      <w:color w:val="auto"/>
      <w:kern w:val="0"/>
      <w:sz w:val="36"/>
      <w:szCs w:val="24"/>
      <w:lang w:val="ru-RU" w:eastAsia="zh-CN" w:bidi="hi-IN"/>
    </w:rPr>
  </w:style>
  <w:style w:type="paragraph" w:styleId="Bg-none" w:customStyle="1">
    <w:name w:val="bg-none"/>
    <w:basedOn w:val="Default1"/>
    <w:qFormat/>
    <w:pPr/>
    <w:rPr/>
  </w:style>
  <w:style w:type="paragraph" w:styleId="Gray" w:customStyle="1">
    <w:name w:val="gray"/>
    <w:basedOn w:val="Default1"/>
    <w:qFormat/>
    <w:pPr/>
    <w:rPr/>
  </w:style>
  <w:style w:type="paragraph" w:styleId="Dark-gray" w:customStyle="1">
    <w:name w:val="dark-gray"/>
    <w:basedOn w:val="Default1"/>
    <w:qFormat/>
    <w:pPr/>
    <w:rPr/>
  </w:style>
  <w:style w:type="paragraph" w:styleId="Black" w:customStyle="1">
    <w:name w:val="black"/>
    <w:basedOn w:val="Default1"/>
    <w:qFormat/>
    <w:pPr/>
    <w:rPr>
      <w:color w:val="FFFFFF"/>
    </w:rPr>
  </w:style>
  <w:style w:type="paragraph" w:styleId="Black-with-border" w:customStyle="1">
    <w:name w:val="black-with-border"/>
    <w:basedOn w:val="Default1"/>
    <w:qFormat/>
    <w:pPr/>
    <w:rPr>
      <w:color w:val="FFFFFF"/>
    </w:rPr>
  </w:style>
  <w:style w:type="paragraph" w:styleId="Gray-with-border" w:customStyle="1">
    <w:name w:val="gray-with-border"/>
    <w:basedOn w:val="Default1"/>
    <w:qFormat/>
    <w:pPr/>
    <w:rPr/>
  </w:style>
  <w:style w:type="paragraph" w:styleId="White" w:customStyle="1">
    <w:name w:val="white"/>
    <w:basedOn w:val="Default1"/>
    <w:qFormat/>
    <w:pPr/>
    <w:rPr/>
  </w:style>
  <w:style w:type="paragraph" w:styleId="White-with-border" w:customStyle="1">
    <w:name w:val="white-with-border"/>
    <w:basedOn w:val="Default1"/>
    <w:qFormat/>
    <w:pPr/>
    <w:rPr/>
  </w:style>
  <w:style w:type="paragraph" w:styleId="Blue-title" w:customStyle="1">
    <w:name w:val="blue-title"/>
    <w:basedOn w:val="Default1"/>
    <w:qFormat/>
    <w:pPr/>
    <w:rPr>
      <w:color w:val="FFFFFF"/>
    </w:rPr>
  </w:style>
  <w:style w:type="paragraph" w:styleId="Blue-title-with-border" w:customStyle="1">
    <w:name w:val="blue-title-with-border"/>
    <w:basedOn w:val="Default1"/>
    <w:qFormat/>
    <w:pPr/>
    <w:rPr>
      <w:color w:val="FFFFFF"/>
    </w:rPr>
  </w:style>
  <w:style w:type="paragraph" w:styleId="Blue-banded" w:customStyle="1">
    <w:name w:val="blue-banded"/>
    <w:basedOn w:val="Default1"/>
    <w:qFormat/>
    <w:pPr/>
    <w:rPr/>
  </w:style>
  <w:style w:type="paragraph" w:styleId="Blue-normal" w:customStyle="1">
    <w:name w:val="blue-normal"/>
    <w:basedOn w:val="Default1"/>
    <w:qFormat/>
    <w:pPr/>
    <w:rPr/>
  </w:style>
  <w:style w:type="paragraph" w:styleId="Orange-title" w:customStyle="1">
    <w:name w:val="orange-title"/>
    <w:basedOn w:val="Default1"/>
    <w:qFormat/>
    <w:pPr/>
    <w:rPr>
      <w:color w:val="FFFFFF"/>
    </w:rPr>
  </w:style>
  <w:style w:type="paragraph" w:styleId="Orange-title-with-border" w:customStyle="1">
    <w:name w:val="orange-title-with-border"/>
    <w:basedOn w:val="Default1"/>
    <w:qFormat/>
    <w:pPr/>
    <w:rPr>
      <w:color w:val="FFFFFF"/>
    </w:rPr>
  </w:style>
  <w:style w:type="paragraph" w:styleId="Orange-banded" w:customStyle="1">
    <w:name w:val="orange-banded"/>
    <w:basedOn w:val="Default1"/>
    <w:qFormat/>
    <w:pPr/>
    <w:rPr/>
  </w:style>
  <w:style w:type="paragraph" w:styleId="Orange-normal" w:customStyle="1">
    <w:name w:val="orange-normal"/>
    <w:basedOn w:val="Default1"/>
    <w:qFormat/>
    <w:pPr/>
    <w:rPr/>
  </w:style>
  <w:style w:type="paragraph" w:styleId="Teal-title" w:customStyle="1">
    <w:name w:val="teal-title"/>
    <w:basedOn w:val="Default1"/>
    <w:qFormat/>
    <w:pPr/>
    <w:rPr>
      <w:color w:val="FFFFFF"/>
    </w:rPr>
  </w:style>
  <w:style w:type="paragraph" w:styleId="Teal-title-with-border" w:customStyle="1">
    <w:name w:val="teal-title-with-border"/>
    <w:basedOn w:val="Default1"/>
    <w:qFormat/>
    <w:pPr/>
    <w:rPr>
      <w:color w:val="FFFFFF"/>
    </w:rPr>
  </w:style>
  <w:style w:type="paragraph" w:styleId="Teal-banded" w:customStyle="1">
    <w:name w:val="teal-banded"/>
    <w:basedOn w:val="Default1"/>
    <w:qFormat/>
    <w:pPr/>
    <w:rPr/>
  </w:style>
  <w:style w:type="paragraph" w:styleId="Teal-normal" w:customStyle="1">
    <w:name w:val="teal-normal"/>
    <w:basedOn w:val="Default1"/>
    <w:qFormat/>
    <w:pPr/>
    <w:rPr/>
  </w:style>
  <w:style w:type="paragraph" w:styleId="Magenta-title" w:customStyle="1">
    <w:name w:val="magenta-title"/>
    <w:basedOn w:val="Default1"/>
    <w:qFormat/>
    <w:pPr/>
    <w:rPr>
      <w:color w:val="FFFFFF"/>
    </w:rPr>
  </w:style>
  <w:style w:type="paragraph" w:styleId="Magenta-title-with-border" w:customStyle="1">
    <w:name w:val="magenta-title-with-border"/>
    <w:basedOn w:val="Default1"/>
    <w:qFormat/>
    <w:pPr/>
    <w:rPr>
      <w:color w:val="FFFFFF"/>
    </w:rPr>
  </w:style>
  <w:style w:type="paragraph" w:styleId="Magenta-banded" w:customStyle="1">
    <w:name w:val="magenta-banded"/>
    <w:basedOn w:val="Default1"/>
    <w:qFormat/>
    <w:pPr/>
    <w:rPr/>
  </w:style>
  <w:style w:type="paragraph" w:styleId="Magenta-normal" w:customStyle="1">
    <w:name w:val="magenta-normal"/>
    <w:basedOn w:val="Default1"/>
    <w:qFormat/>
    <w:pPr/>
    <w:rPr/>
  </w:style>
  <w:style w:type="paragraph" w:styleId="Style47" w:customStyle="1">
    <w:name w:val="Объекты фона"/>
    <w:qFormat/>
    <w:pPr>
      <w:widowControl w:val="false"/>
      <w:suppressAutoHyphens w:val="true"/>
      <w:bidi w:val="0"/>
      <w:spacing w:before="0" w:after="0"/>
      <w:jc w:val="left"/>
    </w:pPr>
    <w:rPr>
      <w:rFonts w:ascii="Liberation Serif" w:hAnsi="Liberation Serif" w:eastAsia="Tahoma" w:cs="Liberation Sans"/>
      <w:color w:val="auto"/>
      <w:kern w:val="0"/>
      <w:sz w:val="24"/>
      <w:szCs w:val="24"/>
      <w:lang w:val="ru-RU" w:eastAsia="zh-CN" w:bidi="hi-IN"/>
    </w:rPr>
  </w:style>
  <w:style w:type="paragraph" w:styleId="Style48" w:customStyle="1">
    <w:name w:val="Фон"/>
    <w:qFormat/>
    <w:pPr>
      <w:widowControl w:val="false"/>
      <w:suppressAutoHyphens w:val="true"/>
      <w:bidi w:val="0"/>
      <w:spacing w:before="0" w:after="0"/>
      <w:jc w:val="left"/>
    </w:pPr>
    <w:rPr>
      <w:rFonts w:ascii="Liberation Serif" w:hAnsi="Liberation Serif" w:eastAsia="Tahoma" w:cs="Liberation Sans"/>
      <w:color w:val="auto"/>
      <w:kern w:val="0"/>
      <w:sz w:val="24"/>
      <w:szCs w:val="24"/>
      <w:lang w:val="ru-RU" w:eastAsia="zh-CN" w:bidi="hi-IN"/>
    </w:rPr>
  </w:style>
  <w:style w:type="paragraph" w:styleId="Style49" w:customStyle="1">
    <w:name w:val="Примечания"/>
    <w:qFormat/>
    <w:pPr>
      <w:widowControl w:val="false"/>
      <w:suppressAutoHyphens w:val="true"/>
      <w:bidi w:val="0"/>
      <w:spacing w:before="0" w:after="0"/>
      <w:ind w:left="340" w:hanging="340"/>
      <w:jc w:val="left"/>
    </w:pPr>
    <w:rPr>
      <w:rFonts w:ascii="Noto Sans Devanagari" w:hAnsi="Noto Sans Devanagari" w:eastAsia="Tahoma" w:cs="Liberation Sans"/>
      <w:color w:val="auto"/>
      <w:kern w:val="0"/>
      <w:sz w:val="40"/>
      <w:szCs w:val="24"/>
      <w:lang w:val="ru-RU" w:eastAsia="zh-CN" w:bidi="hi-IN"/>
    </w:rPr>
  </w:style>
  <w:style w:type="paragraph" w:styleId="15" w:customStyle="1">
    <w:name w:val="Структура 1"/>
    <w:qFormat/>
    <w:pPr>
      <w:widowControl w:val="false"/>
      <w:suppressAutoHyphens w:val="true"/>
      <w:bidi w:val="0"/>
      <w:spacing w:lineRule="auto" w:line="216" w:before="283" w:after="0"/>
      <w:jc w:val="left"/>
    </w:pPr>
    <w:rPr>
      <w:rFonts w:ascii="Noto Sans Devanagari" w:hAnsi="Noto Sans Devanagari" w:eastAsia="Tahoma" w:cs="Liberation Sans"/>
      <w:color w:val="000000"/>
      <w:kern w:val="0"/>
      <w:sz w:val="61"/>
      <w:szCs w:val="24"/>
      <w:lang w:val="ru-RU" w:eastAsia="zh-CN" w:bidi="hi-IN"/>
    </w:rPr>
  </w:style>
  <w:style w:type="paragraph" w:styleId="23" w:customStyle="1">
    <w:name w:val="Структура 2"/>
    <w:basedOn w:val="15"/>
    <w:qFormat/>
    <w:pPr>
      <w:spacing w:lineRule="exact" w:line="216" w:before="227" w:after="0"/>
    </w:pPr>
    <w:rPr>
      <w:sz w:val="44"/>
    </w:rPr>
  </w:style>
  <w:style w:type="paragraph" w:styleId="33" w:customStyle="1">
    <w:name w:val="Структура 3"/>
    <w:basedOn w:val="23"/>
    <w:qFormat/>
    <w:pPr>
      <w:spacing w:before="170" w:after="0"/>
    </w:pPr>
    <w:rPr>
      <w:sz w:val="39"/>
    </w:rPr>
  </w:style>
  <w:style w:type="paragraph" w:styleId="46" w:customStyle="1">
    <w:name w:val="Структура 4"/>
    <w:basedOn w:val="33"/>
    <w:qFormat/>
    <w:pPr>
      <w:spacing w:before="113" w:after="0"/>
    </w:pPr>
    <w:rPr/>
  </w:style>
  <w:style w:type="paragraph" w:styleId="53" w:customStyle="1">
    <w:name w:val="Структура 5"/>
    <w:basedOn w:val="46"/>
    <w:qFormat/>
    <w:pPr>
      <w:spacing w:before="57" w:after="0"/>
    </w:pPr>
    <w:rPr>
      <w:sz w:val="40"/>
    </w:rPr>
  </w:style>
  <w:style w:type="paragraph" w:styleId="62" w:customStyle="1">
    <w:name w:val="Структура 6"/>
    <w:basedOn w:val="53"/>
    <w:qFormat/>
    <w:pPr/>
    <w:rPr/>
  </w:style>
  <w:style w:type="paragraph" w:styleId="72" w:customStyle="1">
    <w:name w:val="Структура 7"/>
    <w:basedOn w:val="62"/>
    <w:qFormat/>
    <w:pPr/>
    <w:rPr/>
  </w:style>
  <w:style w:type="paragraph" w:styleId="82" w:customStyle="1">
    <w:name w:val="Структура 8"/>
    <w:basedOn w:val="72"/>
    <w:qFormat/>
    <w:pPr/>
    <w:rPr/>
  </w:style>
  <w:style w:type="paragraph" w:styleId="92" w:customStyle="1">
    <w:name w:val="Структура 9"/>
    <w:basedOn w:val="82"/>
    <w:qFormat/>
    <w:pPr/>
    <w:rPr/>
  </w:style>
  <w:style w:type="paragraph" w:styleId="DStyleparagraph" w:customStyle="1">
    <w:name w:val="DStyle_paragraph"/>
    <w:qFormat/>
    <w:pPr>
      <w:widowControl w:val="false"/>
      <w:suppressAutoHyphens w:val="true"/>
      <w:bidi w:val="0"/>
      <w:spacing w:before="0" w:after="0"/>
      <w:jc w:val="left"/>
    </w:pPr>
    <w:rPr>
      <w:rFonts w:ascii="Calibri" w:hAnsi="Calibri" w:eastAsia="Calibri" w:cs="Arial"/>
      <w:color w:val="auto"/>
      <w:kern w:val="0"/>
      <w:sz w:val="24"/>
      <w:szCs w:val="24"/>
      <w:lang w:val="ru-RU" w:eastAsia="en-US" w:bidi="hi-IN"/>
    </w:rPr>
  </w:style>
  <w:style w:type="paragraph" w:styleId="Standard" w:customStyle="1">
    <w:name w:val="Standard"/>
    <w:basedOn w:val="DStyleparagraph"/>
    <w:qFormat/>
    <w:pPr>
      <w:widowControl/>
    </w:pPr>
    <w:rPr>
      <w:rFonts w:ascii="Times New Roman" w:hAnsi="Times New Roman" w:eastAsia="Times New Roman" w:cs="Times New Roman"/>
    </w:rPr>
  </w:style>
  <w:style w:type="paragraph" w:styleId="212">
    <w:name w:val="Основной текст 21"/>
    <w:basedOn w:val="Normal"/>
    <w:qFormat/>
    <w:pPr>
      <w:spacing w:before="0" w:after="120"/>
      <w:contextualSpacing/>
      <w:jc w:val="both"/>
    </w:pPr>
    <w:rPr/>
  </w:style>
  <w:style w:type="paragraph" w:styleId="Style50">
    <w:name w:val="Абзац списка"/>
    <w:basedOn w:val="Normal"/>
    <w:qFormat/>
    <w:pPr>
      <w:ind w:left="720" w:hanging="0"/>
    </w:pPr>
    <w:rPr>
      <w:rFonts w:ascii="Calibri" w:hAnsi="Calibri" w:eastAsia="Calibri" w:cs="Calibri"/>
      <w:sz w:val="22"/>
      <w:szCs w:val="22"/>
    </w:rPr>
  </w:style>
  <w:style w:type="paragraph" w:styleId="24">
    <w:name w:val="Основной текст 2"/>
    <w:basedOn w:val="Normal"/>
    <w:qFormat/>
    <w:pPr>
      <w:spacing w:lineRule="exact" w:line="480" w:before="0" w:after="120"/>
      <w:contextualSpacing/>
    </w:pPr>
    <w:rPr/>
  </w:style>
  <w:style w:type="paragraph" w:styleId="16">
    <w:name w:val="Нумерованный список1"/>
    <w:basedOn w:val="Normal"/>
    <w:qFormat/>
    <w:pPr>
      <w:spacing w:before="0" w:after="0"/>
      <w:contextualSpacing/>
    </w:pPr>
    <w:rPr/>
  </w:style>
  <w:style w:type="paragraph" w:styleId="Style51">
    <w:name w:val="Исполнитель документа"/>
    <w:basedOn w:val="Normal"/>
    <w:qFormat/>
    <w:pPr>
      <w:jc w:val="left"/>
    </w:pPr>
    <w:rPr>
      <w:sz w:val="24"/>
    </w:rPr>
  </w:style>
  <w:style w:type="paragraph" w:styleId="Style52">
    <w:name w:val="Гриф_Экземпляр"/>
    <w:basedOn w:val="Normal"/>
    <w:qFormat/>
    <w:pPr/>
    <w:rPr>
      <w:sz w:val="24"/>
    </w:rPr>
  </w:style>
  <w:style w:type="paragraph" w:styleId="IllustrationIndex1">
    <w:name w:val="Illustration Index 1"/>
    <w:qFormat/>
    <w:pPr>
      <w:widowControl/>
      <w:tabs>
        <w:tab w:val="clear" w:pos="720"/>
        <w:tab w:val="right" w:pos="9638" w:leader="dot"/>
      </w:tabs>
      <w:suppressAutoHyphens w:val="true"/>
      <w:bidi w:val="0"/>
      <w:spacing w:before="0" w:after="0"/>
      <w:jc w:val="left"/>
    </w:pPr>
    <w:rPr>
      <w:rFonts w:ascii="PT Astra Serif" w:hAnsi="PT Astra Serif" w:eastAsia="Tahoma" w:cs="Noto Sans Devanagari"/>
      <w:color w:val="auto"/>
      <w:kern w:val="0"/>
      <w:sz w:val="24"/>
      <w:szCs w:val="24"/>
      <w:lang w:val="ru-RU" w:eastAsia="zh-CN" w:bidi="hi-IN"/>
    </w:rPr>
  </w:style>
  <w:style w:type="numbering" w:styleId="NoList" w:default="1">
    <w:name w:val="No List"/>
    <w:uiPriority w:val="99"/>
    <w:semiHidden/>
    <w:unhideWhenUsed/>
    <w:qFormat/>
  </w:style>
  <w:style w:type="table" w:default="1" w:styleId="a2">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e-disclosure.ru/portal/files.aspx?id=1409&amp;type=4" TargetMode="External"/><Relationship Id="rId3" Type="http://schemas.openxmlformats.org/officeDocument/2006/relationships/hyperlink" Target="https://fedresurs.ru/sfactmessage/3D40DA3E426B48808F2B1DC5212F2C11" TargetMode="External"/><Relationship Id="rId4" Type="http://schemas.openxmlformats.org/officeDocument/2006/relationships/hyperlink" Target="https://www.sakhaenergo.ru/" TargetMode="External"/><Relationship Id="rId5" Type="http://schemas.openxmlformats.org/officeDocument/2006/relationships/hyperlink" Target="https://www.sakhaenergo.ru/" TargetMode="External"/><Relationship Id="rId6" Type="http://schemas.openxmlformats.org/officeDocument/2006/relationships/hyperlink" Target="https://kamenergo.ru/invest/raskrytie-informatsii/vnutrennie-dokumenty-podlezhashchie-raskrytiyu" TargetMode="External"/><Relationship Id="rId7" Type="http://schemas.openxmlformats.org/officeDocument/2006/relationships/hyperlink" Target="https://emitent.e-disclosure.ru/" TargetMode="External"/><Relationship Id="rId8" Type="http://schemas.openxmlformats.org/officeDocument/2006/relationships/hyperlink" Target="https://kamenergo.ru/invest/raskrytie-informatsii/vnutrennie-dokumenty-podlezhashchie-raskrytiyu" TargetMode="External"/><Relationship Id="rId9" Type="http://schemas.openxmlformats.org/officeDocument/2006/relationships/hyperlink" Target="https://www.e-disclosure.ru/portal/files.aspx?id=1409&amp;type=1" TargetMode="External"/><Relationship Id="rId10" Type="http://schemas.openxmlformats.org/officeDocument/2006/relationships/footer" Target="footer1.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2758</TotalTime>
  <Application>LibreOffice/7.5.6.2$Linux_X86_64 LibreOffice_project/50$Build-2</Application>
  <AppVersion>15.0000</AppVersion>
  <DocSecurity>4</DocSecurity>
  <Pages>86</Pages>
  <Words>29795</Words>
  <Characters>217285</Characters>
  <CharactersWithSpaces>245288</CharactersWithSpaces>
  <Paragraphs>2459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2025-05-06T22:42:00Z</dcterms:created>
  <dc:creator>ШYиyпиyл|овrаp ЕEл|еuн~аp А@л|еuк{саpн~дtровrн~аp</dc:creator>
  <dc:description/>
  <dc:language>ru-RU</dc:language>
  <cp:lastModifiedBy/>
  <cp:lastPrinted>2026-04-20T18:14:31Z</cp:lastPrinted>
  <dcterms:modified xsi:type="dcterms:W3CDTF">2026-04-30T15:56:04Z</dcterms:modified>
  <cp:revision>83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Р7-Офис/7.4.0.223</vt:lpwstr>
  </property>
</Properties>
</file>