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_rels/document.xml.rels" ContentType="application/vnd.openxmlformats-package.relationship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header1.xml" ContentType="application/vnd.openxmlformats-officedocument.wordprocessingml.header+xml"/>
  <Override PartName="/word/settings.xml" ContentType="application/vnd.openxmlformats-officedocument.wordprocessingml.settings+xml"/>
  <Override PartName="/word/document.xml" ContentType="application/vnd.openxmlformats-officedocument.wordprocessingml.document.main+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Style w:val="Strong"/>
          <w:rFonts w:eastAsia="Courier New"/>
        </w:rPr>
      </w:pPr>
      <w:r>
        <w:rPr>
          <w:rFonts w:eastAsia="Courier New"/>
        </w:rPr>
      </w:r>
    </w:p>
    <w:p>
      <w:pPr>
        <w:pStyle w:val="Normal"/>
        <w:jc w:val="center"/>
        <w:rPr/>
      </w:pPr>
      <w:r>
        <w:rPr>
          <w:rStyle w:val="Strong"/>
          <w:rFonts w:eastAsia="Courier New"/>
        </w:rPr>
        <w:t>Сообщение о существенном факте</w:t>
      </w:r>
    </w:p>
    <w:p>
      <w:pPr>
        <w:pStyle w:val="Normal"/>
        <w:jc w:val="center"/>
        <w:rPr/>
      </w:pPr>
      <w:r>
        <w:rPr>
          <w:rStyle w:val="Strong"/>
          <w:rFonts w:eastAsia="Courier New"/>
        </w:rPr>
        <w:t>«О совершении эмитентом существенной сделки»</w:t>
      </w:r>
    </w:p>
    <w:p>
      <w:pPr>
        <w:pStyle w:val="Normal"/>
        <w:jc w:val="both"/>
        <w:rPr>
          <w:color w:val="000000"/>
          <w:sz w:val="12"/>
          <w:szCs w:val="12"/>
        </w:rPr>
      </w:pPr>
      <w:r>
        <w:rPr>
          <w:color w:val="000000"/>
          <w:sz w:val="12"/>
          <w:szCs w:val="12"/>
        </w:rPr>
      </w:r>
    </w:p>
    <w:tbl>
      <w:tblPr>
        <w:tblW w:w="10228" w:type="dxa"/>
        <w:jc w:val="left"/>
        <w:tblInd w:w="15" w:type="dxa"/>
        <w:tblLayout w:type="fixed"/>
        <w:tblCellMar>
          <w:top w:w="0" w:type="dxa"/>
          <w:left w:w="28" w:type="dxa"/>
          <w:bottom w:w="0" w:type="dxa"/>
          <w:right w:w="28" w:type="dxa"/>
        </w:tblCellMar>
        <w:tblLook w:noVBand="1" w:val="04a0" w:noHBand="0" w:lastColumn="0" w:firstColumn="1" w:lastRow="0" w:firstRow="1"/>
      </w:tblPr>
      <w:tblGrid>
        <w:gridCol w:w="5555"/>
        <w:gridCol w:w="4672"/>
      </w:tblGrid>
      <w:tr>
        <w:trPr/>
        <w:tc>
          <w:tcPr>
            <w:tcW w:w="1022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pPr>
            <w:r>
              <w:rPr>
                <w:sz w:val="24"/>
                <w:szCs w:val="24"/>
              </w:rPr>
              <w:t>1. Общие сведения</w:t>
            </w:r>
          </w:p>
        </w:tc>
      </w:tr>
      <w:tr>
        <w:trPr>
          <w:trHeight w:val="628" w:hRule="atLeast"/>
        </w:trPr>
        <w:tc>
          <w:tcPr>
            <w:tcW w:w="555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sz w:val="24"/>
                <w:szCs w:val="24"/>
                <w:lang w:eastAsia="en-US"/>
              </w:rPr>
              <w:t>1.1. Полное фирменное наименование (для коммерческой организации)</w:t>
            </w:r>
          </w:p>
          <w:p>
            <w:pPr>
              <w:pStyle w:val="Normal"/>
              <w:widowControl w:val="false"/>
              <w:spacing w:lineRule="auto" w:line="276"/>
              <w:ind w:left="85" w:right="85" w:hanging="0"/>
              <w:jc w:val="both"/>
              <w:rPr>
                <w:sz w:val="24"/>
                <w:szCs w:val="24"/>
                <w:highlight w:val="yellow"/>
              </w:rPr>
            </w:pPr>
            <w:r>
              <w:rPr>
                <w:sz w:val="24"/>
                <w:szCs w:val="24"/>
                <w:highlight w:val="yellow"/>
              </w:rPr>
            </w:r>
          </w:p>
        </w:tc>
        <w:tc>
          <w:tcPr>
            <w:tcW w:w="4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left="85" w:right="85" w:hanging="0"/>
              <w:jc w:val="both"/>
              <w:rPr/>
            </w:pPr>
            <w:r>
              <w:rPr>
                <w:rStyle w:val="SUBST"/>
                <w:sz w:val="24"/>
                <w:szCs w:val="24"/>
              </w:rPr>
              <w:t>Публичное акционерное общество энергетики и электрификации  «Камчатскэнерго»</w:t>
            </w:r>
          </w:p>
        </w:tc>
      </w:tr>
      <w:tr>
        <w:trPr/>
        <w:tc>
          <w:tcPr>
            <w:tcW w:w="555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sz w:val="24"/>
                <w:szCs w:val="24"/>
              </w:rPr>
              <w:t>1.2. </w:t>
            </w:r>
            <w:r>
              <w:rPr>
                <w:sz w:val="24"/>
                <w:szCs w:val="24"/>
                <w:lang w:eastAsia="en-US"/>
              </w:rPr>
              <w:t>Адрес эмитента, указанный в едином государственном реестре юридических лиц</w:t>
            </w:r>
          </w:p>
        </w:tc>
        <w:tc>
          <w:tcPr>
            <w:tcW w:w="4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left="85" w:right="85" w:hanging="0"/>
              <w:jc w:val="both"/>
              <w:rPr/>
            </w:pPr>
            <w:r>
              <w:rPr>
                <w:rStyle w:val="SUBST"/>
                <w:sz w:val="24"/>
                <w:szCs w:val="24"/>
              </w:rPr>
              <w:t>683000, Камчатский кр.,</w:t>
            </w:r>
          </w:p>
          <w:p>
            <w:pPr>
              <w:pStyle w:val="Normal"/>
              <w:widowControl w:val="false"/>
              <w:spacing w:lineRule="auto" w:line="276"/>
              <w:ind w:left="85" w:right="85" w:hanging="0"/>
              <w:jc w:val="both"/>
              <w:rPr/>
            </w:pPr>
            <w:r>
              <w:rPr>
                <w:rStyle w:val="SUBST"/>
                <w:sz w:val="24"/>
                <w:szCs w:val="24"/>
              </w:rPr>
              <w:t>г. Петропавловск-Камчатский,</w:t>
            </w:r>
          </w:p>
          <w:p>
            <w:pPr>
              <w:pStyle w:val="Normal"/>
              <w:widowControl w:val="false"/>
              <w:spacing w:lineRule="auto" w:line="276"/>
              <w:ind w:left="85" w:right="85" w:hanging="0"/>
              <w:jc w:val="both"/>
              <w:rPr/>
            </w:pPr>
            <w:r>
              <w:rPr>
                <w:rStyle w:val="SUBST"/>
                <w:sz w:val="24"/>
                <w:szCs w:val="24"/>
              </w:rPr>
              <w:t>ул. Набережная, д. 10</w:t>
            </w:r>
          </w:p>
        </w:tc>
      </w:tr>
      <w:tr>
        <w:trPr/>
        <w:tc>
          <w:tcPr>
            <w:tcW w:w="55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left="85" w:right="85" w:hanging="0"/>
              <w:jc w:val="both"/>
              <w:rPr/>
            </w:pPr>
            <w:r>
              <w:rPr>
                <w:sz w:val="24"/>
                <w:szCs w:val="24"/>
                <w:lang w:eastAsia="en-US"/>
              </w:rPr>
              <w:t>1.3. Основной государственный регистрационный номер (ОГРН) эмитента:</w:t>
            </w:r>
          </w:p>
        </w:tc>
        <w:tc>
          <w:tcPr>
            <w:tcW w:w="4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left="85" w:right="85" w:hanging="0"/>
              <w:jc w:val="both"/>
              <w:rPr/>
            </w:pPr>
            <w:r>
              <w:rPr>
                <w:b/>
                <w:i/>
                <w:sz w:val="24"/>
                <w:szCs w:val="24"/>
              </w:rPr>
              <w:t>1024101024078</w:t>
            </w:r>
          </w:p>
        </w:tc>
      </w:tr>
      <w:tr>
        <w:trPr/>
        <w:tc>
          <w:tcPr>
            <w:tcW w:w="55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left="85" w:right="85" w:hanging="0"/>
              <w:jc w:val="both"/>
              <w:rPr/>
            </w:pPr>
            <w:r>
              <w:rPr>
                <w:sz w:val="24"/>
                <w:szCs w:val="24"/>
                <w:lang w:eastAsia="en-US"/>
              </w:rPr>
              <w:t>1.4.  Идентификационный номер налогоплательщика (ИНН) эмитента:</w:t>
            </w:r>
          </w:p>
        </w:tc>
        <w:tc>
          <w:tcPr>
            <w:tcW w:w="4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left="85" w:right="85" w:hanging="0"/>
              <w:jc w:val="both"/>
              <w:rPr/>
            </w:pPr>
            <w:r>
              <w:rPr>
                <w:b/>
                <w:i/>
                <w:sz w:val="24"/>
                <w:szCs w:val="24"/>
              </w:rPr>
              <w:t>4100000668</w:t>
            </w:r>
          </w:p>
        </w:tc>
      </w:tr>
      <w:tr>
        <w:trPr/>
        <w:tc>
          <w:tcPr>
            <w:tcW w:w="55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left="85" w:right="85" w:hanging="0"/>
              <w:jc w:val="both"/>
              <w:rPr/>
            </w:pPr>
            <w:r>
              <w:rPr>
                <w:sz w:val="24"/>
                <w:szCs w:val="24"/>
                <w:lang w:eastAsia="en-US"/>
              </w:rPr>
              <w:t>1.5. Уникальный код эмитента, присвоенный Банком России:</w:t>
            </w:r>
          </w:p>
        </w:tc>
        <w:tc>
          <w:tcPr>
            <w:tcW w:w="4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left="85" w:right="85" w:hanging="0"/>
              <w:jc w:val="both"/>
              <w:rPr/>
            </w:pPr>
            <w:r>
              <w:rPr>
                <w:b/>
                <w:i/>
                <w:sz w:val="24"/>
                <w:szCs w:val="24"/>
              </w:rPr>
              <w:t>00235-A</w:t>
            </w:r>
          </w:p>
        </w:tc>
      </w:tr>
      <w:tr>
        <w:trPr/>
        <w:tc>
          <w:tcPr>
            <w:tcW w:w="55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left="85" w:right="85" w:hanging="0"/>
              <w:jc w:val="both"/>
              <w:rPr/>
            </w:pPr>
            <w:r>
              <w:rPr>
                <w:sz w:val="24"/>
                <w:szCs w:val="24"/>
                <w:lang w:eastAsia="en-US"/>
              </w:rPr>
              <w:t>1.6. Адрес страницы в сети «Интернет», используемой эмитентом для раскрытия информации:</w:t>
            </w:r>
          </w:p>
        </w:tc>
        <w:tc>
          <w:tcPr>
            <w:tcW w:w="4672" w:type="dxa"/>
            <w:tcBorders>
              <w:top w:val="single" w:sz="4" w:space="0" w:color="000000"/>
              <w:left w:val="single" w:sz="4" w:space="0" w:color="000000"/>
              <w:bottom w:val="single" w:sz="4" w:space="0" w:color="000000"/>
              <w:right w:val="single" w:sz="4" w:space="0" w:color="000000"/>
            </w:tcBorders>
          </w:tcPr>
          <w:p>
            <w:pPr>
              <w:pStyle w:val="Normal"/>
              <w:widowControl w:val="false"/>
              <w:rPr>
                <w:b/>
                <w:i/>
                <w:i/>
                <w:sz w:val="24"/>
                <w:szCs w:val="24"/>
              </w:rPr>
            </w:pPr>
            <w:hyperlink r:id="rId2" w:tgtFrame="http://www.e-disclosure.ru/portal/company.aspx?id=1409">
              <w:r>
                <w:rPr>
                  <w:color w:val="0000FF"/>
                  <w:sz w:val="24"/>
                  <w:szCs w:val="24"/>
                  <w:u w:val="single"/>
                </w:rPr>
                <w:t>http://www.e-disclosure.ru/portal/company.aspx?id=1409</w:t>
              </w:r>
            </w:hyperlink>
            <w:r>
              <w:rPr>
                <w:b/>
                <w:i/>
                <w:sz w:val="24"/>
                <w:szCs w:val="24"/>
              </w:rPr>
              <w:t xml:space="preserve">, </w:t>
            </w:r>
            <w:hyperlink r:id="rId3" w:tgtFrame="http://www.kamenergo.ru/">
              <w:r>
                <w:rPr>
                  <w:color w:val="0000FF"/>
                  <w:sz w:val="24"/>
                  <w:szCs w:val="24"/>
                  <w:u w:val="single"/>
                </w:rPr>
                <w:t>http://www.kamenergo.r</w:t>
              </w:r>
              <w:r>
                <w:rPr>
                  <w:color w:val="0000FF"/>
                  <w:sz w:val="24"/>
                  <w:szCs w:val="24"/>
                  <w:u w:val="single"/>
                  <w:lang w:val="en-US"/>
                </w:rPr>
                <w:t>u</w:t>
              </w:r>
            </w:hyperlink>
          </w:p>
        </w:tc>
      </w:tr>
      <w:tr>
        <w:trPr/>
        <w:tc>
          <w:tcPr>
            <w:tcW w:w="55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left="85" w:right="85" w:hanging="0"/>
              <w:jc w:val="both"/>
              <w:rPr/>
            </w:pPr>
            <w:r>
              <w:rPr>
                <w:sz w:val="24"/>
                <w:szCs w:val="24"/>
                <w:lang w:eastAsia="en-US"/>
              </w:rPr>
              <w:t>1.7. Дата наступления события (существенного факта), о котором составлено сообщение:</w:t>
            </w:r>
          </w:p>
        </w:tc>
        <w:tc>
          <w:tcPr>
            <w:tcW w:w="4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right="85" w:hanging="0"/>
              <w:jc w:val="both"/>
              <w:rPr/>
            </w:pPr>
            <w:r>
              <w:rPr>
                <w:b/>
                <w:i/>
                <w:sz w:val="24"/>
                <w:szCs w:val="24"/>
              </w:rPr>
              <w:t>2</w:t>
            </w:r>
            <w:r>
              <w:rPr>
                <w:b/>
                <w:i/>
                <w:sz w:val="24"/>
                <w:szCs w:val="24"/>
              </w:rPr>
              <w:t>9</w:t>
            </w:r>
            <w:r>
              <w:rPr>
                <w:b/>
                <w:i/>
                <w:sz w:val="24"/>
                <w:szCs w:val="24"/>
              </w:rPr>
              <w:t>.04.2026</w:t>
            </w:r>
          </w:p>
        </w:tc>
      </w:tr>
    </w:tbl>
    <w:p>
      <w:pPr>
        <w:pStyle w:val="Normal"/>
        <w:widowControl w:val="false"/>
        <w:tabs>
          <w:tab w:val="clear" w:pos="720"/>
          <w:tab w:val="left" w:pos="708" w:leader="none"/>
        </w:tabs>
        <w:spacing w:before="0" w:after="0"/>
        <w:contextualSpacing/>
        <w:jc w:val="both"/>
        <w:rPr>
          <w:sz w:val="16"/>
          <w:szCs w:val="16"/>
        </w:rPr>
      </w:pPr>
      <w:r>
        <w:rPr>
          <w:sz w:val="16"/>
          <w:szCs w:val="16"/>
        </w:rPr>
      </w:r>
    </w:p>
    <w:p>
      <w:pPr>
        <w:pStyle w:val="Normal"/>
        <w:jc w:val="center"/>
        <w:rPr/>
      </w:pPr>
      <w:r>
        <w:rPr>
          <w:b/>
          <w:color w:val="000000"/>
          <w:sz w:val="24"/>
          <w:szCs w:val="24"/>
        </w:rPr>
        <w:t>2. Содержание сообщения</w:t>
      </w:r>
      <w:r>
        <w:rPr>
          <w:b/>
          <w:bCs/>
          <w:color w:val="000000"/>
          <w:sz w:val="24"/>
          <w:szCs w:val="24"/>
        </w:rPr>
        <w:t>.</w:t>
      </w:r>
    </w:p>
    <w:p>
      <w:pPr>
        <w:pStyle w:val="Normal"/>
        <w:jc w:val="both"/>
        <w:rPr>
          <w:sz w:val="24"/>
          <w:szCs w:val="24"/>
        </w:rPr>
      </w:pPr>
      <w:r>
        <w:rPr>
          <w:sz w:val="24"/>
          <w:szCs w:val="24"/>
        </w:rPr>
        <w:t>2.1. Лицо, которое совершило существенную сделку:</w:t>
      </w:r>
    </w:p>
    <w:p>
      <w:pPr>
        <w:pStyle w:val="Normal"/>
        <w:jc w:val="both"/>
        <w:rPr>
          <w:sz w:val="24"/>
          <w:szCs w:val="24"/>
        </w:rPr>
      </w:pPr>
      <w:r>
        <w:rPr>
          <w:sz w:val="24"/>
          <w:szCs w:val="24"/>
        </w:rPr>
        <w:t>Эмитент.</w:t>
      </w:r>
    </w:p>
    <w:p>
      <w:pPr>
        <w:pStyle w:val="Normal"/>
        <w:jc w:val="both"/>
        <w:rPr>
          <w:sz w:val="12"/>
          <w:szCs w:val="12"/>
        </w:rPr>
      </w:pPr>
      <w:r>
        <w:rPr>
          <w:sz w:val="12"/>
          <w:szCs w:val="12"/>
        </w:rPr>
      </w:r>
    </w:p>
    <w:p>
      <w:pPr>
        <w:pStyle w:val="Normal"/>
        <w:jc w:val="both"/>
        <w:rPr>
          <w:sz w:val="24"/>
          <w:szCs w:val="24"/>
        </w:rPr>
      </w:pPr>
      <w:r>
        <w:rPr>
          <w:sz w:val="24"/>
          <w:szCs w:val="24"/>
        </w:rPr>
        <w:t>2.2. Категория существенной сделки</w:t>
      </w:r>
      <w:r>
        <w:rPr>
          <w:bCs/>
          <w:iCs/>
          <w:sz w:val="24"/>
          <w:szCs w:val="24"/>
        </w:rPr>
        <w:t>:</w:t>
      </w:r>
    </w:p>
    <w:p>
      <w:pPr>
        <w:pStyle w:val="Normal"/>
        <w:jc w:val="both"/>
        <w:rPr>
          <w:sz w:val="24"/>
          <w:szCs w:val="24"/>
        </w:rPr>
      </w:pPr>
      <w:r>
        <w:rPr>
          <w:sz w:val="24"/>
          <w:szCs w:val="24"/>
        </w:rPr>
        <w:t>Существенная сделка, не являющаяся крупной.</w:t>
      </w:r>
    </w:p>
    <w:p>
      <w:pPr>
        <w:pStyle w:val="Normal"/>
        <w:widowControl w:val="false"/>
        <w:jc w:val="both"/>
        <w:rPr>
          <w:sz w:val="12"/>
          <w:szCs w:val="12"/>
        </w:rPr>
      </w:pPr>
      <w:r>
        <w:rPr>
          <w:sz w:val="12"/>
          <w:szCs w:val="12"/>
        </w:rPr>
      </w:r>
    </w:p>
    <w:p>
      <w:pPr>
        <w:pStyle w:val="Normal"/>
        <w:widowControl w:val="false"/>
        <w:jc w:val="both"/>
        <w:rPr>
          <w:sz w:val="24"/>
          <w:szCs w:val="24"/>
        </w:rPr>
      </w:pPr>
      <w:r>
        <w:rPr>
          <w:sz w:val="24"/>
          <w:szCs w:val="24"/>
        </w:rPr>
        <w:t xml:space="preserve">2.3. Вид и предмет существенной сделки: </w:t>
      </w:r>
    </w:p>
    <w:p>
      <w:pPr>
        <w:pStyle w:val="Normal"/>
        <w:widowControl w:val="false"/>
        <w:jc w:val="both"/>
        <w:rPr>
          <w:sz w:val="12"/>
          <w:szCs w:val="12"/>
        </w:rPr>
      </w:pPr>
      <w:r>
        <w:rPr>
          <w:sz w:val="12"/>
          <w:szCs w:val="12"/>
        </w:rPr>
      </w:r>
    </w:p>
    <w:p>
      <w:pPr>
        <w:pStyle w:val="Normal"/>
        <w:widowControl w:val="false"/>
        <w:jc w:val="both"/>
        <w:rPr>
          <w:rFonts w:ascii="Times New Roman" w:hAnsi="Times New Roman" w:eastAsia="Courier New" w:cs="Times New Roman"/>
          <w:color w:val="000000"/>
          <w:kern w:val="0"/>
          <w:sz w:val="24"/>
          <w:szCs w:val="24"/>
          <w:lang w:val="ru-RU" w:eastAsia="ru-RU" w:bidi="ar-SA"/>
        </w:rPr>
      </w:pPr>
      <w:r>
        <w:rPr>
          <w:color w:val="000000"/>
          <w:sz w:val="24"/>
          <w:szCs w:val="24"/>
        </w:rPr>
        <w:t xml:space="preserve">Вид существенной сделки: </w:t>
      </w:r>
    </w:p>
    <w:p>
      <w:pPr>
        <w:pStyle w:val="Normal"/>
        <w:widowControl w:val="false"/>
        <w:jc w:val="both"/>
        <w:rPr>
          <w:color w:val="000000"/>
          <w:sz w:val="24"/>
          <w:szCs w:val="24"/>
        </w:rPr>
      </w:pPr>
      <w:r>
        <w:rPr>
          <w:rFonts w:eastAsia="Courier New" w:cs="Times New Roman"/>
          <w:color w:val="000000"/>
          <w:kern w:val="0"/>
          <w:sz w:val="24"/>
          <w:szCs w:val="24"/>
          <w:lang w:val="ru-RU" w:eastAsia="ru-RU" w:bidi="ar-SA"/>
        </w:rPr>
        <w:t xml:space="preserve">Заключение </w:t>
      </w:r>
      <w:r>
        <w:rPr>
          <w:rFonts w:eastAsia="Courier New" w:cs="Times New Roman"/>
          <w:b w:val="false"/>
          <w:bCs w:val="false"/>
          <w:color w:val="000000"/>
          <w:kern w:val="0"/>
          <w:sz w:val="24"/>
          <w:szCs w:val="24"/>
          <w:lang w:val="ru-RU" w:eastAsia="ru-RU" w:bidi="ar-SA"/>
        </w:rPr>
        <w:t>Концессионн</w:t>
      </w:r>
      <w:r>
        <w:rPr>
          <w:rFonts w:eastAsia="Courier New" w:cs="Times New Roman"/>
          <w:b w:val="false"/>
          <w:bCs w:val="false"/>
          <w:color w:val="000000"/>
          <w:kern w:val="0"/>
          <w:sz w:val="24"/>
          <w:szCs w:val="24"/>
          <w:lang w:val="ru-RU" w:eastAsia="ru-RU" w:bidi="ar-SA"/>
        </w:rPr>
        <w:t>ого</w:t>
      </w:r>
      <w:r>
        <w:rPr>
          <w:rFonts w:eastAsia="Courier New" w:cs="Times New Roman"/>
          <w:b w:val="false"/>
          <w:bCs w:val="false"/>
          <w:color w:val="000000"/>
          <w:kern w:val="0"/>
          <w:sz w:val="24"/>
          <w:szCs w:val="24"/>
          <w:lang w:val="ru-RU" w:eastAsia="ru-RU" w:bidi="ar-SA"/>
        </w:rPr>
        <w:t xml:space="preserve"> </w:t>
      </w:r>
      <w:r>
        <w:rPr>
          <w:rFonts w:eastAsia="Courier New" w:cs="Times New Roman"/>
          <w:b w:val="false"/>
          <w:bCs w:val="false"/>
          <w:color w:val="000000"/>
          <w:kern w:val="0"/>
          <w:sz w:val="24"/>
          <w:szCs w:val="24"/>
          <w:lang w:val="ru-RU" w:eastAsia="ru-RU" w:bidi="ar-SA"/>
        </w:rPr>
        <w:t>с</w:t>
      </w:r>
      <w:r>
        <w:rPr>
          <w:rFonts w:eastAsia="Courier New" w:cs="Times New Roman"/>
          <w:b w:val="false"/>
          <w:bCs w:val="false"/>
          <w:color w:val="000000"/>
          <w:kern w:val="0"/>
          <w:sz w:val="24"/>
          <w:szCs w:val="24"/>
          <w:lang w:val="ru-RU" w:eastAsia="ru-RU" w:bidi="ar-SA"/>
        </w:rPr>
        <w:t>оглашени</w:t>
      </w:r>
      <w:r>
        <w:rPr>
          <w:rFonts w:eastAsia="Courier New" w:cs="Times New Roman"/>
          <w:b w:val="false"/>
          <w:bCs w:val="false"/>
          <w:color w:val="000000"/>
          <w:kern w:val="0"/>
          <w:sz w:val="24"/>
          <w:szCs w:val="24"/>
          <w:lang w:val="ru-RU" w:eastAsia="ru-RU" w:bidi="ar-SA"/>
        </w:rPr>
        <w:t>я</w:t>
      </w:r>
      <w:r>
        <w:rPr>
          <w:rFonts w:eastAsia="Courier New" w:cs="Times New Roman"/>
          <w:b w:val="false"/>
          <w:bCs w:val="false"/>
          <w:color w:val="000000"/>
          <w:kern w:val="0"/>
          <w:sz w:val="24"/>
          <w:szCs w:val="24"/>
          <w:lang w:val="ru-RU" w:eastAsia="ru-RU" w:bidi="ar-SA"/>
        </w:rPr>
        <w:t xml:space="preserve"> </w:t>
      </w:r>
      <w:r>
        <w:rPr>
          <w:b w:val="false"/>
          <w:bCs w:val="false"/>
          <w:color w:val="000000"/>
          <w:sz w:val="24"/>
          <w:szCs w:val="24"/>
        </w:rPr>
        <w:t xml:space="preserve">в отношении объектов теплоснабжения, централизованных систем горячего водоснабжения, отдельных объектов таких систем </w:t>
      </w:r>
      <w:r>
        <w:rPr>
          <w:rFonts w:eastAsia="Courier New" w:cs="Times New Roman"/>
          <w:b w:val="false"/>
          <w:bCs w:val="false"/>
          <w:color w:val="000000"/>
          <w:kern w:val="0"/>
          <w:sz w:val="24"/>
          <w:szCs w:val="24"/>
          <w:lang w:val="ru-RU" w:eastAsia="ru-RU" w:bidi="ar-SA"/>
        </w:rPr>
        <w:t>Петропавловск-Камчатского городского округа</w:t>
      </w:r>
      <w:r>
        <w:rPr>
          <w:b w:val="false"/>
          <w:bCs w:val="false"/>
          <w:color w:val="000000"/>
          <w:sz w:val="24"/>
          <w:szCs w:val="24"/>
        </w:rPr>
        <w:t>.</w:t>
      </w:r>
    </w:p>
    <w:p>
      <w:pPr>
        <w:pStyle w:val="Normal"/>
        <w:widowControl w:val="false"/>
        <w:jc w:val="both"/>
        <w:rPr>
          <w:color w:val="000000"/>
          <w:sz w:val="24"/>
          <w:szCs w:val="24"/>
        </w:rPr>
      </w:pPr>
      <w:r>
        <w:rPr>
          <w:color w:val="000000"/>
          <w:sz w:val="24"/>
          <w:szCs w:val="24"/>
        </w:rPr>
      </w:r>
    </w:p>
    <w:p>
      <w:pPr>
        <w:pStyle w:val="Normal"/>
        <w:widowControl w:val="false"/>
        <w:jc w:val="both"/>
        <w:rPr>
          <w:sz w:val="24"/>
          <w:szCs w:val="24"/>
        </w:rPr>
      </w:pPr>
      <w:r>
        <w:rPr>
          <w:color w:val="000000"/>
          <w:sz w:val="24"/>
          <w:szCs w:val="24"/>
        </w:rPr>
        <w:t xml:space="preserve">Предмет существенной сделки: </w:t>
      </w:r>
    </w:p>
    <w:p>
      <w:pPr>
        <w:pStyle w:val="Normal"/>
        <w:numPr>
          <w:ilvl w:val="0"/>
          <w:numId w:val="2"/>
        </w:numPr>
        <w:spacing w:lineRule="auto" w:line="240" w:before="0" w:after="0"/>
        <w:contextualSpacing/>
        <w:jc w:val="both"/>
        <w:rPr>
          <w:color w:val="000000"/>
        </w:rPr>
      </w:pPr>
      <w:r>
        <w:rPr>
          <w:rFonts w:cs="Times New Roman"/>
          <w:color w:val="000000"/>
          <w:sz w:val="24"/>
          <w:szCs w:val="24"/>
        </w:rPr>
        <w:t>Концессионер обязуется за свой счет в порядке, в сроки и на условиях, предусмотренных Концессионным соглашением:</w:t>
      </w:r>
    </w:p>
    <w:p>
      <w:pPr>
        <w:pStyle w:val="Normal"/>
        <w:spacing w:lineRule="auto" w:line="240" w:before="0" w:after="0"/>
        <w:ind w:firstLine="567"/>
        <w:contextualSpacing/>
        <w:jc w:val="both"/>
        <w:rPr>
          <w:color w:val="000000"/>
        </w:rPr>
      </w:pPr>
      <w:r>
        <w:rPr>
          <w:rFonts w:cs="Times New Roman"/>
          <w:color w:val="000000"/>
          <w:sz w:val="24"/>
          <w:szCs w:val="24"/>
        </w:rPr>
        <w:t>- осуществить мероприятия по реконструкции  Объекта соглашения, право собственности на который принадлежит (применительно к имуществу, подлежащему реконструкции) Концеденту в соответствии с заданием и основными мероприятиями;</w:t>
      </w:r>
    </w:p>
    <w:p>
      <w:pPr>
        <w:pStyle w:val="Normal"/>
        <w:spacing w:lineRule="auto" w:line="240" w:before="0" w:after="0"/>
        <w:ind w:firstLine="567"/>
        <w:contextualSpacing/>
        <w:jc w:val="both"/>
        <w:rPr>
          <w:color w:val="000000"/>
        </w:rPr>
      </w:pPr>
      <w:r>
        <w:rPr>
          <w:rFonts w:cs="Times New Roman"/>
          <w:color w:val="000000"/>
          <w:sz w:val="24"/>
          <w:szCs w:val="24"/>
        </w:rPr>
        <w:t xml:space="preserve"> </w:t>
      </w:r>
      <w:r>
        <w:rPr>
          <w:rFonts w:eastAsia="Calibri" w:cs="Times New Roman"/>
          <w:b w:val="false"/>
          <w:bCs w:val="false"/>
          <w:color w:val="000000"/>
          <w:sz w:val="24"/>
          <w:szCs w:val="24"/>
          <w:shd w:fill="auto" w:val="clear"/>
          <w:lang w:val="ru-RU" w:eastAsia="en-US" w:bidi="ar-SA"/>
        </w:rPr>
        <w:t>- осуществлять с использованием (эксплуатацией) Объекта соглашения и Иного имущества деятельность по производству, передаче, распределению</w:t>
      </w:r>
      <w:r>
        <w:rPr>
          <w:rFonts w:cs="Times New Roman"/>
          <w:b w:val="false"/>
          <w:bCs w:val="false"/>
          <w:color w:val="000000"/>
          <w:sz w:val="24"/>
          <w:szCs w:val="24"/>
          <w:shd w:fill="auto" w:val="clear"/>
        </w:rPr>
        <w:t xml:space="preserve">, поставке </w:t>
      </w:r>
      <w:r>
        <w:rPr>
          <w:rFonts w:eastAsia="Calibri" w:cs="Times New Roman"/>
          <w:b w:val="false"/>
          <w:bCs w:val="false"/>
          <w:color w:val="000000"/>
          <w:sz w:val="24"/>
          <w:szCs w:val="24"/>
          <w:shd w:fill="auto" w:val="clear"/>
          <w:lang w:val="ru-RU" w:eastAsia="en-US" w:bidi="ar-SA"/>
        </w:rPr>
        <w:t xml:space="preserve"> тепловой энергии</w:t>
      </w:r>
      <w:r>
        <w:rPr>
          <w:rFonts w:cs="Times New Roman"/>
          <w:b w:val="false"/>
          <w:bCs w:val="false"/>
          <w:color w:val="000000"/>
          <w:sz w:val="24"/>
          <w:szCs w:val="24"/>
          <w:shd w:fill="auto" w:val="clear"/>
        </w:rPr>
        <w:t xml:space="preserve"> и </w:t>
      </w:r>
      <w:r>
        <w:rPr>
          <w:rFonts w:cs="Times New Roman"/>
          <w:b w:val="false"/>
          <w:bCs w:val="false"/>
          <w:i w:val="false"/>
          <w:caps w:val="false"/>
          <w:smallCaps w:val="false"/>
          <w:color w:val="1F2E3C"/>
          <w:spacing w:val="0"/>
          <w:sz w:val="24"/>
          <w:szCs w:val="24"/>
          <w:shd w:fill="auto" w:val="clear"/>
        </w:rPr>
        <w:t xml:space="preserve">горячего водоснабжения </w:t>
      </w:r>
      <w:r>
        <w:rPr>
          <w:rFonts w:cs="Times New Roman"/>
          <w:color w:val="000000"/>
          <w:sz w:val="24"/>
          <w:szCs w:val="24"/>
        </w:rPr>
        <w:t xml:space="preserve">в границах Петропавловск-Камчатского городского округа (далее – Концессионная деятельность). </w:t>
      </w:r>
    </w:p>
    <w:p>
      <w:pPr>
        <w:pStyle w:val="Normal"/>
        <w:widowControl/>
        <w:numPr>
          <w:ilvl w:val="0"/>
          <w:numId w:val="1"/>
        </w:numPr>
        <w:suppressAutoHyphens w:val="true"/>
        <w:bidi w:val="0"/>
        <w:spacing w:lineRule="auto" w:line="240" w:before="0" w:after="0"/>
        <w:ind w:left="0" w:right="0" w:firstLine="567"/>
        <w:contextualSpacing/>
        <w:jc w:val="both"/>
        <w:rPr>
          <w:color w:val="000000"/>
        </w:rPr>
      </w:pPr>
      <w:r>
        <w:rPr>
          <w:rFonts w:cs="Times New Roman"/>
          <w:color w:val="000000"/>
          <w:sz w:val="24"/>
          <w:szCs w:val="24"/>
        </w:rPr>
        <w:t>Концедент обязуется предоставить Концессионеру на срок и в порядке, установленном Концессионным соглашением, права владения и пользования Объектом соглашения и Иным имуществом, указанным в разделе 2 Соглашения, для осуществления Концессионером реконструкции Объекта соглашения и концессионной деятельности.</w:t>
      </w:r>
    </w:p>
    <w:p>
      <w:pPr>
        <w:pStyle w:val="NoSpacing"/>
        <w:widowControl/>
        <w:numPr>
          <w:ilvl w:val="0"/>
          <w:numId w:val="1"/>
        </w:numPr>
        <w:suppressAutoHyphens w:val="true"/>
        <w:bidi w:val="0"/>
        <w:spacing w:before="0" w:after="200"/>
        <w:ind w:left="57" w:right="0" w:firstLine="510"/>
        <w:contextualSpacing/>
        <w:jc w:val="both"/>
        <w:rPr>
          <w:color w:val="000000"/>
        </w:rPr>
      </w:pPr>
      <w:r>
        <w:rPr>
          <w:rFonts w:ascii="Times New Roman" w:hAnsi="Times New Roman"/>
          <w:sz w:val="24"/>
          <w:szCs w:val="24"/>
        </w:rPr>
        <w:t>В целях Соглашения к реконструкции Объекта соглашения относятся мероприятия по его переустройству на основе внедрения новых технологий, механизации и автоматизации производства, модернизации и замены морально устаревшего и физически изношенного оборудования новым более производительным оборудованием, изменению технологического или функционального назначения Объекта соглашения или его отдельных частей, иные мероприятия по улучшению характеристик и эксплуатационных свойств Объекта соглашения, за исключением мероприятий, отнесенных к  текущему и (или) капитальному ремонту</w:t>
      </w:r>
    </w:p>
    <w:p>
      <w:pPr>
        <w:pStyle w:val="Normal"/>
        <w:jc w:val="both"/>
        <w:rPr/>
      </w:pPr>
      <w:r>
        <w:rPr>
          <w:rFonts w:eastAsia="Courier New" w:cs="Times New Roman"/>
          <w:color w:val="000000"/>
          <w:kern w:val="0"/>
          <w:sz w:val="24"/>
          <w:szCs w:val="24"/>
          <w:lang w:val="ru-RU" w:eastAsia="ru-RU" w:bidi="ar-SA"/>
        </w:rPr>
        <w:t>2.4. Содержание существенной сделки, в том числе гражданские права и обязанности, на установление, изменение или прекращение которых направлена совершенная существенная сделка:</w:t>
      </w:r>
    </w:p>
    <w:p>
      <w:pPr>
        <w:pStyle w:val="Normal"/>
        <w:numPr>
          <w:ilvl w:val="0"/>
          <w:numId w:val="0"/>
        </w:numPr>
        <w:tabs>
          <w:tab w:val="clear" w:pos="720"/>
          <w:tab w:val="left" w:pos="709" w:leader="none"/>
        </w:tabs>
        <w:spacing w:before="0" w:after="0"/>
        <w:ind w:left="0" w:right="0" w:hanging="0"/>
        <w:contextualSpacing/>
        <w:jc w:val="both"/>
        <w:rPr/>
      </w:pPr>
      <w:r>
        <w:rPr>
          <w:color w:val="000000"/>
          <w:sz w:val="24"/>
          <w:szCs w:val="24"/>
        </w:rPr>
        <w:t xml:space="preserve">    </w:t>
      </w:r>
      <w:r>
        <w:rPr>
          <w:rFonts w:eastAsia="Courier New" w:cs="Times New Roman"/>
          <w:color w:val="000000"/>
          <w:kern w:val="0"/>
          <w:sz w:val="24"/>
          <w:szCs w:val="24"/>
          <w:lang w:val="ru-RU" w:eastAsia="ru-RU" w:bidi="ar-SA"/>
        </w:rPr>
        <w:t xml:space="preserve">Концессионное соглашение предусматривает мероприятия по реконструкции 51 объекта теплоснабжения, а именно: автоматизация центральных тепловых пунктов, установка охрано-пожарная сигнализации, установка видеонаблюдения, замена оборудования на энергоэффективное, подключение к ВОЛС, реконструкция тепловых сетей. </w:t>
      </w:r>
    </w:p>
    <w:p>
      <w:pPr>
        <w:pStyle w:val="Normal"/>
        <w:widowControl/>
        <w:numPr>
          <w:ilvl w:val="0"/>
          <w:numId w:val="0"/>
        </w:numPr>
        <w:tabs>
          <w:tab w:val="clear" w:pos="720"/>
          <w:tab w:val="left" w:pos="709" w:leader="none"/>
        </w:tabs>
        <w:suppressAutoHyphens w:val="true"/>
        <w:bidi w:val="0"/>
        <w:spacing w:before="0" w:after="0"/>
        <w:ind w:left="0" w:right="0" w:hanging="0"/>
        <w:contextualSpacing/>
        <w:jc w:val="both"/>
        <w:rPr>
          <w:rFonts w:ascii="Times New Roman" w:hAnsi="Times New Roman" w:eastAsia="Courier New" w:cs="Times New Roman"/>
          <w:color w:val="000000"/>
          <w:kern w:val="0"/>
          <w:sz w:val="24"/>
          <w:szCs w:val="24"/>
          <w:lang w:val="ru-RU" w:eastAsia="ru-RU" w:bidi="ar-SA"/>
        </w:rPr>
      </w:pPr>
      <w:r>
        <w:rPr>
          <w:rFonts w:eastAsia="Courier New" w:cs="Times New Roman"/>
          <w:color w:val="000000"/>
          <w:kern w:val="0"/>
          <w:sz w:val="24"/>
          <w:szCs w:val="24"/>
          <w:lang w:val="ru-RU" w:eastAsia="ru-RU" w:bidi="ar-SA"/>
        </w:rPr>
        <w:t xml:space="preserve">   </w:t>
      </w:r>
      <w:r>
        <w:rPr>
          <w:rFonts w:eastAsia="Courier New" w:cs="Times New Roman"/>
          <w:color w:val="000000"/>
          <w:kern w:val="0"/>
          <w:sz w:val="24"/>
          <w:szCs w:val="24"/>
          <w:lang w:val="ru-RU" w:eastAsia="ru-RU" w:bidi="ar-SA"/>
        </w:rPr>
        <w:t>М</w:t>
      </w:r>
      <w:r>
        <w:rPr>
          <w:rFonts w:eastAsia="Courier New" w:cs="Times New Roman"/>
          <w:color w:val="000000"/>
          <w:kern w:val="0"/>
          <w:sz w:val="24"/>
          <w:szCs w:val="24"/>
          <w:lang w:val="ru-RU" w:eastAsia="ru-RU" w:bidi="ar-SA"/>
        </w:rPr>
        <w:t>ероприятия по реконструкции соответствуют схеме теплоснабжения, утвержденной Постановлением администрации Петропавловск-Камчатского городского округа от 30.06.2025 № 1488 «Об утверждении актуализированной схемы теплоснабжения Петропавловск-Камчатского городского округа до 2040 года на 2026 год».</w:t>
      </w:r>
    </w:p>
    <w:p>
      <w:pPr>
        <w:pStyle w:val="Normal"/>
        <w:widowControl/>
        <w:numPr>
          <w:ilvl w:val="0"/>
          <w:numId w:val="0"/>
        </w:numPr>
        <w:tabs>
          <w:tab w:val="clear" w:pos="720"/>
          <w:tab w:val="left" w:pos="709" w:leader="none"/>
        </w:tabs>
        <w:suppressAutoHyphens w:val="true"/>
        <w:bidi w:val="0"/>
        <w:spacing w:before="0" w:after="0"/>
        <w:ind w:left="0" w:right="0" w:hanging="0"/>
        <w:contextualSpacing/>
        <w:jc w:val="both"/>
        <w:rPr>
          <w:rFonts w:ascii="Times New Roman" w:hAnsi="Times New Roman" w:eastAsia="Courier New" w:cs="Times New Roman"/>
          <w:color w:val="000000"/>
          <w:kern w:val="0"/>
          <w:sz w:val="24"/>
          <w:szCs w:val="24"/>
          <w:lang w:val="ru-RU" w:eastAsia="ru-RU" w:bidi="ar-SA"/>
        </w:rPr>
      </w:pPr>
      <w:r>
        <w:rPr>
          <w:rFonts w:eastAsia="Courier New" w:cs="Times New Roman"/>
          <w:color w:val="000000"/>
          <w:kern w:val="0"/>
          <w:sz w:val="24"/>
          <w:szCs w:val="24"/>
          <w:lang w:val="ru-RU" w:eastAsia="ru-RU" w:bidi="ar-SA"/>
        </w:rPr>
        <w:t xml:space="preserve">           </w:t>
      </w:r>
      <w:r>
        <w:rPr>
          <w:rFonts w:eastAsia="Courier New" w:cs="Times New Roman"/>
          <w:color w:val="000000"/>
          <w:kern w:val="0"/>
          <w:sz w:val="24"/>
          <w:szCs w:val="24"/>
          <w:lang w:val="ru-RU" w:eastAsia="ru-RU" w:bidi="ar-SA"/>
        </w:rPr>
        <w:t>Заключение Концессионного соглашения направлено на расторжение договоров аренды муниципального имущества и земельных участков.</w:t>
      </w:r>
    </w:p>
    <w:p>
      <w:pPr>
        <w:pStyle w:val="Normal"/>
        <w:widowControl w:val="false"/>
        <w:spacing w:before="0" w:after="0"/>
        <w:ind w:left="0" w:right="0" w:firstLine="709"/>
        <w:contextualSpacing/>
        <w:jc w:val="both"/>
        <w:rPr>
          <w:rFonts w:eastAsia="Courier New" w:cs="Times New Roman"/>
          <w:color w:val="000000"/>
          <w:kern w:val="0"/>
          <w:sz w:val="24"/>
          <w:szCs w:val="24"/>
          <w:lang w:val="ru-RU" w:eastAsia="ru-RU" w:bidi="ar-SA"/>
        </w:rPr>
      </w:pPr>
      <w:r>
        <w:rPr>
          <w:rFonts w:eastAsia="Courier New" w:cs="Times New Roman"/>
          <w:color w:val="000000"/>
          <w:kern w:val="0"/>
          <w:sz w:val="24"/>
          <w:szCs w:val="24"/>
          <w:lang w:val="ru-RU" w:eastAsia="ru-RU" w:bidi="ar-SA"/>
        </w:rPr>
      </w:r>
    </w:p>
    <w:p>
      <w:pPr>
        <w:pStyle w:val="Normal"/>
        <w:jc w:val="both"/>
        <w:rPr/>
      </w:pPr>
      <w:r>
        <w:rPr>
          <w:color w:val="000000"/>
          <w:sz w:val="24"/>
          <w:szCs w:val="24"/>
        </w:rPr>
        <w:t>2.5. Стороны и выгодоприобретатели по существенной сделке:</w:t>
      </w:r>
    </w:p>
    <w:p>
      <w:pPr>
        <w:pStyle w:val="Normal"/>
        <w:jc w:val="both"/>
        <w:rPr/>
      </w:pPr>
      <w:r>
        <w:rPr/>
      </w:r>
    </w:p>
    <w:p>
      <w:pPr>
        <w:pStyle w:val="Normal"/>
        <w:jc w:val="both"/>
        <w:rPr/>
      </w:pPr>
      <w:r>
        <w:rPr>
          <w:color w:val="000000"/>
          <w:sz w:val="24"/>
          <w:szCs w:val="24"/>
        </w:rPr>
        <w:t>Стороны по существенной сделке:</w:t>
      </w:r>
    </w:p>
    <w:p>
      <w:pPr>
        <w:pStyle w:val="Normal"/>
        <w:jc w:val="both"/>
        <w:rPr/>
      </w:pPr>
      <w:r>
        <w:rPr>
          <w:sz w:val="24"/>
          <w:szCs w:val="24"/>
        </w:rPr>
        <w:t>Концедент</w:t>
      </w:r>
      <w:r>
        <w:rPr>
          <w:sz w:val="24"/>
          <w:szCs w:val="24"/>
        </w:rPr>
        <w:t xml:space="preserve"> – </w:t>
      </w:r>
      <w:r>
        <w:rPr>
          <w:rFonts w:eastAsia="Courier New" w:cs="Times New Roman"/>
          <w:color w:val="000000"/>
          <w:kern w:val="0"/>
          <w:sz w:val="24"/>
          <w:szCs w:val="24"/>
          <w:lang w:val="ru-RU" w:eastAsia="ru-RU" w:bidi="ar-SA"/>
        </w:rPr>
        <w:t>Муниципальное образование «Петропавловск-Камчатский городской округ»;</w:t>
      </w:r>
    </w:p>
    <w:p>
      <w:pPr>
        <w:pStyle w:val="Normal"/>
        <w:jc w:val="both"/>
        <w:rPr>
          <w:rFonts w:ascii="Times New Roman" w:hAnsi="Times New Roman" w:eastAsia="Courier New" w:cs="Times New Roman"/>
          <w:color w:val="000000"/>
          <w:kern w:val="0"/>
          <w:sz w:val="24"/>
          <w:szCs w:val="24"/>
          <w:lang w:val="ru-RU" w:eastAsia="ru-RU" w:bidi="ar-SA"/>
        </w:rPr>
      </w:pPr>
      <w:r>
        <w:rPr>
          <w:rFonts w:eastAsia="Courier New" w:cs="Times New Roman"/>
          <w:color w:val="000000"/>
          <w:kern w:val="0"/>
          <w:sz w:val="24"/>
          <w:szCs w:val="24"/>
          <w:lang w:val="ru-RU" w:eastAsia="ru-RU" w:bidi="ar-SA"/>
        </w:rPr>
        <w:t>Концессионер – ПАО «Камчатскэнерго»</w:t>
      </w:r>
    </w:p>
    <w:p>
      <w:pPr>
        <w:pStyle w:val="Normal"/>
        <w:jc w:val="both"/>
        <w:rPr>
          <w:rFonts w:ascii="Times New Roman" w:hAnsi="Times New Roman" w:eastAsia="Courier New" w:cs="Times New Roman"/>
          <w:color w:val="000000"/>
          <w:kern w:val="0"/>
          <w:sz w:val="24"/>
          <w:szCs w:val="24"/>
          <w:lang w:val="ru-RU" w:eastAsia="ru-RU" w:bidi="ar-SA"/>
        </w:rPr>
      </w:pPr>
      <w:r>
        <w:rPr>
          <w:rFonts w:eastAsia="Courier New" w:cs="Times New Roman"/>
          <w:color w:val="000000"/>
          <w:kern w:val="0"/>
          <w:sz w:val="24"/>
          <w:szCs w:val="24"/>
          <w:lang w:val="ru-RU" w:eastAsia="ru-RU" w:bidi="ar-SA"/>
        </w:rPr>
        <w:t>Субъект - Субъект Российской Федерации «Камчатский край».</w:t>
      </w:r>
    </w:p>
    <w:p>
      <w:pPr>
        <w:pStyle w:val="Normal"/>
        <w:jc w:val="both"/>
        <w:rPr>
          <w:rFonts w:ascii="Times New Roman" w:hAnsi="Times New Roman" w:eastAsia="Courier New" w:cs="Times New Roman"/>
          <w:color w:val="000000"/>
          <w:kern w:val="0"/>
          <w:sz w:val="24"/>
          <w:szCs w:val="24"/>
          <w:lang w:val="ru-RU" w:eastAsia="ru-RU" w:bidi="ar-SA"/>
        </w:rPr>
      </w:pPr>
      <w:r>
        <w:rPr>
          <w:rFonts w:eastAsia="Courier New" w:cs="Times New Roman"/>
          <w:color w:val="000000"/>
          <w:kern w:val="0"/>
          <w:sz w:val="24"/>
          <w:szCs w:val="24"/>
          <w:lang w:val="ru-RU" w:eastAsia="ru-RU" w:bidi="ar-SA"/>
        </w:rPr>
      </w:r>
    </w:p>
    <w:p>
      <w:pPr>
        <w:pStyle w:val="Normal"/>
        <w:jc w:val="both"/>
        <w:rPr>
          <w:sz w:val="12"/>
          <w:szCs w:val="12"/>
        </w:rPr>
      </w:pPr>
      <w:r>
        <w:rPr>
          <w:sz w:val="12"/>
          <w:szCs w:val="12"/>
        </w:rPr>
      </w:r>
    </w:p>
    <w:p>
      <w:pPr>
        <w:pStyle w:val="Normal"/>
        <w:jc w:val="both"/>
        <w:rPr/>
      </w:pPr>
      <w:r>
        <w:rPr>
          <w:color w:val="000000"/>
          <w:sz w:val="24"/>
          <w:szCs w:val="24"/>
        </w:rPr>
        <w:t>2.6. Срок исполнения обязательств по существенной сделке:</w:t>
      </w:r>
    </w:p>
    <w:p>
      <w:pPr>
        <w:pStyle w:val="Default"/>
        <w:widowControl/>
        <w:suppressAutoHyphens w:val="true"/>
        <w:bidi w:val="0"/>
        <w:spacing w:before="0" w:after="0"/>
        <w:ind w:left="0" w:right="0" w:firstLine="567"/>
        <w:jc w:val="both"/>
        <w:rPr>
          <w:color w:val="000000"/>
        </w:rPr>
      </w:pPr>
      <w:r>
        <w:rPr>
          <w:rFonts w:eastAsia="Courier New" w:cs="Times New Roman"/>
          <w:iCs/>
          <w:color w:val="000000"/>
          <w:kern w:val="0"/>
          <w:sz w:val="24"/>
          <w:szCs w:val="24"/>
          <w:shd w:fill="auto" w:val="clear"/>
          <w:lang w:val="ru-RU" w:eastAsia="ru-RU" w:bidi="ar-SA"/>
        </w:rPr>
        <w:t xml:space="preserve">Концессионное соглашение вступает в силу со дня его подписания всеми Сторонами и действует  </w:t>
      </w:r>
      <w:r>
        <w:rPr>
          <w:rFonts w:eastAsia="Courier New" w:cs="Times New Roman"/>
          <w:b w:val="false"/>
          <w:bCs w:val="false"/>
          <w:iCs/>
          <w:color w:val="000000"/>
          <w:kern w:val="0"/>
          <w:sz w:val="24"/>
          <w:szCs w:val="24"/>
          <w:shd w:fill="auto" w:val="clear"/>
          <w:lang w:val="ru-RU" w:eastAsia="ru-RU" w:bidi="ar-SA"/>
        </w:rPr>
        <w:t>по 31.12.2050 включительно.</w:t>
      </w:r>
    </w:p>
    <w:p>
      <w:pPr>
        <w:pStyle w:val="Normal"/>
        <w:jc w:val="both"/>
        <w:rPr>
          <w:rFonts w:ascii="Times New Roman" w:hAnsi="Times New Roman" w:eastAsia="Courier New" w:cs="Times New Roman"/>
          <w:color w:val="000000"/>
          <w:kern w:val="0"/>
          <w:sz w:val="24"/>
          <w:szCs w:val="24"/>
          <w:highlight w:val="none"/>
          <w:shd w:fill="auto" w:val="clear"/>
          <w:lang w:val="ru-RU" w:eastAsia="ru-RU" w:bidi="ar-SA"/>
        </w:rPr>
      </w:pPr>
      <w:r>
        <w:rPr>
          <w:rFonts w:eastAsia="Courier New" w:cs="Times New Roman"/>
          <w:color w:val="000000"/>
          <w:kern w:val="0"/>
          <w:sz w:val="24"/>
          <w:szCs w:val="24"/>
          <w:shd w:fill="auto" w:val="clear"/>
          <w:lang w:val="ru-RU" w:eastAsia="ru-RU" w:bidi="ar-SA"/>
        </w:rPr>
      </w:r>
    </w:p>
    <w:p>
      <w:pPr>
        <w:pStyle w:val="Normal"/>
        <w:jc w:val="both"/>
        <w:rPr>
          <w:highlight w:val="none"/>
          <w:shd w:fill="auto" w:val="clear"/>
        </w:rPr>
      </w:pPr>
      <w:r>
        <w:rPr>
          <w:color w:val="000000"/>
          <w:sz w:val="24"/>
          <w:szCs w:val="24"/>
          <w:shd w:fill="auto" w:val="clear"/>
        </w:rPr>
        <w:t>2.7. Размер существенной сделки в денежном выражении и в процентах от стоимости активов эмитента:</w:t>
      </w:r>
    </w:p>
    <w:p>
      <w:pPr>
        <w:pStyle w:val="Normal"/>
        <w:jc w:val="both"/>
        <w:rPr>
          <w:rFonts w:ascii="Times New Roman" w:hAnsi="Times New Roman" w:eastAsia="Courier New" w:cs="Times New Roman"/>
          <w:color w:val="000000"/>
          <w:kern w:val="0"/>
          <w:sz w:val="24"/>
          <w:szCs w:val="24"/>
          <w:shd w:fill="auto" w:val="clear"/>
          <w:lang w:val="ru-RU" w:eastAsia="ru-RU" w:bidi="ar-SA"/>
        </w:rPr>
      </w:pPr>
      <w:r>
        <w:rPr>
          <w:rFonts w:eastAsia="Courier New" w:cs="Times New Roman"/>
          <w:color w:val="000000"/>
          <w:kern w:val="0"/>
          <w:sz w:val="24"/>
          <w:szCs w:val="24"/>
          <w:shd w:fill="auto" w:val="clear"/>
          <w:lang w:val="ru-RU" w:eastAsia="ru-RU" w:bidi="ar-SA"/>
        </w:rPr>
        <w:t xml:space="preserve">Стоимость мероприятий по Концессионному соглашению за весь период действия составляет </w:t>
        <w:br/>
        <w:t>8 084 346 000 (Восемь миллиардов восемьдесят четыре миллиона триста сорок шесть тысяч) рублей 00 копеек без учета НДС, при этом НДС исчисляется дополнительно по ставке, установленной статьей 164 Налогового кодекса Российской Федерации.</w:t>
      </w:r>
    </w:p>
    <w:p>
      <w:pPr>
        <w:pStyle w:val="Normal"/>
        <w:jc w:val="both"/>
        <w:rPr>
          <w:rFonts w:ascii="Times New Roman" w:hAnsi="Times New Roman" w:eastAsia="Courier New" w:cs="Times New Roman"/>
          <w:color w:val="000000"/>
          <w:kern w:val="0"/>
          <w:sz w:val="24"/>
          <w:szCs w:val="24"/>
          <w:shd w:fill="auto" w:val="clear"/>
          <w:lang w:val="ru-RU" w:eastAsia="ru-RU" w:bidi="ar-SA"/>
        </w:rPr>
      </w:pPr>
      <w:r>
        <w:rPr>
          <w:rFonts w:eastAsia="Courier New" w:cs="Times New Roman"/>
          <w:color w:val="000000"/>
          <w:kern w:val="0"/>
          <w:sz w:val="24"/>
          <w:szCs w:val="24"/>
          <w:shd w:fill="auto" w:val="clear"/>
          <w:lang w:val="ru-RU" w:eastAsia="ru-RU" w:bidi="ar-SA"/>
        </w:rPr>
        <w:t>Концессионная плата по Концессионному соглашению не устанавливается.</w:t>
      </w:r>
    </w:p>
    <w:p>
      <w:pPr>
        <w:pStyle w:val="Normal"/>
        <w:jc w:val="both"/>
        <w:rPr>
          <w:rFonts w:ascii="Times New Roman" w:hAnsi="Times New Roman" w:eastAsia="Courier New" w:cs="Times New Roman"/>
          <w:color w:val="000000"/>
          <w:kern w:val="0"/>
          <w:sz w:val="24"/>
          <w:szCs w:val="24"/>
          <w:shd w:fill="auto" w:val="clear"/>
          <w:lang w:val="ru-RU" w:eastAsia="ru-RU" w:bidi="ar-SA"/>
        </w:rPr>
      </w:pPr>
      <w:r>
        <w:rPr>
          <w:rFonts w:eastAsia="Courier New" w:cs="Times New Roman"/>
          <w:color w:val="000000"/>
          <w:kern w:val="0"/>
          <w:sz w:val="24"/>
          <w:szCs w:val="24"/>
          <w:shd w:fill="auto" w:val="clear"/>
          <w:lang w:val="ru-RU" w:eastAsia="ru-RU" w:bidi="ar-SA"/>
        </w:rPr>
      </w:r>
    </w:p>
    <w:p>
      <w:pPr>
        <w:pStyle w:val="ListParagraph"/>
        <w:shd w:val="clear" w:color="auto" w:fill="FFFFFF"/>
        <w:tabs>
          <w:tab w:val="clear" w:pos="720"/>
          <w:tab w:val="left" w:pos="426" w:leader="none"/>
        </w:tabs>
        <w:ind w:left="0" w:hanging="0"/>
        <w:jc w:val="both"/>
        <w:rPr/>
      </w:pPr>
      <w:r>
        <w:rPr>
          <w:color w:val="000000"/>
        </w:rPr>
        <w:t xml:space="preserve">Процентное соотношение цены Соглашения к балансовой стоимости активов: </w:t>
      </w:r>
      <w:r>
        <w:rPr>
          <w:color w:val="000000"/>
        </w:rPr>
        <w:t>19,95</w:t>
      </w:r>
      <w:r>
        <w:rPr>
          <w:color w:val="000000"/>
          <w:shd w:fill="auto" w:val="clear"/>
        </w:rPr>
        <w:t xml:space="preserve"> %.</w:t>
      </w:r>
    </w:p>
    <w:p>
      <w:pPr>
        <w:pStyle w:val="Normal"/>
        <w:jc w:val="both"/>
        <w:rPr/>
      </w:pPr>
      <w:r>
        <w:rPr/>
      </w:r>
    </w:p>
    <w:p>
      <w:pPr>
        <w:pStyle w:val="Normal"/>
        <w:jc w:val="both"/>
        <w:rPr/>
      </w:pPr>
      <w:r>
        <w:rPr>
          <w:color w:val="000000"/>
          <w:sz w:val="24"/>
          <w:szCs w:val="24"/>
        </w:rPr>
        <w:t>2.8. Стоимость активов, определенная по данным консолидированной финансовой отчетности эмитента, на последнюю отчетную дату (дату окончания последнего завершенного отчетного периода, предшествующего дате совершения сделки): 49 449 000 000 рублей (на 31.12.2025).</w:t>
      </w:r>
    </w:p>
    <w:p>
      <w:pPr>
        <w:pStyle w:val="Normal"/>
        <w:jc w:val="both"/>
        <w:rPr>
          <w:sz w:val="12"/>
          <w:szCs w:val="12"/>
        </w:rPr>
      </w:pPr>
      <w:r>
        <w:rPr>
          <w:sz w:val="12"/>
          <w:szCs w:val="12"/>
        </w:rPr>
      </w:r>
    </w:p>
    <w:p>
      <w:pPr>
        <w:pStyle w:val="Normal"/>
        <w:jc w:val="both"/>
        <w:rPr/>
      </w:pPr>
      <w:r>
        <w:rPr>
          <w:color w:val="000000"/>
          <w:sz w:val="24"/>
          <w:szCs w:val="24"/>
        </w:rPr>
        <w:t>2.9. Дата совершения существенной сделки (Дата заключения Соглашения): 2</w:t>
      </w:r>
      <w:r>
        <w:rPr>
          <w:color w:val="000000"/>
          <w:sz w:val="24"/>
          <w:szCs w:val="24"/>
        </w:rPr>
        <w:t>9</w:t>
      </w:r>
      <w:r>
        <w:rPr>
          <w:color w:val="000000"/>
          <w:sz w:val="24"/>
          <w:szCs w:val="24"/>
        </w:rPr>
        <w:t>.04.2026.</w:t>
      </w:r>
    </w:p>
    <w:p>
      <w:pPr>
        <w:pStyle w:val="Normal"/>
        <w:jc w:val="both"/>
        <w:rPr>
          <w:sz w:val="12"/>
          <w:szCs w:val="12"/>
        </w:rPr>
      </w:pPr>
      <w:r>
        <w:rPr>
          <w:sz w:val="12"/>
          <w:szCs w:val="12"/>
        </w:rPr>
      </w:r>
    </w:p>
    <w:p>
      <w:pPr>
        <w:pStyle w:val="Normal"/>
        <w:jc w:val="both"/>
        <w:rPr/>
      </w:pPr>
      <w:r>
        <w:rPr>
          <w:color w:val="000000"/>
          <w:sz w:val="24"/>
          <w:szCs w:val="24"/>
        </w:rPr>
        <w:t>2.10. Сведения о принятии решения о согласии на совершение или о последующем одобрении существенной сделки в случае, когда указанное решение было принято уполномоченным органом управления эмитента (наименование органа управления организации, принявшего решение о согласии на совершение или о последующем одобрении существенной сделки, дата принятия решения, дата составления и номер протокола собрания (заседания) органа управления организации, на котором принято указанное решение, если оно принималось коллегиальным органом управления организации), или указание на то, что решение о согласии на совершение или о последующем одобрении существенной сделки принималось.</w:t>
      </w:r>
    </w:p>
    <w:p>
      <w:pPr>
        <w:pStyle w:val="Normal"/>
        <w:jc w:val="both"/>
        <w:rPr/>
      </w:pPr>
      <w:r>
        <w:rPr>
          <w:color w:val="000000"/>
          <w:sz w:val="24"/>
          <w:szCs w:val="24"/>
        </w:rPr>
        <w:t>С</w:t>
      </w:r>
      <w:r>
        <w:rPr>
          <w:color w:val="000000"/>
          <w:sz w:val="24"/>
          <w:szCs w:val="24"/>
        </w:rPr>
        <w:t xml:space="preserve">овет директоров ПАО «Камчатскэнерго» </w:t>
      </w:r>
      <w:r>
        <w:rPr>
          <w:color w:val="000000"/>
          <w:sz w:val="24"/>
          <w:szCs w:val="24"/>
        </w:rPr>
        <w:t>от 26.03.26 протокол №14</w:t>
      </w:r>
      <w:r>
        <w:rPr>
          <w:color w:val="000000"/>
          <w:sz w:val="24"/>
          <w:szCs w:val="24"/>
        </w:rPr>
        <w:t>.</w:t>
      </w:r>
    </w:p>
    <w:p>
      <w:pPr>
        <w:pStyle w:val="Normal"/>
        <w:jc w:val="center"/>
        <w:rPr/>
      </w:pPr>
      <w:r>
        <w:rPr>
          <w:b/>
          <w:sz w:val="23"/>
          <w:szCs w:val="23"/>
        </w:rPr>
        <w:t>3.</w:t>
        <w:tab/>
        <w:t>Подпись.</w:t>
      </w:r>
    </w:p>
    <w:p>
      <w:pPr>
        <w:pStyle w:val="Normal"/>
        <w:widowControl w:val="false"/>
        <w:ind w:left="0" w:right="0" w:firstLine="6"/>
        <w:jc w:val="both"/>
        <w:rPr/>
      </w:pPr>
      <w:r>
        <w:rPr>
          <w:sz w:val="24"/>
          <w:szCs w:val="24"/>
        </w:rPr>
        <w:t xml:space="preserve">Начальник </w:t>
      </w:r>
    </w:p>
    <w:p>
      <w:pPr>
        <w:pStyle w:val="Normal"/>
        <w:widowControl w:val="false"/>
        <w:ind w:left="0" w:right="0" w:firstLine="6"/>
        <w:jc w:val="both"/>
        <w:rPr/>
      </w:pPr>
      <w:r>
        <w:rPr>
          <w:sz w:val="24"/>
          <w:szCs w:val="24"/>
        </w:rPr>
        <w:t xml:space="preserve">Управления корпоративной работы </w:t>
      </w:r>
    </w:p>
    <w:p>
      <w:pPr>
        <w:pStyle w:val="Normal"/>
        <w:widowControl w:val="false"/>
        <w:ind w:left="0" w:right="0" w:firstLine="6"/>
        <w:jc w:val="both"/>
        <w:rPr/>
      </w:pPr>
      <w:r>
        <w:rPr>
          <w:sz w:val="24"/>
          <w:szCs w:val="24"/>
        </w:rPr>
        <w:t>и имущественных отношений ПАО «Камчатскэнерго»</w:t>
        <w:tab/>
        <w:tab/>
        <w:tab/>
        <w:tab/>
        <w:t xml:space="preserve">     К.С. Живодуева</w:t>
      </w:r>
    </w:p>
    <w:p>
      <w:pPr>
        <w:pStyle w:val="Normal"/>
        <w:widowControl w:val="false"/>
        <w:ind w:left="0" w:right="0" w:firstLine="6"/>
        <w:jc w:val="both"/>
        <w:rPr/>
      </w:pPr>
      <w:r>
        <w:rPr>
          <w:sz w:val="24"/>
          <w:szCs w:val="24"/>
        </w:rPr>
        <w:t>(по доверенности от 12.03.2026 № КЭ-18-18-26/323Д)</w:t>
      </w:r>
    </w:p>
    <w:p>
      <w:pPr>
        <w:pStyle w:val="Normal"/>
        <w:widowControl w:val="false"/>
        <w:ind w:left="0" w:right="0" w:hanging="0"/>
        <w:jc w:val="both"/>
        <w:rPr>
          <w:sz w:val="16"/>
          <w:szCs w:val="16"/>
        </w:rPr>
      </w:pPr>
      <w:r>
        <w:rPr>
          <w:sz w:val="16"/>
          <w:szCs w:val="16"/>
        </w:rPr>
      </w:r>
    </w:p>
    <w:p>
      <w:pPr>
        <w:pStyle w:val="Normal"/>
        <w:widowControl w:val="false"/>
        <w:ind w:left="0" w:right="0" w:hanging="0"/>
        <w:jc w:val="both"/>
        <w:rPr/>
      </w:pPr>
      <w:r>
        <w:rPr>
          <w:sz w:val="24"/>
          <w:szCs w:val="24"/>
        </w:rPr>
        <w:t>3.2. Дата.</w:t>
      </w:r>
      <w:r>
        <w:rPr>
          <w:rStyle w:val="Strong"/>
          <w:rFonts w:eastAsia="Symbol"/>
          <w:b w:val="false"/>
        </w:rPr>
        <w:t>«</w:t>
      </w:r>
      <w:r>
        <w:rPr>
          <w:rStyle w:val="Strong"/>
          <w:rFonts w:eastAsia="Symbol"/>
          <w:b w:val="false"/>
        </w:rPr>
        <w:t>30</w:t>
      </w:r>
      <w:r>
        <w:rPr>
          <w:rStyle w:val="Strong"/>
          <w:rFonts w:eastAsia="Symbol"/>
          <w:b w:val="false"/>
        </w:rPr>
        <w:t>» апреля 2026 г.</w:t>
      </w:r>
    </w:p>
    <w:sectPr>
      <w:headerReference w:type="default" r:id="rId4"/>
      <w:type w:val="nextPage"/>
      <w:pgSz w:w="11906" w:h="16838"/>
      <w:pgMar w:left="805" w:right="560" w:gutter="0" w:header="245" w:top="409" w:footer="0" w:bottom="39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Times New Roman">
    <w:charset w:val="01"/>
    <w:family w:val="roman"/>
    <w:pitch w:val="default"/>
  </w:font>
  <w:font w:name="Arial">
    <w:charset w:val="01"/>
    <w:family w:val="roman"/>
    <w:pitch w:val="default"/>
  </w:font>
  <w:font w:name="Cambria">
    <w:charset w:val="01"/>
    <w:family w:val="roman"/>
    <w:pitch w:val="default"/>
  </w:font>
  <w:font w:name="Calibri">
    <w:charset w:val="01"/>
    <w:family w:val="roman"/>
    <w:pitch w:val="default"/>
  </w:font>
  <w:font w:name="Tahoma">
    <w:charset w:val="01"/>
    <w:family w:val="roman"/>
    <w:pitch w:val="default"/>
  </w:font>
  <w:font w:name="Symbol">
    <w:charset w:val="01"/>
    <w:family w:val="roman"/>
    <w:pitch w:val="default"/>
  </w:font>
  <w:font w:name="OpenSymbol">
    <w:altName w:val="Arial Unicode MS"/>
    <w:charset w:val="02"/>
    <w:family w:val="auto"/>
    <w:pitch w:val="default"/>
  </w:font>
  <w:font w:name="Courier New">
    <w:charset w:val="01"/>
    <w:family w:val="roman"/>
    <w:pitch w:val="default"/>
  </w:font>
  <w:font w:name="Verdana">
    <w:charset w:val="01"/>
    <w:family w:val="roman"/>
    <w:pitch w:val="default"/>
  </w:font>
  <w:font w:name="Symbol">
    <w:charset w:val="02"/>
    <w:family w:val="auto"/>
    <w:pitch w:val="default"/>
  </w:font>
  <w:font w:name="OpenSymbol">
    <w:altName w:val="Arial Unicode MS"/>
    <w:charset w:val="01"/>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1"/>
      <w:jc w:val="right"/>
      <w:rPr>
        <w:sz w:val="14"/>
        <w:szCs w:val="14"/>
      </w:rPr>
    </w:pPr>
    <w:r>
      <w:rPr>
        <w:sz w:val="14"/>
        <w:szCs w:val="14"/>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10"/>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PT Astra Serif" w:hAnsi="PT Astra Serif" w:eastAsia="Tahoma" w:cs="Noto Sans Devanagari"/>
        <w:sz w:val="24"/>
        <w:szCs w:val="24"/>
        <w:lang w:val="ru-RU" w:eastAsia="zh-CN" w:bidi="hi-IN"/>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Times New Roman" w:hAnsi="Times New Roman" w:eastAsia="Courier New" w:cs="Times New Roman"/>
      <w:color w:val="auto"/>
      <w:kern w:val="0"/>
      <w:sz w:val="20"/>
      <w:szCs w:val="20"/>
      <w:lang w:val="ru-RU" w:eastAsia="ru-RU" w:bidi="ar-SA"/>
    </w:rPr>
  </w:style>
  <w:style w:type="paragraph" w:styleId="1">
    <w:name w:val="Heading 1"/>
    <w:basedOn w:val="Normal"/>
    <w:qFormat/>
    <w:pPr>
      <w:keepNext w:val="true"/>
      <w:ind w:right="-1" w:hanging="0"/>
      <w:outlineLvl w:val="0"/>
    </w:pPr>
    <w:rPr>
      <w:sz w:val="26"/>
      <w:szCs w:val="26"/>
    </w:rPr>
  </w:style>
  <w:style w:type="paragraph" w:styleId="2">
    <w:name w:val="Heading 2"/>
    <w:basedOn w:val="Normal"/>
    <w:qFormat/>
    <w:pPr>
      <w:keepNext w:val="true"/>
      <w:outlineLvl w:val="1"/>
    </w:pPr>
    <w:rPr>
      <w:sz w:val="26"/>
      <w:szCs w:val="26"/>
    </w:rPr>
  </w:style>
  <w:style w:type="paragraph" w:styleId="3">
    <w:name w:val="Heading 3"/>
    <w:basedOn w:val="Normal"/>
    <w:qFormat/>
    <w:pPr>
      <w:keepNext w:val="true"/>
      <w:tabs>
        <w:tab w:val="clear" w:pos="720"/>
        <w:tab w:val="left" w:pos="2977" w:leader="none"/>
      </w:tabs>
      <w:ind w:left="-426" w:hanging="0"/>
      <w:outlineLvl w:val="2"/>
    </w:pPr>
    <w:rPr>
      <w:b/>
      <w:bCs/>
      <w:sz w:val="28"/>
      <w:szCs w:val="28"/>
      <w:lang w:val="en-US"/>
    </w:rPr>
  </w:style>
  <w:style w:type="paragraph" w:styleId="4">
    <w:name w:val="Heading 4"/>
    <w:basedOn w:val="Normal"/>
    <w:uiPriority w:val="9"/>
    <w:unhideWhenUsed/>
    <w:qFormat/>
    <w:pPr>
      <w:keepNext w:val="true"/>
      <w:keepLines/>
      <w:spacing w:before="320" w:after="200"/>
      <w:outlineLvl w:val="3"/>
    </w:pPr>
    <w:rPr>
      <w:rFonts w:ascii="Arial" w:hAnsi="Arial" w:eastAsia="Arial" w:cs="Arial"/>
      <w:b/>
      <w:bCs/>
      <w:sz w:val="26"/>
      <w:szCs w:val="26"/>
    </w:rPr>
  </w:style>
  <w:style w:type="paragraph" w:styleId="5">
    <w:name w:val="Heading 5"/>
    <w:basedOn w:val="Normal"/>
    <w:uiPriority w:val="9"/>
    <w:unhideWhenUsed/>
    <w:qFormat/>
    <w:pPr>
      <w:keepNext w:val="true"/>
      <w:keepLines/>
      <w:spacing w:before="320" w:after="200"/>
      <w:outlineLvl w:val="4"/>
    </w:pPr>
    <w:rPr>
      <w:rFonts w:ascii="Arial" w:hAnsi="Arial" w:eastAsia="Arial" w:cs="Arial"/>
      <w:b/>
      <w:bCs/>
      <w:sz w:val="24"/>
      <w:szCs w:val="24"/>
    </w:rPr>
  </w:style>
  <w:style w:type="paragraph" w:styleId="6">
    <w:name w:val="Heading 6"/>
    <w:basedOn w:val="Normal"/>
    <w:uiPriority w:val="9"/>
    <w:unhideWhenUsed/>
    <w:qFormat/>
    <w:pPr>
      <w:keepNext w:val="true"/>
      <w:keepLines/>
      <w:spacing w:before="320" w:after="200"/>
      <w:outlineLvl w:val="5"/>
    </w:pPr>
    <w:rPr>
      <w:rFonts w:ascii="Arial" w:hAnsi="Arial" w:eastAsia="Arial" w:cs="Arial"/>
      <w:b/>
      <w:bCs/>
      <w:sz w:val="22"/>
      <w:szCs w:val="22"/>
    </w:rPr>
  </w:style>
  <w:style w:type="paragraph" w:styleId="7">
    <w:name w:val="Heading 7"/>
    <w:basedOn w:val="Normal"/>
    <w:qFormat/>
    <w:pPr>
      <w:keepNext w:val="true"/>
      <w:ind w:left="-567" w:right="-70" w:hanging="0"/>
      <w:jc w:val="both"/>
      <w:outlineLvl w:val="6"/>
    </w:pPr>
    <w:rPr>
      <w:i/>
      <w:iCs/>
      <w:sz w:val="26"/>
      <w:szCs w:val="26"/>
    </w:rPr>
  </w:style>
  <w:style w:type="paragraph" w:styleId="8">
    <w:name w:val="Heading 8"/>
    <w:basedOn w:val="Normal"/>
    <w:uiPriority w:val="9"/>
    <w:unhideWhenUsed/>
    <w:qFormat/>
    <w:pPr>
      <w:keepNext w:val="true"/>
      <w:keepLines/>
      <w:spacing w:before="320" w:after="200"/>
      <w:outlineLvl w:val="7"/>
    </w:pPr>
    <w:rPr>
      <w:rFonts w:ascii="Arial" w:hAnsi="Arial" w:eastAsia="Arial" w:cs="Arial"/>
      <w:i/>
      <w:iCs/>
      <w:sz w:val="22"/>
      <w:szCs w:val="22"/>
    </w:rPr>
  </w:style>
  <w:style w:type="paragraph" w:styleId="9">
    <w:name w:val="Heading 9"/>
    <w:basedOn w:val="Normal"/>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Pr>
      <w:rFonts w:ascii="Arial" w:hAnsi="Arial" w:eastAsia="Arial" w:cs="Arial"/>
      <w:sz w:val="40"/>
      <w:szCs w:val="40"/>
    </w:rPr>
  </w:style>
  <w:style w:type="character" w:styleId="Heading2Char" w:customStyle="1">
    <w:name w:val="Heading 2 Char"/>
    <w:basedOn w:val="DefaultParagraphFont"/>
    <w:uiPriority w:val="9"/>
    <w:qFormat/>
    <w:rPr>
      <w:rFonts w:ascii="Arial" w:hAnsi="Arial" w:eastAsia="Arial" w:cs="Arial"/>
      <w:sz w:val="34"/>
    </w:rPr>
  </w:style>
  <w:style w:type="character" w:styleId="Heading3Char" w:customStyle="1">
    <w:name w:val="Heading 3 Char"/>
    <w:basedOn w:val="DefaultParagraphFont"/>
    <w:uiPriority w:val="9"/>
    <w:qFormat/>
    <w:rPr>
      <w:rFonts w:ascii="Arial" w:hAnsi="Arial" w:eastAsia="Arial" w:cs="Arial"/>
      <w:sz w:val="30"/>
      <w:szCs w:val="30"/>
    </w:rPr>
  </w:style>
  <w:style w:type="character" w:styleId="Heading4Char" w:customStyle="1">
    <w:name w:val="Heading 4 Char"/>
    <w:basedOn w:val="DefaultParagraphFont"/>
    <w:uiPriority w:val="9"/>
    <w:qFormat/>
    <w:rPr>
      <w:rFonts w:ascii="Arial" w:hAnsi="Arial" w:eastAsia="Arial" w:cs="Arial"/>
      <w:b/>
      <w:bCs/>
      <w:sz w:val="26"/>
      <w:szCs w:val="26"/>
    </w:rPr>
  </w:style>
  <w:style w:type="character" w:styleId="Heading5Char" w:customStyle="1">
    <w:name w:val="Heading 5 Char"/>
    <w:basedOn w:val="DefaultParagraphFont"/>
    <w:uiPriority w:val="9"/>
    <w:qFormat/>
    <w:rPr>
      <w:rFonts w:ascii="Arial" w:hAnsi="Arial" w:eastAsia="Arial" w:cs="Arial"/>
      <w:b/>
      <w:bCs/>
      <w:sz w:val="24"/>
      <w:szCs w:val="24"/>
    </w:rPr>
  </w:style>
  <w:style w:type="character" w:styleId="Heading6Char" w:customStyle="1">
    <w:name w:val="Heading 6 Char"/>
    <w:basedOn w:val="DefaultParagraphFont"/>
    <w:uiPriority w:val="9"/>
    <w:qFormat/>
    <w:rPr>
      <w:rFonts w:ascii="Arial" w:hAnsi="Arial" w:eastAsia="Arial" w:cs="Arial"/>
      <w:b/>
      <w:bCs/>
      <w:sz w:val="22"/>
      <w:szCs w:val="22"/>
    </w:rPr>
  </w:style>
  <w:style w:type="character" w:styleId="Heading7Char" w:customStyle="1">
    <w:name w:val="Heading 7 Char"/>
    <w:basedOn w:val="DefaultParagraphFont"/>
    <w:uiPriority w:val="9"/>
    <w:qFormat/>
    <w:rPr>
      <w:rFonts w:ascii="Arial" w:hAnsi="Arial" w:eastAsia="Arial" w:cs="Arial"/>
      <w:b/>
      <w:bCs/>
      <w:i/>
      <w:iCs/>
      <w:sz w:val="22"/>
      <w:szCs w:val="22"/>
    </w:rPr>
  </w:style>
  <w:style w:type="character" w:styleId="Heading8Char" w:customStyle="1">
    <w:name w:val="Heading 8 Char"/>
    <w:basedOn w:val="DefaultParagraphFont"/>
    <w:uiPriority w:val="9"/>
    <w:qFormat/>
    <w:rPr>
      <w:rFonts w:ascii="Arial" w:hAnsi="Arial" w:eastAsia="Arial" w:cs="Arial"/>
      <w:i/>
      <w:iCs/>
      <w:sz w:val="22"/>
      <w:szCs w:val="22"/>
    </w:rPr>
  </w:style>
  <w:style w:type="character" w:styleId="Heading9Char" w:customStyle="1">
    <w:name w:val="Heading 9 Char"/>
    <w:basedOn w:val="DefaultParagraphFont"/>
    <w:uiPriority w:val="9"/>
    <w:qFormat/>
    <w:rPr>
      <w:rFonts w:ascii="Arial" w:hAnsi="Arial" w:eastAsia="Arial" w:cs="Arial"/>
      <w:i/>
      <w:iCs/>
      <w:sz w:val="21"/>
      <w:szCs w:val="21"/>
    </w:rPr>
  </w:style>
  <w:style w:type="character" w:styleId="TitleChar" w:customStyle="1">
    <w:name w:val="Title Char"/>
    <w:basedOn w:val="DefaultParagraphFont"/>
    <w:uiPriority w:val="10"/>
    <w:qFormat/>
    <w:rPr>
      <w:sz w:val="48"/>
      <w:szCs w:val="48"/>
    </w:rPr>
  </w:style>
  <w:style w:type="character" w:styleId="SubtitleChar" w:customStyle="1">
    <w:name w:val="Subtitle Char"/>
    <w:basedOn w:val="DefaultParagraphFont"/>
    <w:uiPriority w:val="11"/>
    <w:qFormat/>
    <w:rPr>
      <w:sz w:val="24"/>
      <w:szCs w:val="24"/>
    </w:rPr>
  </w:style>
  <w:style w:type="character" w:styleId="QuoteChar" w:customStyle="1">
    <w:name w:val="Quote Char"/>
    <w:uiPriority w:val="29"/>
    <w:qFormat/>
    <w:rPr>
      <w:i/>
    </w:rPr>
  </w:style>
  <w:style w:type="character" w:styleId="IntenseQuoteChar" w:customStyle="1">
    <w:name w:val="Intense Quote Char"/>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FootnoteTextChar" w:customStyle="1">
    <w:name w:val="Footnote Text Char"/>
    <w:uiPriority w:val="99"/>
    <w:qFormat/>
    <w:rPr>
      <w:sz w:val="18"/>
    </w:rPr>
  </w:style>
  <w:style w:type="character" w:styleId="Style5" w:customStyle="1">
    <w:name w:val="Символ сноски"/>
    <w:uiPriority w:val="99"/>
    <w:unhideWhenUsed/>
    <w:qFormat/>
    <w:rPr>
      <w:vertAlign w:val="superscript"/>
    </w:rPr>
  </w:style>
  <w:style w:type="character" w:styleId="Style6">
    <w:name w:val="Footnote Reference"/>
    <w:rPr>
      <w:vertAlign w:val="superscript"/>
    </w:rPr>
  </w:style>
  <w:style w:type="character" w:styleId="EndnoteTextChar" w:customStyle="1">
    <w:name w:val="Endnote Text Char"/>
    <w:uiPriority w:val="99"/>
    <w:qFormat/>
    <w:rPr>
      <w:sz w:val="20"/>
    </w:rPr>
  </w:style>
  <w:style w:type="character" w:styleId="Style7" w:customStyle="1">
    <w:name w:val="Символ концевой сноски"/>
    <w:uiPriority w:val="99"/>
    <w:semiHidden/>
    <w:unhideWhenUsed/>
    <w:qFormat/>
    <w:rPr>
      <w:vertAlign w:val="superscript"/>
    </w:rPr>
  </w:style>
  <w:style w:type="character" w:styleId="Style8">
    <w:name w:val="Endnote Reference"/>
    <w:rPr>
      <w:vertAlign w:val="superscript"/>
    </w:rPr>
  </w:style>
  <w:style w:type="character" w:styleId="11" w:customStyle="1">
    <w:name w:val="Заголовок 1 Знак"/>
    <w:basedOn w:val="DefaultParagraphFont"/>
    <w:qFormat/>
    <w:rPr>
      <w:rFonts w:ascii="Cambria" w:hAnsi="Cambria" w:eastAsia="Times New Roman"/>
      <w:b/>
      <w:bCs/>
      <w:color w:val="000000"/>
      <w:sz w:val="32"/>
      <w:szCs w:val="32"/>
    </w:rPr>
  </w:style>
  <w:style w:type="character" w:styleId="21" w:customStyle="1">
    <w:name w:val="Заголовок 2 Знак"/>
    <w:basedOn w:val="DefaultParagraphFont"/>
    <w:qFormat/>
    <w:rPr>
      <w:rFonts w:ascii="Cambria" w:hAnsi="Cambria" w:eastAsia="Times New Roman"/>
      <w:b/>
      <w:bCs/>
      <w:i/>
      <w:iCs/>
      <w:color w:val="000000"/>
      <w:sz w:val="28"/>
      <w:szCs w:val="28"/>
    </w:rPr>
  </w:style>
  <w:style w:type="character" w:styleId="31" w:customStyle="1">
    <w:name w:val="Заголовок 3 Знак"/>
    <w:basedOn w:val="DefaultParagraphFont"/>
    <w:qFormat/>
    <w:rPr>
      <w:rFonts w:ascii="Cambria" w:hAnsi="Cambria" w:eastAsia="Times New Roman"/>
      <w:b/>
      <w:bCs/>
      <w:color w:val="000000"/>
      <w:sz w:val="26"/>
      <w:szCs w:val="26"/>
    </w:rPr>
  </w:style>
  <w:style w:type="character" w:styleId="71" w:customStyle="1">
    <w:name w:val="Заголовок 7 Знак"/>
    <w:basedOn w:val="DefaultParagraphFont"/>
    <w:qFormat/>
    <w:rPr>
      <w:rFonts w:ascii="Calibri" w:hAnsi="Calibri" w:eastAsia="Times New Roman"/>
      <w:color w:val="000000"/>
      <w:sz w:val="24"/>
      <w:szCs w:val="24"/>
    </w:rPr>
  </w:style>
  <w:style w:type="character" w:styleId="Style9" w:customStyle="1">
    <w:name w:val="Текст выноски Знак"/>
    <w:basedOn w:val="DefaultParagraphFont"/>
    <w:qFormat/>
    <w:rPr>
      <w:rFonts w:ascii="Tahoma" w:hAnsi="Tahoma" w:eastAsia="Times New Roman" w:cs="Tahoma"/>
      <w:color w:val="000000"/>
      <w:sz w:val="16"/>
      <w:szCs w:val="16"/>
    </w:rPr>
  </w:style>
  <w:style w:type="character" w:styleId="Style10" w:customStyle="1">
    <w:name w:val="Верхний колонтитул Знак"/>
    <w:basedOn w:val="DefaultParagraphFont"/>
    <w:qFormat/>
    <w:rPr>
      <w:rFonts w:eastAsia="Times New Roman"/>
      <w:color w:val="000000"/>
      <w:sz w:val="24"/>
      <w:szCs w:val="24"/>
    </w:rPr>
  </w:style>
  <w:style w:type="character" w:styleId="Style11" w:customStyle="1">
    <w:name w:val="Нижний колонтитул Знак"/>
    <w:basedOn w:val="DefaultParagraphFont"/>
    <w:qFormat/>
    <w:rPr>
      <w:rFonts w:eastAsia="Times New Roman"/>
      <w:color w:val="000000"/>
      <w:sz w:val="24"/>
      <w:szCs w:val="24"/>
    </w:rPr>
  </w:style>
  <w:style w:type="character" w:styleId="SUBST" w:customStyle="1">
    <w:name w:val="__SUBST"/>
    <w:qFormat/>
    <w:rPr>
      <w:b/>
      <w:i/>
      <w:sz w:val="22"/>
    </w:rPr>
  </w:style>
  <w:style w:type="character" w:styleId="-">
    <w:name w:val="Hyperlink"/>
    <w:basedOn w:val="DefaultParagraphFont"/>
    <w:rPr>
      <w:rFonts w:ascii="Times New Roman" w:hAnsi="Times New Roman" w:eastAsia="Times New Roman"/>
      <w:color w:val="0000FF"/>
      <w:sz w:val="24"/>
      <w:szCs w:val="24"/>
      <w:u w:val="single"/>
    </w:rPr>
  </w:style>
  <w:style w:type="character" w:styleId="1IniiaiieoaenoCiae1oaenooaaeeouIiaienu1" w:customStyle="1">
    <w:name w:val="Основной текст Знак1;Основной текст Знак Знак;Iniiaiie oaeno Ciae Знак;Îñíîâíîé òåêñò Çíàê Знак;Îñíîâíîé òåêñò Çíàê Çíàê Çíàê Çíàê Çíàê Çíàê Знак;òåêñò òàáëèöû Знак;Øàáëîí äëÿ îò÷åòîâ ïî îöåíêå Знак;Ïîäïèñü1 Знак;oaeno oaaeeou Знак;Iiaienu1 Знак"/>
    <w:basedOn w:val="DefaultParagraphFont"/>
    <w:qFormat/>
    <w:rPr>
      <w:rFonts w:eastAsia="Times New Roman"/>
      <w:color w:val="000000"/>
      <w:sz w:val="24"/>
      <w:szCs w:val="24"/>
    </w:rPr>
  </w:style>
  <w:style w:type="character" w:styleId="Strong">
    <w:name w:val="Strong"/>
    <w:basedOn w:val="DefaultParagraphFont"/>
    <w:qFormat/>
    <w:rPr>
      <w:rFonts w:ascii="Times New Roman" w:hAnsi="Times New Roman" w:eastAsia="Times New Roman"/>
      <w:b/>
      <w:bCs/>
      <w:color w:val="000000"/>
      <w:sz w:val="24"/>
      <w:szCs w:val="24"/>
    </w:rPr>
  </w:style>
  <w:style w:type="character" w:styleId="Style12" w:customStyle="1">
    <w:name w:val="Основной текст с отступом Знак"/>
    <w:basedOn w:val="DefaultParagraphFont"/>
    <w:qFormat/>
    <w:rPr>
      <w:rFonts w:eastAsia="Times New Roman"/>
      <w:color w:val="000000"/>
      <w:sz w:val="24"/>
      <w:szCs w:val="24"/>
    </w:rPr>
  </w:style>
  <w:style w:type="character" w:styleId="2Char" w:customStyle="1">
    <w:name w:val="Основной текст 2 Знак;Char Знак"/>
    <w:basedOn w:val="DefaultParagraphFont"/>
    <w:qFormat/>
    <w:rPr>
      <w:rFonts w:eastAsia="Times New Roman"/>
      <w:color w:val="000000"/>
      <w:sz w:val="24"/>
      <w:szCs w:val="24"/>
    </w:rPr>
  </w:style>
  <w:style w:type="character" w:styleId="32" w:customStyle="1">
    <w:name w:val="Основной текст 3 Знак"/>
    <w:basedOn w:val="DefaultParagraphFont"/>
    <w:qFormat/>
    <w:rPr>
      <w:rFonts w:eastAsia="Times New Roman"/>
      <w:color w:val="000000"/>
      <w:sz w:val="16"/>
      <w:szCs w:val="16"/>
    </w:rPr>
  </w:style>
  <w:style w:type="character" w:styleId="22" w:customStyle="1">
    <w:name w:val="Основной текст с отступом 2 Знак"/>
    <w:basedOn w:val="DefaultParagraphFont"/>
    <w:qFormat/>
    <w:rPr>
      <w:rFonts w:eastAsia="Times New Roman"/>
      <w:color w:val="000000"/>
      <w:sz w:val="24"/>
      <w:szCs w:val="24"/>
    </w:rPr>
  </w:style>
  <w:style w:type="character" w:styleId="33" w:customStyle="1">
    <w:name w:val="Основной текст с отступом 3 Знак"/>
    <w:basedOn w:val="DefaultParagraphFont"/>
    <w:qFormat/>
    <w:rPr>
      <w:rFonts w:eastAsia="Times New Roman"/>
      <w:color w:val="000000"/>
      <w:sz w:val="16"/>
      <w:szCs w:val="16"/>
    </w:rPr>
  </w:style>
  <w:style w:type="character" w:styleId="Style13">
    <w:name w:val="Emphasis"/>
    <w:basedOn w:val="DefaultParagraphFont"/>
    <w:qFormat/>
    <w:rPr>
      <w:rFonts w:eastAsia="Times New Roman"/>
      <w:i/>
      <w:iCs/>
      <w:color w:val="000000"/>
      <w:sz w:val="24"/>
      <w:szCs w:val="24"/>
    </w:rPr>
  </w:style>
  <w:style w:type="character" w:styleId="Style14" w:customStyle="1">
    <w:name w:val="Заголовок Знак"/>
    <w:basedOn w:val="DefaultParagraphFont"/>
    <w:qFormat/>
    <w:rPr>
      <w:rFonts w:eastAsia="Times New Roman"/>
      <w:b/>
      <w:color w:val="000000"/>
      <w:sz w:val="28"/>
      <w:szCs w:val="24"/>
    </w:rPr>
  </w:style>
  <w:style w:type="character" w:styleId="111" w:customStyle="1">
    <w:name w:val="Знак Знак11"/>
    <w:basedOn w:val="DefaultParagraphFont"/>
    <w:qFormat/>
    <w:rPr>
      <w:rFonts w:eastAsia="Times New Roman"/>
      <w:b/>
      <w:color w:val="000000"/>
      <w:sz w:val="28"/>
      <w:szCs w:val="24"/>
    </w:rPr>
  </w:style>
  <w:style w:type="character" w:styleId="23" w:customStyle="1">
    <w:name w:val="Красная строка 2 Знак"/>
    <w:basedOn w:val="Style12"/>
    <w:qFormat/>
    <w:rPr>
      <w:rFonts w:eastAsia="Times New Roman"/>
      <w:color w:val="000000"/>
      <w:sz w:val="24"/>
      <w:szCs w:val="24"/>
    </w:rPr>
  </w:style>
  <w:style w:type="character" w:styleId="12" w:customStyle="1">
    <w:name w:val="Знак Знак12"/>
    <w:basedOn w:val="DefaultParagraphFont"/>
    <w:qFormat/>
    <w:rPr>
      <w:rFonts w:eastAsia="Times New Roman"/>
      <w:b/>
      <w:color w:val="000000"/>
      <w:sz w:val="28"/>
      <w:szCs w:val="24"/>
    </w:rPr>
  </w:style>
  <w:style w:type="character" w:styleId="Messagein1" w:customStyle="1">
    <w:name w:val="messagein1"/>
    <w:basedOn w:val="DefaultParagraphFont"/>
    <w:qFormat/>
    <w:rPr>
      <w:rFonts w:ascii="Tahoma" w:hAnsi="Tahoma" w:eastAsia="Times New Roman" w:cs="Tahoma"/>
      <w:color w:val="000000"/>
      <w:sz w:val="16"/>
      <w:szCs w:val="16"/>
    </w:rPr>
  </w:style>
  <w:style w:type="character" w:styleId="13" w:customStyle="1">
    <w:name w:val="Знак Знак13"/>
    <w:basedOn w:val="DefaultParagraphFont"/>
    <w:qFormat/>
    <w:rPr>
      <w:rFonts w:eastAsia="Times New Roman"/>
      <w:b/>
      <w:color w:val="000000"/>
      <w:sz w:val="28"/>
      <w:szCs w:val="24"/>
    </w:rPr>
  </w:style>
  <w:style w:type="character" w:styleId="14" w:customStyle="1">
    <w:name w:val="Знак Знак14"/>
    <w:basedOn w:val="DefaultParagraphFont"/>
    <w:qFormat/>
    <w:rPr>
      <w:rFonts w:eastAsia="Times New Roman"/>
      <w:b/>
      <w:color w:val="000000"/>
      <w:sz w:val="28"/>
      <w:szCs w:val="24"/>
    </w:rPr>
  </w:style>
  <w:style w:type="character" w:styleId="15" w:customStyle="1">
    <w:name w:val="Знак Знак15"/>
    <w:basedOn w:val="DefaultParagraphFont"/>
    <w:qFormat/>
    <w:rPr>
      <w:rFonts w:eastAsia="Times New Roman"/>
      <w:b/>
      <w:color w:val="000000"/>
      <w:sz w:val="28"/>
      <w:szCs w:val="24"/>
    </w:rPr>
  </w:style>
  <w:style w:type="character" w:styleId="16" w:customStyle="1">
    <w:name w:val="Знак Знак16"/>
    <w:basedOn w:val="DefaultParagraphFont"/>
    <w:qFormat/>
    <w:rPr>
      <w:rFonts w:eastAsia="Times New Roman"/>
      <w:b/>
      <w:color w:val="000000"/>
      <w:sz w:val="28"/>
      <w:szCs w:val="24"/>
    </w:rPr>
  </w:style>
  <w:style w:type="character" w:styleId="Style15" w:customStyle="1">
    <w:name w:val="Основной текст_"/>
    <w:qFormat/>
    <w:rPr>
      <w:sz w:val="23"/>
      <w:shd w:fill="FFFFFF" w:val="clear"/>
    </w:rPr>
  </w:style>
  <w:style w:type="character" w:styleId="Style16" w:customStyle="1">
    <w:name w:val="Символ нумерации"/>
    <w:qFormat/>
    <w:rPr/>
  </w:style>
  <w:style w:type="character" w:styleId="WW8Num11z0" w:customStyle="1">
    <w:name w:val="WW8Num11z0"/>
    <w:qFormat/>
    <w:rPr/>
  </w:style>
  <w:style w:type="character" w:styleId="WW8Num11z1" w:customStyle="1">
    <w:name w:val="WW8Num11z1"/>
    <w:qFormat/>
    <w:rPr>
      <w:b w:val="false"/>
      <w:i w:val="false"/>
    </w:rPr>
  </w:style>
  <w:style w:type="character" w:styleId="Style17">
    <w:name w:val="Line Number"/>
    <w:rPr/>
  </w:style>
  <w:style w:type="character" w:styleId="WW8Num2z0">
    <w:name w:val="WW8Num2z0"/>
    <w:qFormat/>
    <w:rPr>
      <w:b/>
    </w:rPr>
  </w:style>
  <w:style w:type="character" w:styleId="WW8Num2z2">
    <w:name w:val="WW8Num2z2"/>
    <w:qFormat/>
    <w:rPr>
      <w:rFonts w:ascii="Symbol" w:hAnsi="Symbol" w:cs="Symbol"/>
      <w:b w:val="false"/>
      <w:sz w:val="18"/>
      <w:szCs w:val="18"/>
    </w:rPr>
  </w:style>
  <w:style w:type="character" w:styleId="WW8Num3z0">
    <w:name w:val="WW8Num3z0"/>
    <w:qFormat/>
    <w:rPr>
      <w:rFonts w:cs="Times New Roman"/>
    </w:rPr>
  </w:style>
  <w:style w:type="character" w:styleId="WW8Num3z1">
    <w:name w:val="WW8Num3z1"/>
    <w:qFormat/>
    <w:rPr>
      <w:rFonts w:cs="Times New Roman"/>
      <w:i w:val="false"/>
    </w:rPr>
  </w:style>
  <w:style w:type="character" w:styleId="WW8Num3z2">
    <w:name w:val="WW8Num3z2"/>
    <w:qFormat/>
    <w:rPr>
      <w:rFonts w:cs="Times New Roman"/>
      <w:i w:val="false"/>
      <w:position w:val="0"/>
      <w:sz w:val="20"/>
      <w:sz w:val="20"/>
      <w:vertAlign w:val="baseline"/>
    </w:rPr>
  </w:style>
  <w:style w:type="character" w:styleId="Style18">
    <w:name w:val="Маркеры"/>
    <w:qFormat/>
    <w:rPr>
      <w:rFonts w:ascii="OpenSymbol" w:hAnsi="OpenSymbol" w:eastAsia="OpenSymbol" w:cs="OpenSymbol"/>
    </w:rPr>
  </w:style>
  <w:style w:type="paragraph" w:styleId="Style19">
    <w:name w:val="Заголовок"/>
    <w:basedOn w:val="Normal"/>
    <w:next w:val="Style20"/>
    <w:qFormat/>
    <w:pPr>
      <w:keepNext w:val="true"/>
      <w:spacing w:before="240" w:after="120"/>
    </w:pPr>
    <w:rPr>
      <w:rFonts w:ascii="PT Astra Serif" w:hAnsi="PT Astra Serif" w:eastAsia="Tahoma" w:cs="Noto Sans Devanagari"/>
      <w:sz w:val="28"/>
      <w:szCs w:val="28"/>
    </w:rPr>
  </w:style>
  <w:style w:type="paragraph" w:styleId="Style20">
    <w:name w:val="Body Text"/>
    <w:basedOn w:val="Normal"/>
    <w:pPr>
      <w:spacing w:lineRule="auto" w:line="276" w:before="0" w:after="140"/>
    </w:pPr>
    <w:rPr/>
  </w:style>
  <w:style w:type="paragraph" w:styleId="Style21">
    <w:name w:val="List"/>
    <w:basedOn w:val="Style20"/>
    <w:pPr/>
    <w:rPr>
      <w:rFonts w:ascii="PT Astra Serif" w:hAnsi="PT Astra Serif" w:cs="Noto Sans Devanagari"/>
    </w:rPr>
  </w:style>
  <w:style w:type="paragraph" w:styleId="Style22">
    <w:name w:val="Caption"/>
    <w:basedOn w:val="Normal"/>
    <w:qFormat/>
    <w:pPr>
      <w:suppressLineNumbers/>
      <w:spacing w:before="120" w:after="120"/>
    </w:pPr>
    <w:rPr>
      <w:rFonts w:ascii="PT Astra Serif" w:hAnsi="PT Astra Serif" w:cs="Noto Sans Devanagari"/>
      <w:i/>
      <w:iCs/>
      <w:sz w:val="24"/>
      <w:szCs w:val="24"/>
    </w:rPr>
  </w:style>
  <w:style w:type="paragraph" w:styleId="Style23">
    <w:name w:val="Указатель"/>
    <w:basedOn w:val="Normal"/>
    <w:qFormat/>
    <w:pPr>
      <w:suppressLineNumbers/>
    </w:pPr>
    <w:rPr>
      <w:rFonts w:ascii="PT Astra Serif" w:hAnsi="PT Astra Serif" w:cs="Noto Sans Devanagari"/>
    </w:rPr>
  </w:style>
  <w:style w:type="paragraph" w:styleId="Style24">
    <w:name w:val="Title"/>
    <w:basedOn w:val="Normal"/>
    <w:next w:val="Style20"/>
    <w:qFormat/>
    <w:pPr>
      <w:jc w:val="center"/>
    </w:pPr>
    <w:rPr>
      <w:b/>
      <w:sz w:val="28"/>
    </w:rPr>
  </w:style>
  <w:style w:type="paragraph" w:styleId="Caption">
    <w:name w:val="caption"/>
    <w:basedOn w:val="Normal"/>
    <w:qFormat/>
    <w:pPr>
      <w:spacing w:before="120" w:after="120"/>
    </w:pPr>
    <w:rPr>
      <w:rFonts w:ascii="PT Astra Serif" w:hAnsi="PT Astra Serif" w:cs="Noto Sans Devanagari"/>
      <w:i/>
      <w:iCs/>
      <w:sz w:val="24"/>
      <w:szCs w:val="24"/>
    </w:rPr>
  </w:style>
  <w:style w:type="paragraph" w:styleId="Indexheading">
    <w:name w:val="index heading"/>
    <w:basedOn w:val="Style24"/>
    <w:qFormat/>
    <w:pPr/>
    <w:rPr/>
  </w:style>
  <w:style w:type="paragraph" w:styleId="NoSpacing">
    <w:name w:val="No Spacing"/>
    <w:uiPriority w:val="1"/>
    <w:qFormat/>
    <w:pPr>
      <w:widowControl/>
      <w:suppressAutoHyphens w:val="true"/>
      <w:bidi w:val="0"/>
      <w:spacing w:before="0" w:after="0"/>
      <w:jc w:val="left"/>
    </w:pPr>
    <w:rPr>
      <w:rFonts w:ascii="PT Astra Serif" w:hAnsi="PT Astra Serif" w:eastAsia="Tahoma" w:cs="Noto Sans Devanagari"/>
      <w:color w:val="auto"/>
      <w:kern w:val="0"/>
      <w:sz w:val="24"/>
      <w:szCs w:val="24"/>
      <w:lang w:val="ru-RU" w:eastAsia="zh-CN" w:bidi="hi-IN"/>
    </w:rPr>
  </w:style>
  <w:style w:type="paragraph" w:styleId="Style25">
    <w:name w:val="Subtitle"/>
    <w:basedOn w:val="Normal"/>
    <w:uiPriority w:val="11"/>
    <w:qFormat/>
    <w:pPr>
      <w:spacing w:before="200" w:after="200"/>
    </w:pPr>
    <w:rPr>
      <w:sz w:val="24"/>
      <w:szCs w:val="24"/>
    </w:rPr>
  </w:style>
  <w:style w:type="paragraph" w:styleId="Quote">
    <w:name w:val="Quote"/>
    <w:basedOn w:val="Normal"/>
    <w:uiPriority w:val="29"/>
    <w:qFormat/>
    <w:pPr>
      <w:ind w:left="720" w:right="720" w:hanging="0"/>
    </w:pPr>
    <w:rPr>
      <w:i/>
    </w:rPr>
  </w:style>
  <w:style w:type="paragraph" w:styleId="IntenseQuote">
    <w:name w:val="Intense Quote"/>
    <w:basedOn w:val="Normal"/>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hanging="0"/>
    </w:pPr>
    <w:rPr>
      <w:i/>
    </w:rPr>
  </w:style>
  <w:style w:type="paragraph" w:styleId="Style26">
    <w:name w:val="Footnote Text"/>
    <w:basedOn w:val="Normal"/>
    <w:uiPriority w:val="99"/>
    <w:semiHidden/>
    <w:unhideWhenUsed/>
    <w:pPr>
      <w:spacing w:before="0" w:after="40"/>
    </w:pPr>
    <w:rPr>
      <w:sz w:val="18"/>
    </w:rPr>
  </w:style>
  <w:style w:type="paragraph" w:styleId="Style27">
    <w:name w:val="Endnote Text"/>
    <w:basedOn w:val="Normal"/>
    <w:uiPriority w:val="99"/>
    <w:semiHidden/>
    <w:unhideWhenUsed/>
    <w:pPr/>
    <w:rPr/>
  </w:style>
  <w:style w:type="paragraph" w:styleId="17">
    <w:name w:val="TOC 1"/>
    <w:basedOn w:val="Normal"/>
    <w:uiPriority w:val="39"/>
    <w:unhideWhenUsed/>
    <w:pPr>
      <w:spacing w:before="0" w:after="57"/>
    </w:pPr>
    <w:rPr/>
  </w:style>
  <w:style w:type="paragraph" w:styleId="24">
    <w:name w:val="TOC 2"/>
    <w:basedOn w:val="Normal"/>
    <w:uiPriority w:val="39"/>
    <w:unhideWhenUsed/>
    <w:pPr>
      <w:spacing w:before="0" w:after="57"/>
      <w:ind w:left="283" w:hanging="0"/>
    </w:pPr>
    <w:rPr/>
  </w:style>
  <w:style w:type="paragraph" w:styleId="34">
    <w:name w:val="TOC 3"/>
    <w:basedOn w:val="Normal"/>
    <w:uiPriority w:val="39"/>
    <w:unhideWhenUsed/>
    <w:pPr>
      <w:spacing w:before="0" w:after="57"/>
      <w:ind w:left="567" w:hanging="0"/>
    </w:pPr>
    <w:rPr/>
  </w:style>
  <w:style w:type="paragraph" w:styleId="41">
    <w:name w:val="TOC 4"/>
    <w:basedOn w:val="Normal"/>
    <w:uiPriority w:val="39"/>
    <w:unhideWhenUsed/>
    <w:pPr>
      <w:spacing w:before="0" w:after="57"/>
      <w:ind w:left="850" w:hanging="0"/>
    </w:pPr>
    <w:rPr/>
  </w:style>
  <w:style w:type="paragraph" w:styleId="51">
    <w:name w:val="TOC 5"/>
    <w:basedOn w:val="Normal"/>
    <w:uiPriority w:val="39"/>
    <w:unhideWhenUsed/>
    <w:pPr>
      <w:spacing w:before="0" w:after="57"/>
      <w:ind w:left="1134" w:hanging="0"/>
    </w:pPr>
    <w:rPr/>
  </w:style>
  <w:style w:type="paragraph" w:styleId="61">
    <w:name w:val="TOC 6"/>
    <w:basedOn w:val="Normal"/>
    <w:uiPriority w:val="39"/>
    <w:unhideWhenUsed/>
    <w:pPr>
      <w:spacing w:before="0" w:after="57"/>
      <w:ind w:left="1417" w:hanging="0"/>
    </w:pPr>
    <w:rPr/>
  </w:style>
  <w:style w:type="paragraph" w:styleId="72">
    <w:name w:val="TOC 7"/>
    <w:basedOn w:val="Normal"/>
    <w:uiPriority w:val="39"/>
    <w:unhideWhenUsed/>
    <w:pPr>
      <w:spacing w:before="0" w:after="57"/>
      <w:ind w:left="1701" w:hanging="0"/>
    </w:pPr>
    <w:rPr/>
  </w:style>
  <w:style w:type="paragraph" w:styleId="81">
    <w:name w:val="TOC 8"/>
    <w:basedOn w:val="Normal"/>
    <w:uiPriority w:val="39"/>
    <w:unhideWhenUsed/>
    <w:pPr>
      <w:spacing w:before="0" w:after="57"/>
      <w:ind w:left="1984" w:hanging="0"/>
    </w:pPr>
    <w:rPr/>
  </w:style>
  <w:style w:type="paragraph" w:styleId="91">
    <w:name w:val="TOC 9"/>
    <w:basedOn w:val="Normal"/>
    <w:uiPriority w:val="39"/>
    <w:unhideWhenUsed/>
    <w:pPr>
      <w:spacing w:before="0" w:after="57"/>
      <w:ind w:left="2268" w:hanging="0"/>
    </w:pPr>
    <w:rPr/>
  </w:style>
  <w:style w:type="paragraph" w:styleId="Style28">
    <w:name w:val="Index Heading"/>
    <w:basedOn w:val="Style19"/>
    <w:pPr/>
    <w:rPr/>
  </w:style>
  <w:style w:type="paragraph" w:styleId="Style29">
    <w:name w:val="TOC Heading"/>
    <w:uiPriority w:val="39"/>
    <w:unhideWhenUsed/>
    <w:pPr>
      <w:widowControl/>
      <w:suppressAutoHyphens w:val="true"/>
      <w:bidi w:val="0"/>
      <w:spacing w:before="0" w:after="0"/>
      <w:jc w:val="left"/>
    </w:pPr>
    <w:rPr>
      <w:rFonts w:ascii="PT Astra Serif" w:hAnsi="PT Astra Serif" w:eastAsia="Tahoma" w:cs="Noto Sans Devanagari"/>
      <w:color w:val="auto"/>
      <w:kern w:val="0"/>
      <w:sz w:val="24"/>
      <w:szCs w:val="24"/>
      <w:lang w:val="ru-RU" w:eastAsia="zh-CN" w:bidi="hi-IN"/>
    </w:rPr>
  </w:style>
  <w:style w:type="paragraph" w:styleId="Tableoffigures">
    <w:name w:val="table of figures"/>
    <w:basedOn w:val="Normal"/>
    <w:uiPriority w:val="99"/>
    <w:unhideWhenUsed/>
    <w:qFormat/>
    <w:pPr/>
    <w:rPr/>
  </w:style>
  <w:style w:type="paragraph" w:styleId="18" w:customStyle="1">
    <w:name w:val="Обычная таблица1"/>
    <w:qFormat/>
    <w:pPr>
      <w:widowControl/>
      <w:suppressAutoHyphens w:val="true"/>
      <w:bidi w:val="0"/>
      <w:spacing w:before="0" w:after="0"/>
      <w:jc w:val="left"/>
    </w:pPr>
    <w:rPr>
      <w:rFonts w:ascii="Times New Roman" w:hAnsi="Times New Roman" w:eastAsia="Courier New" w:cs="Times New Roman"/>
      <w:color w:val="auto"/>
      <w:kern w:val="0"/>
      <w:sz w:val="20"/>
      <w:szCs w:val="20"/>
      <w:lang w:val="ru-RU" w:eastAsia="ru-RU" w:bidi="ar-SA"/>
    </w:rPr>
  </w:style>
  <w:style w:type="paragraph" w:styleId="BalloonText">
    <w:name w:val="Balloon Text"/>
    <w:basedOn w:val="Normal"/>
    <w:qFormat/>
    <w:pPr/>
    <w:rPr>
      <w:rFonts w:ascii="Tahoma" w:hAnsi="Tahoma" w:cs="Tahoma"/>
      <w:sz w:val="16"/>
      <w:szCs w:val="16"/>
    </w:rPr>
  </w:style>
  <w:style w:type="paragraph" w:styleId="ConsNormal" w:customStyle="1">
    <w:name w:val="ConsNormal"/>
    <w:qFormat/>
    <w:pPr>
      <w:widowControl/>
      <w:suppressAutoHyphens w:val="true"/>
      <w:bidi w:val="0"/>
      <w:spacing w:before="0" w:after="0"/>
      <w:ind w:right="19771" w:firstLine="539"/>
      <w:jc w:val="both"/>
    </w:pPr>
    <w:rPr>
      <w:rFonts w:ascii="Courier New" w:hAnsi="Courier New" w:eastAsia="Courier New" w:cs="Courier New"/>
      <w:color w:val="auto"/>
      <w:kern w:val="0"/>
      <w:sz w:val="20"/>
      <w:szCs w:val="20"/>
      <w:lang w:val="en-US" w:eastAsia="ru-RU" w:bidi="ar-SA"/>
    </w:rPr>
  </w:style>
  <w:style w:type="paragraph" w:styleId="ConsNonformat" w:customStyle="1">
    <w:name w:val="ConsNonformat"/>
    <w:qFormat/>
    <w:pPr>
      <w:widowControl w:val="false"/>
      <w:suppressAutoHyphens w:val="true"/>
      <w:bidi w:val="0"/>
      <w:spacing w:before="0" w:after="0"/>
      <w:jc w:val="both"/>
    </w:pPr>
    <w:rPr>
      <w:rFonts w:ascii="Courier New" w:hAnsi="Courier New" w:eastAsia="Courier New" w:cs="Courier New"/>
      <w:color w:val="auto"/>
      <w:kern w:val="0"/>
      <w:sz w:val="20"/>
      <w:szCs w:val="20"/>
      <w:lang w:val="ru-RU" w:eastAsia="ru-RU" w:bidi="ar-SA"/>
    </w:rPr>
  </w:style>
  <w:style w:type="paragraph" w:styleId="Style30" w:customStyle="1">
    <w:name w:val="Колонтитул"/>
    <w:basedOn w:val="Normal"/>
    <w:qFormat/>
    <w:pPr/>
    <w:rPr/>
  </w:style>
  <w:style w:type="paragraph" w:styleId="Style31">
    <w:name w:val="Header"/>
    <w:basedOn w:val="Normal"/>
    <w:pPr>
      <w:tabs>
        <w:tab w:val="clear" w:pos="720"/>
        <w:tab w:val="center" w:pos="4153" w:leader="none"/>
        <w:tab w:val="right" w:pos="8306" w:leader="none"/>
      </w:tabs>
    </w:pPr>
    <w:rPr/>
  </w:style>
  <w:style w:type="paragraph" w:styleId="Style32">
    <w:name w:val="Footer"/>
    <w:basedOn w:val="Normal"/>
    <w:pPr>
      <w:tabs>
        <w:tab w:val="clear" w:pos="720"/>
        <w:tab w:val="center" w:pos="4153" w:leader="none"/>
        <w:tab w:val="right" w:pos="8306" w:leader="none"/>
      </w:tabs>
    </w:pPr>
    <w:rPr/>
  </w:style>
  <w:style w:type="paragraph" w:styleId="BodyTextIniiaiieoaenoCiae1oaenooaaeeouOaaeiiaeyioaoiaiiioaieaIiaienu1" w:customStyle="1">
    <w:name w:val="Body Text;Основной текст Знак;Iniiaiie oaeno Ciae;Îñíîâíîé òåêñò Çíàê;Îñíîâíîé òåêñò Çíàê Çíàê Çíàê Çíàê Çíàê Çíàê;òåêñò òàáëèöû;Øàáëîí äëÿ îò÷åòîâ ïî îöåíêå;Ïîäïèñü1;oaeno oaaeeou;Oaaeii aey io?aoia ii ioaiea;Iiaienu1"/>
    <w:basedOn w:val="Normal"/>
    <w:qFormat/>
    <w:pPr>
      <w:ind w:right="85" w:hanging="0"/>
      <w:jc w:val="both"/>
    </w:pPr>
    <w:rPr>
      <w:rFonts w:ascii="Tahoma" w:hAnsi="Tahoma" w:cs="Tahoma"/>
    </w:rPr>
  </w:style>
  <w:style w:type="paragraph" w:styleId="Style33">
    <w:name w:val="Body Text Indent"/>
    <w:basedOn w:val="Normal"/>
    <w:pPr>
      <w:jc w:val="both"/>
    </w:pPr>
    <w:rPr>
      <w:sz w:val="24"/>
      <w:szCs w:val="24"/>
    </w:rPr>
  </w:style>
  <w:style w:type="paragraph" w:styleId="BodyText2Char" w:customStyle="1">
    <w:name w:val="Body Text 2;Char"/>
    <w:basedOn w:val="Normal"/>
    <w:qFormat/>
    <w:pPr>
      <w:tabs>
        <w:tab w:val="clear" w:pos="720"/>
        <w:tab w:val="left" w:pos="2977" w:leader="none"/>
      </w:tabs>
      <w:jc w:val="both"/>
    </w:pPr>
    <w:rPr>
      <w:sz w:val="28"/>
      <w:szCs w:val="28"/>
    </w:rPr>
  </w:style>
  <w:style w:type="paragraph" w:styleId="BodyText3">
    <w:name w:val="Body Text 3"/>
    <w:basedOn w:val="Normal"/>
    <w:qFormat/>
    <w:pPr>
      <w:spacing w:before="0" w:after="240"/>
      <w:jc w:val="center"/>
    </w:pPr>
    <w:rPr>
      <w:rFonts w:ascii="Tahoma" w:hAnsi="Tahoma" w:cs="Tahoma"/>
      <w:b/>
      <w:bCs/>
      <w:sz w:val="26"/>
      <w:szCs w:val="26"/>
    </w:rPr>
  </w:style>
  <w:style w:type="paragraph" w:styleId="BodyTextIndent2">
    <w:name w:val="Body Text Indent 2"/>
    <w:basedOn w:val="Normal"/>
    <w:qFormat/>
    <w:pPr>
      <w:ind w:left="540" w:hanging="0"/>
      <w:jc w:val="both"/>
    </w:pPr>
    <w:rPr>
      <w:rFonts w:ascii="Tahoma" w:hAnsi="Tahoma" w:cs="Tahoma"/>
      <w:sz w:val="24"/>
      <w:szCs w:val="24"/>
    </w:rPr>
  </w:style>
  <w:style w:type="paragraph" w:styleId="BodyTextIndent3">
    <w:name w:val="Body Text Indent 3"/>
    <w:basedOn w:val="Normal"/>
    <w:qFormat/>
    <w:pPr>
      <w:widowControl w:val="false"/>
      <w:ind w:left="567" w:hanging="0"/>
      <w:jc w:val="both"/>
    </w:pPr>
    <w:rPr/>
  </w:style>
  <w:style w:type="paragraph" w:styleId="Style34" w:customStyle="1">
    <w:name w:val="!Подпись"/>
    <w:basedOn w:val="Normal"/>
    <w:qFormat/>
    <w:pPr/>
    <w:rPr>
      <w:b/>
      <w:bCs/>
      <w:sz w:val="24"/>
      <w:szCs w:val="24"/>
    </w:rPr>
  </w:style>
  <w:style w:type="paragraph" w:styleId="BlockText">
    <w:name w:val="Block Text"/>
    <w:basedOn w:val="Normal"/>
    <w:qFormat/>
    <w:pPr>
      <w:ind w:left="-284" w:right="-70" w:firstLine="568"/>
      <w:jc w:val="both"/>
    </w:pPr>
    <w:rPr>
      <w:color w:val="000000"/>
      <w:sz w:val="26"/>
      <w:szCs w:val="26"/>
    </w:rPr>
  </w:style>
  <w:style w:type="paragraph" w:styleId="ConsPlusNonformat" w:customStyle="1">
    <w:name w:val="ConsPlusNonformat"/>
    <w:qFormat/>
    <w:pPr>
      <w:widowControl w:val="false"/>
      <w:suppressAutoHyphens w:val="true"/>
      <w:bidi w:val="0"/>
      <w:spacing w:before="0" w:after="0"/>
      <w:jc w:val="left"/>
    </w:pPr>
    <w:rPr>
      <w:rFonts w:ascii="Courier New" w:hAnsi="Courier New" w:eastAsia="Courier New" w:cs="Courier New"/>
      <w:color w:val="auto"/>
      <w:kern w:val="0"/>
      <w:sz w:val="20"/>
      <w:szCs w:val="20"/>
      <w:lang w:val="ru-RU" w:eastAsia="ru-RU" w:bidi="ar-SA"/>
    </w:rPr>
  </w:style>
  <w:style w:type="paragraph" w:styleId="Style35" w:customStyle="1">
    <w:name w:val="Знак"/>
    <w:basedOn w:val="Normal"/>
    <w:qFormat/>
    <w:pPr>
      <w:spacing w:lineRule="exact" w:line="240" w:before="0" w:after="160"/>
    </w:pPr>
    <w:rPr>
      <w:rFonts w:ascii="Verdana" w:hAnsi="Verdana" w:cs="Verdana"/>
      <w:lang w:val="en-US" w:eastAsia="en-US"/>
    </w:rPr>
  </w:style>
  <w:style w:type="paragraph" w:styleId="19" w:customStyle="1">
    <w:name w:val="Знак1"/>
    <w:basedOn w:val="Normal"/>
    <w:qFormat/>
    <w:pPr>
      <w:spacing w:lineRule="exact" w:line="240" w:before="0" w:after="160"/>
    </w:pPr>
    <w:rPr>
      <w:rFonts w:ascii="Verdana" w:hAnsi="Verdana" w:cs="Verdana"/>
      <w:lang w:val="en-US" w:eastAsia="en-US"/>
    </w:rPr>
  </w:style>
  <w:style w:type="paragraph" w:styleId="BodyTextFirstIndent2">
    <w:name w:val="Body Text First Indent 2"/>
    <w:basedOn w:val="Style33"/>
    <w:qFormat/>
    <w:pPr>
      <w:spacing w:before="0" w:after="120"/>
      <w:ind w:left="283" w:firstLine="210"/>
    </w:pPr>
    <w:rPr/>
  </w:style>
  <w:style w:type="paragraph" w:styleId="ListBullet3">
    <w:name w:val="List Bullet 3"/>
    <w:basedOn w:val="Normal"/>
    <w:qFormat/>
    <w:pPr>
      <w:ind w:left="566" w:hanging="283"/>
    </w:pPr>
    <w:rPr>
      <w:sz w:val="24"/>
      <w:szCs w:val="24"/>
    </w:rPr>
  </w:style>
  <w:style w:type="paragraph" w:styleId="110" w:customStyle="1">
    <w:name w:val="Стиль1"/>
    <w:basedOn w:val="Normal"/>
    <w:qFormat/>
    <w:pPr/>
    <w:rPr>
      <w:sz w:val="24"/>
    </w:rPr>
  </w:style>
  <w:style w:type="paragraph" w:styleId="ListParagraph">
    <w:name w:val="List Paragraph"/>
    <w:basedOn w:val="Normal"/>
    <w:qFormat/>
    <w:pPr>
      <w:spacing w:before="0" w:after="0"/>
      <w:ind w:left="720" w:hanging="0"/>
      <w:contextualSpacing/>
    </w:pPr>
    <w:rPr>
      <w:sz w:val="24"/>
      <w:szCs w:val="24"/>
    </w:rPr>
  </w:style>
  <w:style w:type="paragraph" w:styleId="ConsPlusNormal" w:customStyle="1">
    <w:name w:val="ConsPlusNormal"/>
    <w:qFormat/>
    <w:pPr>
      <w:widowControl w:val="false"/>
      <w:suppressAutoHyphens w:val="true"/>
      <w:bidi w:val="0"/>
      <w:spacing w:before="0" w:after="0"/>
      <w:ind w:firstLine="720"/>
      <w:jc w:val="left"/>
    </w:pPr>
    <w:rPr>
      <w:rFonts w:ascii="Arial" w:hAnsi="Arial" w:eastAsia="Courier New" w:cs="Arial"/>
      <w:color w:val="auto"/>
      <w:kern w:val="0"/>
      <w:sz w:val="20"/>
      <w:szCs w:val="20"/>
      <w:lang w:val="ru-RU" w:eastAsia="ru-RU" w:bidi="ar-SA"/>
    </w:rPr>
  </w:style>
  <w:style w:type="paragraph" w:styleId="ListNumber">
    <w:name w:val="List Number"/>
    <w:basedOn w:val="Normal"/>
    <w:qFormat/>
    <w:pPr>
      <w:tabs>
        <w:tab w:val="clear" w:pos="720"/>
        <w:tab w:val="left" w:pos="360" w:leader="none"/>
      </w:tabs>
      <w:spacing w:before="0" w:after="0"/>
      <w:ind w:left="360" w:hanging="360"/>
      <w:contextualSpacing/>
    </w:pPr>
    <w:rPr>
      <w:sz w:val="24"/>
      <w:szCs w:val="24"/>
    </w:rPr>
  </w:style>
  <w:style w:type="paragraph" w:styleId="112" w:customStyle="1">
    <w:name w:val="Основной текст1"/>
    <w:basedOn w:val="Normal"/>
    <w:qFormat/>
    <w:pPr>
      <w:widowControl w:val="false"/>
      <w:shd w:val="clear" w:color="auto" w:fill="FFFFFF"/>
      <w:spacing w:lineRule="exact" w:line="277" w:before="240" w:after="0"/>
      <w:ind w:hanging="360"/>
      <w:jc w:val="both"/>
    </w:pPr>
    <w:rPr>
      <w:sz w:val="23"/>
      <w:szCs w:val="23"/>
    </w:rPr>
  </w:style>
  <w:style w:type="paragraph" w:styleId="ListParagraph211Table-NormalRSHBTable-Normal3" w:customStyle="1">
    <w:name w:val="List Paragraph;ПАРАГРАФ;Абзац списка2;Цветной список — акцент 11;Table-Normal;RSHB_Table-Normal;Заголовок_3;Подпись рисунка"/>
    <w:basedOn w:val="Normal"/>
    <w:qFormat/>
    <w:pPr>
      <w:spacing w:lineRule="auto" w:line="276" w:before="0" w:after="200"/>
      <w:ind w:left="720" w:hanging="0"/>
      <w:contextualSpacing/>
    </w:pPr>
    <w:rPr>
      <w:rFonts w:ascii="Calibri" w:hAnsi="Calibri"/>
      <w:sz w:val="22"/>
      <w:szCs w:val="22"/>
    </w:rPr>
  </w:style>
  <w:style w:type="paragraph" w:styleId="Style36">
    <w:name w:val="Содержимое таблицы"/>
    <w:basedOn w:val="Normal"/>
    <w:qFormat/>
    <w:pPr>
      <w:widowControl w:val="false"/>
      <w:suppressLineNumbers/>
    </w:pPr>
    <w:rPr/>
  </w:style>
  <w:style w:type="paragraph" w:styleId="Style37">
    <w:name w:val="Заголовок таблицы"/>
    <w:basedOn w:val="Style36"/>
    <w:qFormat/>
    <w:pPr>
      <w:suppressLineNumbers/>
      <w:jc w:val="center"/>
    </w:pPr>
    <w:rPr>
      <w:b/>
      <w:bCs/>
    </w:rPr>
  </w:style>
  <w:style w:type="paragraph" w:styleId="Default">
    <w:name w:val="Default"/>
    <w:qFormat/>
    <w:pPr>
      <w:widowControl/>
      <w:suppressAutoHyphens w:val="true"/>
      <w:bidi w:val="0"/>
      <w:spacing w:before="0" w:after="0"/>
      <w:jc w:val="left"/>
    </w:pPr>
    <w:rPr>
      <w:rFonts w:ascii="Times New Roman" w:hAnsi="Times New Roman" w:eastAsia="Calibri" w:cs="Times New Roman"/>
      <w:color w:val="000000"/>
      <w:kern w:val="0"/>
      <w:sz w:val="24"/>
      <w:szCs w:val="24"/>
      <w:lang w:val="ru-RU" w:eastAsia="en-US" w:bidi="ar-SA"/>
    </w:rPr>
  </w:style>
  <w:style w:type="numbering" w:styleId="NoList" w:default="1">
    <w:name w:val="No List"/>
    <w:uiPriority w:val="99"/>
    <w:semiHidden/>
    <w:unhideWhenUsed/>
    <w:qFormat/>
  </w:style>
  <w:style w:type="numbering" w:styleId="WW8Num11" w:customStyle="1">
    <w:name w:val="WW8Num11"/>
    <w:qFormat/>
  </w:style>
  <w:style w:type="numbering" w:styleId="WW8Num2">
    <w:name w:val="WW8Num2"/>
    <w:qFormat/>
  </w:style>
  <w:style w:type="numbering" w:styleId="WW8Num3">
    <w:name w:val="WW8Num3"/>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e-disclosure.ru/portal/company.aspx?id=1409" TargetMode="External"/><Relationship Id="rId3" Type="http://schemas.openxmlformats.org/officeDocument/2006/relationships/hyperlink" Target="http://www.kamenergo.ru/" TargetMode="External"/><Relationship Id="rId4"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508</TotalTime>
  <Application>LibreOffice/7.5.6.2$Linux_X86_64 LibreOffice_project/50$Build-2</Application>
  <AppVersion>15.0000</AppVersion>
  <Pages>2</Pages>
  <Words>690</Words>
  <Characters>5358</Characters>
  <CharactersWithSpaces>6028</CharactersWithSpaces>
  <Paragraphs>58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2024-06-27T11:40:00Z</dcterms:created>
  <dc:creator>Prof-SlejovaNA</dc:creator>
  <dc:description/>
  <dc:language>ru-RU</dc:language>
  <cp:lastModifiedBy/>
  <cp:lastPrinted>2026-04-30T15:28:00Z</cp:lastPrinted>
  <dcterms:modified xsi:type="dcterms:W3CDTF">2026-04-30T15:31:08Z</dcterms:modified>
  <cp:revision>32</cp:revision>
  <dc:subject/>
  <dc:title>Приложение 16</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Фегер Евгения Сергеевна</vt:lpwstr>
  </property>
</Properties>
</file>