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20"/>
          <w:tab w:val="left" w:pos="7513" w:leader="none"/>
        </w:tabs>
        <w:ind w:left="4820" w:right="58" w:hanging="0"/>
        <w:jc w:val="right"/>
        <w:rPr>
          <w:bCs/>
          <w:spacing w:val="-1"/>
          <w:sz w:val="24"/>
          <w:szCs w:val="26"/>
        </w:rPr>
      </w:pPr>
      <w:r>
        <w:rPr>
          <w:bCs/>
          <w:spacing w:val="-1"/>
          <w:sz w:val="24"/>
          <w:szCs w:val="26"/>
          <w:lang w:val="en-US"/>
        </w:rPr>
        <w:t xml:space="preserve"> </w:t>
      </w:r>
      <w:r>
        <w:rPr>
          <w:bCs/>
          <w:spacing w:val="-1"/>
          <w:sz w:val="24"/>
          <w:szCs w:val="26"/>
        </w:rPr>
        <w:t>УТВЕРЖДЕНО</w:t>
      </w:r>
    </w:p>
    <w:p>
      <w:pPr>
        <w:pStyle w:val="Normal"/>
        <w:shd w:val="clear" w:color="auto" w:fill="FFFFFF"/>
        <w:tabs>
          <w:tab w:val="clear" w:pos="720"/>
          <w:tab w:val="left" w:pos="7513" w:leader="none"/>
        </w:tabs>
        <w:ind w:left="4820" w:right="58" w:hanging="0"/>
        <w:jc w:val="right"/>
        <w:rPr>
          <w:bCs/>
          <w:spacing w:val="-1"/>
          <w:sz w:val="24"/>
          <w:szCs w:val="26"/>
        </w:rPr>
      </w:pPr>
      <w:r>
        <w:rPr>
          <w:bCs/>
          <w:spacing w:val="-1"/>
          <w:sz w:val="24"/>
          <w:szCs w:val="26"/>
        </w:rPr>
        <w:t xml:space="preserve">решением Совета директоров 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7513" w:leader="none"/>
        </w:tabs>
        <w:suppressAutoHyphens w:val="true"/>
        <w:bidi w:val="0"/>
        <w:spacing w:before="0" w:after="0"/>
        <w:ind w:left="4819" w:right="57" w:hanging="113"/>
        <w:jc w:val="right"/>
        <w:rPr>
          <w:bCs/>
          <w:spacing w:val="-1"/>
          <w:sz w:val="24"/>
          <w:szCs w:val="26"/>
        </w:rPr>
      </w:pPr>
      <w:r>
        <w:rPr>
          <w:bCs/>
          <w:spacing w:val="-1"/>
          <w:sz w:val="24"/>
          <w:szCs w:val="26"/>
        </w:rPr>
        <w:t>ПАО «Камчатскэнерго» «30» октября 2025 г.</w:t>
      </w:r>
    </w:p>
    <w:p>
      <w:pPr>
        <w:pStyle w:val="Normal"/>
        <w:shd w:val="clear" w:color="auto" w:fill="FFFFFF"/>
        <w:tabs>
          <w:tab w:val="clear" w:pos="720"/>
          <w:tab w:val="left" w:pos="7513" w:leader="none"/>
        </w:tabs>
        <w:ind w:left="4820" w:right="58" w:hanging="0"/>
        <w:jc w:val="right"/>
        <w:rPr>
          <w:bCs/>
          <w:spacing w:val="-1"/>
          <w:sz w:val="26"/>
          <w:szCs w:val="26"/>
        </w:rPr>
      </w:pPr>
      <w:r>
        <w:rPr>
          <w:bCs/>
          <w:spacing w:val="-1"/>
          <w:sz w:val="24"/>
          <w:szCs w:val="26"/>
        </w:rPr>
        <w:t>(протокол № 6 от 30.10. 2025 года)</w:t>
      </w:r>
    </w:p>
    <w:p>
      <w:pPr>
        <w:pStyle w:val="Normal"/>
        <w:shd w:val="clear" w:color="auto" w:fill="FFFFFF"/>
        <w:tabs>
          <w:tab w:val="clear" w:pos="720"/>
          <w:tab w:val="left" w:pos="5387" w:leader="none"/>
          <w:tab w:val="left" w:pos="7513" w:leader="none"/>
        </w:tabs>
        <w:ind w:right="58" w:hanging="0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ind w:right="1181" w:hanging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Положение</w:t>
      </w:r>
    </w:p>
    <w:p>
      <w:pPr>
        <w:pStyle w:val="Normal"/>
        <w:shd w:val="clear" w:color="auto" w:fill="FFFFFF"/>
        <w:jc w:val="center"/>
        <w:rPr>
          <w:bCs/>
          <w:sz w:val="28"/>
          <w:szCs w:val="28"/>
        </w:rPr>
      </w:pPr>
      <w:bookmarkStart w:id="0" w:name="_Hlk212395826"/>
      <w:bookmarkStart w:id="1" w:name="_Hlk212391734"/>
      <w:r>
        <w:rPr>
          <w:bCs/>
          <w:sz w:val="28"/>
          <w:szCs w:val="28"/>
        </w:rPr>
        <w:t>о</w:t>
      </w:r>
      <w:r>
        <w:rPr/>
        <w:t xml:space="preserve"> </w:t>
      </w:r>
      <w:r>
        <w:rPr>
          <w:bCs/>
          <w:sz w:val="28"/>
          <w:szCs w:val="28"/>
        </w:rPr>
        <w:t>порядке доступа к инсайдерской информации ПАО «Камчатскэнерго», правилах охраны ее конфиденциальности</w:t>
      </w:r>
      <w:bookmarkEnd w:id="1"/>
      <w:r>
        <w:rPr>
          <w:bCs/>
          <w:sz w:val="28"/>
          <w:szCs w:val="28"/>
        </w:rPr>
        <w:t xml:space="preserve"> </w:t>
      </w:r>
      <w:bookmarkEnd w:id="0"/>
    </w:p>
    <w:p>
      <w:pPr>
        <w:pStyle w:val="Normal"/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(новая редакция)</w:t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  <w:bookmarkStart w:id="2" w:name="_GoBack"/>
      <w:bookmarkStart w:id="3" w:name="_GoBack"/>
      <w:bookmarkEnd w:id="3"/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20"/>
          <w:tab w:val="left" w:pos="6683" w:leader="none"/>
        </w:tabs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nextPage"/>
          <w:pgSz w:w="11906" w:h="16838"/>
          <w:pgMar w:left="1644" w:right="851" w:gutter="0" w:header="0" w:top="890" w:footer="0" w:bottom="357"/>
          <w:pgNumType w:fmt="decimal"/>
          <w:formProt w:val="false"/>
          <w:textDirection w:val="lrTb"/>
          <w:docGrid w:type="default" w:linePitch="360" w:charSpace="0"/>
        </w:sectPr>
        <w:pStyle w:val="Normal"/>
        <w:shd w:val="clear" w:color="auto" w:fill="FFFFFF"/>
        <w:spacing w:lineRule="exact" w:line="322"/>
        <w:ind w:right="-74" w:hanging="530"/>
        <w:jc w:val="center"/>
        <w:rPr>
          <w:sz w:val="28"/>
          <w:szCs w:val="28"/>
        </w:rPr>
      </w:pPr>
      <w:r>
        <w:rPr>
          <w:sz w:val="28"/>
          <w:szCs w:val="28"/>
        </w:rPr>
        <w:t>2025 год</w:t>
      </w:r>
      <w:r>
        <w:br w:type="page"/>
      </w:r>
    </w:p>
    <w:p>
      <w:pPr>
        <w:pStyle w:val="1"/>
        <w:rPr/>
      </w:pPr>
      <w:bookmarkStart w:id="4" w:name="_Toc210313372"/>
      <w:r>
        <w:rPr/>
        <w:t>ГЛОССАРИЙ</w:t>
      </w:r>
      <w:bookmarkEnd w:id="4"/>
    </w:p>
    <w:tbl>
      <w:tblPr>
        <w:tblStyle w:val="affe"/>
        <w:tblW w:w="94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510"/>
        <w:gridCol w:w="5956"/>
      </w:tblGrid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Организатор торговли -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ПАО Московская Биржа 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Инсайдеры Общества -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физические и юридические лица, включенные в Список инсайдеров Общества и имеющие доступ к инсайдерской информации Общества на основаниях, предусмотренных законодательством Российской Федерации.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Инсайдерская информация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точная и конкретная информация, которая не была распространена Обществом (в том числе сведения, составляющие коммерческую, служебную, и иную охраняемую законом тайну) и распространение которой может оказать существенное влияние на цены Финансовых инструментов Общества, и включенная в Собственный перечень инсайдерской информации Общества.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ЕИО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единоличный исполнительный орган Общества - Генеральный директор.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ЛНД (А)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локальные нормативные документы (акты) Общества.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Обращение с инсайдерской информацией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получение, хранение, Раскрытие и любое другое использование Инсайдерской информации Общества.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Общество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Публичное акционерное общество энергетики и электрификации «Камчатскэнерго» (ПАО «Камчатскэнерго»)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Операции с Финансовыми инструментами Общества - 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bCs/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>совершение сделок и иные действия, направленные на приобретение, отчуждение, иное изменение прав на Финансовые инструменты Общества, а также действия, связанные с принятием обязательств совершить указанные действия, в том числе выставление заявок (дача поручений) или отмена таких заявок.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Ответственное структурное подразделение Общества (далее – ОСП) - 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shd w:fill="FFFFFF" w:val="clear"/>
                <w:lang w:val="ru-RU" w:bidi="ar-SA"/>
              </w:rPr>
              <w:t xml:space="preserve">структурное подразделение </w:t>
            </w: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>Общества, назначаемое приказом ЕИО Общества, в обязанности которого входит осуществление контроля за соблюдением Обществом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Ответственное должностное лицо Общества (далее – ОДЛ) - </w:t>
            </w:r>
          </w:p>
        </w:tc>
        <w:tc>
          <w:tcPr>
            <w:tcW w:w="5956" w:type="dxa"/>
            <w:tcBorders/>
            <w:shd w:color="auto" w:fill="auto" w:val="clear"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>ответственное должностное лицо Общества, назначаемое приказом ЕИО Общества, руководитель ОСП, в обязанности которого входит осуществление контроля за соблюдением Обществом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Перечень инсайдерской информации - 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 xml:space="preserve">перечень инсайдерской информации, составленный на основании </w:t>
            </w:r>
            <w:r>
              <w:rPr>
                <w:rFonts w:eastAsia="Times New Roman" w:cs="Times New Roman"/>
                <w:spacing w:val="-2"/>
                <w:kern w:val="0"/>
                <w:szCs w:val="24"/>
                <w:lang w:val="ru-RU" w:bidi="ar-SA"/>
              </w:rPr>
              <w:t>нормативного акта Банка России.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Положение -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  <w:t xml:space="preserve">настоящее </w:t>
            </w:r>
            <w:r>
              <w:rPr>
                <w:rFonts w:eastAsia="Times New Roman" w:cs="Times New Roman"/>
                <w:bCs/>
                <w:kern w:val="0"/>
                <w:szCs w:val="24"/>
                <w:lang w:val="ru-RU" w:bidi="ar-SA"/>
              </w:rPr>
              <w:t>Положение о</w:t>
            </w: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Cs w:val="24"/>
                <w:lang w:val="ru-RU" w:bidi="ar-SA"/>
              </w:rPr>
              <w:t xml:space="preserve">порядке доступа к инсайдерской информации, правилах охраны ее конфиденциальности 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Правила ВК ПНИИИМР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Общества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Раскрытие информации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ее доступности всем заинтересованным в этом лицам независимо от целей получения данной информации в соответствии с процедурой, гарантирующей ее нахождение и получение. Раскрытой информацией на рынке ценных бумаг признается информация, в отношении которой проведены действия по ее Раскрытию.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Связанные с Инсайдером Общества лица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супруг (супруга), родители, дети, усыновители, усыновленные, полнородные и неполнородные братья и сестры, бабушки и дедушки Инсайдера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Собственный перечень Инсайдерской информации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перечень инсайдерской информации, включающий в себя инсайдерскую информацию, перечень которой утверждается нормативными актами Банка России и информацию, которую Общество определяет как инсайдерскую, с учетом особенностей его деятельности.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Список инсайдеров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документ, содержащий в себе сведения об Инсайдерах Общества, установленных Федеральным законом № 224-ФЗ (в том числе персональные данные), формируемый и подлежащий ведению Обществом на постоянной основе.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СПОИ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структурное подразделение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Общества, назначаемое приказом ЕИО Общества, в обязанности которого входит организация исполнения соблюдения Обществом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Суперинсайдеры Общества - 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члены Совета директоров, члены Правления, Генеральный директор (в том числе управляющая организация, управляющий либо временный единоличный исполнительный орган), члены Ревизионной комиссии Общества (управляющей организации).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12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Уведомление -</w:t>
            </w:r>
          </w:p>
        </w:tc>
        <w:tc>
          <w:tcPr>
            <w:tcW w:w="59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уведомление об включении в Список инсайдеров Общества (исключении из Списка инсайдеров Общества) по форме в соответствии с Приложением к Положению.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jc w:val="left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 xml:space="preserve">Федеральный закон № 224-ФЗ - 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>Федеральный закон от 27.07.2010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Федерации».</w:t>
            </w:r>
          </w:p>
        </w:tc>
      </w:tr>
      <w:tr>
        <w:trPr>
          <w:trHeight w:val="396" w:hRule="atLeast"/>
        </w:trPr>
        <w:tc>
          <w:tcPr>
            <w:tcW w:w="3510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bidi="ar-SA"/>
              </w:rPr>
              <w:t xml:space="preserve">Финансовые инструменты Общества - </w:t>
            </w:r>
          </w:p>
        </w:tc>
        <w:tc>
          <w:tcPr>
            <w:tcW w:w="5956" w:type="dxa"/>
            <w:tcBorders/>
          </w:tcPr>
          <w:p>
            <w:pPr>
              <w:pStyle w:val="Style71"/>
              <w:widowControl w:val="false"/>
              <w:suppressAutoHyphens w:val="true"/>
              <w:spacing w:lineRule="auto" w:line="276" w:before="0" w:after="0"/>
              <w:rPr>
                <w:szCs w:val="24"/>
                <w:lang w:val="ru-RU"/>
              </w:rPr>
            </w:pP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>ценные бумаги или производные Финансовые инструменты Общества, как этот термин определен в Федеральном законе от 22.04.1996 № 39-ФЗ «О рынке ценных бумаг».</w:t>
            </w:r>
          </w:p>
        </w:tc>
      </w:tr>
    </w:tbl>
    <w:p>
      <w:pPr>
        <w:pStyle w:val="Normal"/>
        <w:widowControl/>
        <w:spacing w:lineRule="auto" w:line="276" w:before="0" w:after="200"/>
        <w:rPr>
          <w:b/>
          <w:bCs/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>
        <w:br w:type="page"/>
      </w:r>
    </w:p>
    <w:p>
      <w:pPr>
        <w:pStyle w:val="1"/>
        <w:numPr>
          <w:ilvl w:val="0"/>
          <w:numId w:val="1"/>
        </w:numPr>
        <w:spacing w:lineRule="auto" w:line="276"/>
        <w:rPr/>
      </w:pPr>
      <w:bookmarkStart w:id="5" w:name="_Toc210313373"/>
      <w:r>
        <w:rPr/>
        <w:t>ОБЩИЕ ПОЛОЖЕНИЯ</w:t>
      </w:r>
      <w:bookmarkEnd w:id="5"/>
    </w:p>
    <w:p>
      <w:pPr>
        <w:pStyle w:val="Normal"/>
        <w:shd w:val="clear" w:color="auto" w:fill="FFFFFF"/>
        <w:tabs>
          <w:tab w:val="clear" w:pos="720"/>
          <w:tab w:val="left" w:pos="1134" w:leader="none"/>
          <w:tab w:val="left" w:pos="1276" w:leader="none"/>
        </w:tabs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1.1. Положение  разработано в соответствии с требованиями Федеральный закон № 224-ФЗ и иными нормативными правовыми актами Российской Федерации связанных с установлением, изменением и прекращением порядка доступа к инсайдерской информации, охраной ее конфиденциальности и контролем за соблюдением требований Федерального закона № 224-ФЗ и принятых в соответствии с ним нормативных правовых актов Российской Федерации, ЛНД (А) Общества.</w:t>
      </w:r>
    </w:p>
    <w:p>
      <w:pPr>
        <w:pStyle w:val="Normal"/>
        <w:shd w:val="clear" w:color="auto" w:fill="FFFFFF"/>
        <w:tabs>
          <w:tab w:val="clear" w:pos="720"/>
          <w:tab w:val="left" w:pos="1134" w:leader="none"/>
          <w:tab w:val="left" w:pos="1276" w:leader="none"/>
        </w:tabs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1.2. Положение вступает в силу с даты его утверждения Советом директоров Общества.</w:t>
      </w:r>
    </w:p>
    <w:p>
      <w:pPr>
        <w:pStyle w:val="Normal"/>
        <w:shd w:val="clear" w:color="auto" w:fill="FFFFFF"/>
        <w:tabs>
          <w:tab w:val="clear" w:pos="720"/>
          <w:tab w:val="left" w:pos="1134" w:leader="none"/>
          <w:tab w:val="left" w:pos="1276" w:leader="none"/>
        </w:tabs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1.3. Положение является ЛНД (А) Общества,</w:t>
      </w:r>
      <w:r>
        <w:rPr/>
        <w:t xml:space="preserve"> </w:t>
      </w:r>
      <w:r>
        <w:rPr>
          <w:spacing w:val="-2"/>
          <w:sz w:val="24"/>
          <w:szCs w:val="24"/>
        </w:rPr>
        <w:t xml:space="preserve">определяющим порядок доступа к Инсайдерской информации Общества; правила охраны ее конфиденциальности, ограничения на ее использование, общие нормы о защите сведений, составляющих Инсайдерскую информацию Общества; порядок и критерии отнесения информации к инсайдерской; перечень лиц, подлежащих включению в Список инсайдеров Общества; порядок и сроки Раскрытия Инсайдерской информации Общества; условия совершения операций с Финансовыми инструментами Общества. </w:t>
      </w:r>
    </w:p>
    <w:p>
      <w:pPr>
        <w:pStyle w:val="Normal"/>
        <w:shd w:val="clear" w:color="auto" w:fill="FFFFFF"/>
        <w:tabs>
          <w:tab w:val="clear" w:pos="720"/>
          <w:tab w:val="left" w:pos="1134" w:leader="none"/>
          <w:tab w:val="left" w:pos="1276" w:leader="none"/>
        </w:tabs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1.4. Утверждение Собственного перечня Инсайдерской информации Общества, Правил ВК ПНИИИМР Общества, назначение ОСП, ОДЛ и СПОИ осуществляется ЕИО Общества.</w:t>
      </w:r>
    </w:p>
    <w:p>
      <w:pPr>
        <w:pStyle w:val="1"/>
        <w:rPr/>
      </w:pPr>
      <w:bookmarkStart w:id="6" w:name="_Toc210313374"/>
      <w:r>
        <w:rPr/>
        <w:t>2. ЦЕЛИ И ЗАДАЧИ ПОЛОЖЕНИЯ</w:t>
      </w:r>
      <w:bookmarkEnd w:id="6"/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2.1. Целями Положения являются:</w:t>
      </w:r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2.1.1. Исполнение Обществом требований законодательства Российской Федерации в сфере </w:t>
      </w:r>
      <w:r>
        <w:rPr>
          <w:sz w:val="24"/>
          <w:szCs w:val="24"/>
        </w:rPr>
        <w:t>противодействия неправомерному использованию инсайдерской информации и манипулированию рынком.</w:t>
      </w:r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2.1.2. Защита прав и имущественных интересов акционеров Общества и иных владельцев ценных бумаг Общества.</w:t>
      </w:r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2.1.3. Обеспечение экономической безопасности Общества.</w:t>
      </w:r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2.1.4. Недопущение манипулирования ценами на Финансовые инструменты Общества.</w:t>
      </w:r>
    </w:p>
    <w:p>
      <w:pPr>
        <w:pStyle w:val="Normal"/>
        <w:shd w:val="clear" w:color="auto" w:fill="FFFFFF"/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2.1.5. Защита репутации Общества и повышение уровня доверия к Обществу со стороны акционеров, кредиторов, потенциальных инвесторов Общества, профессиональных участников рынка ценных бумаг, государственных органов, участников международного страхового и перестраховочного рынка, а также иных заинтересованных лиц.</w:t>
      </w:r>
    </w:p>
    <w:p>
      <w:pPr>
        <w:pStyle w:val="Normal"/>
        <w:shd w:val="clear" w:color="auto" w:fill="FFFFFF"/>
        <w:tabs>
          <w:tab w:val="clear" w:pos="720"/>
          <w:tab w:val="left" w:pos="1134" w:leader="none"/>
          <w:tab w:val="left" w:pos="1276" w:leader="none"/>
        </w:tabs>
        <w:spacing w:lineRule="auto" w:line="276"/>
        <w:ind w:right="5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2.2. Основными задачами Положения являются предупреждение и пресечение случаев неправомерного использования Инсайдерской информации Общества, которая не является общедоступной, и Раскрытие которой может оказать влияние на рыночную стоимость Финансовых инструментов Общества, которые допущены к торговле на организованных торгах или в отношении которых подана заявка о допуске к торговле на указанных торгах.</w:t>
      </w:r>
    </w:p>
    <w:p>
      <w:pPr>
        <w:pStyle w:val="1"/>
        <w:rPr/>
      </w:pPr>
      <w:bookmarkStart w:id="7" w:name="_Toc210313375"/>
      <w:r>
        <w:rPr/>
        <w:t>3. ИНСАЙДЕРСКАЯ ИНФОРМАЦИЯ ОБЩЕСТВА</w:t>
      </w:r>
      <w:bookmarkEnd w:id="7"/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3.1. </w:t>
      </w:r>
      <w:bookmarkStart w:id="8" w:name="_Hlk212291600"/>
      <w:r>
        <w:rPr>
          <w:bCs/>
          <w:spacing w:val="-2"/>
          <w:sz w:val="24"/>
          <w:szCs w:val="24"/>
        </w:rPr>
        <w:t>Инсайдерская информация признается Инсайдерской информацией Общества при соблюдении следующих признаков (критериев</w:t>
      </w:r>
      <w:r>
        <w:rPr>
          <w:spacing w:val="-2"/>
          <w:sz w:val="24"/>
          <w:szCs w:val="24"/>
        </w:rPr>
        <w:t>):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3.1.1. Информация должна быть точной и конкретной, и связана с Обществом или Финансовыми инструментами Общества;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3.1.3. Информация не была распространена Обществом;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3.1.2. Информация должна быть существенной, то есть способной оказать влияние на рыночную стоимость Финансовых инструментов Общества.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3.1.3. Информация должна быть включена в Собственный перечень Инсайдерской информации Общества.</w:t>
      </w:r>
      <w:bookmarkEnd w:id="8"/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3.2. Общество составляет Собственный перечень Инсайдерской информации Общества на русском языке и раскрывает его путем опубликования в информационно-телекоммуникационной сети «Интернет» на официальном сайте Общества.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3.3. Собственный перечень Инсайдерской информации Общества утверждается ЕИО Общества.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3.4. Общество осуществляет контроль и принимает меры по актуализации соответствия Собственного перечня Инсайдерской информации Общества нормативно-правовым актам Банка России.</w:t>
      </w:r>
    </w:p>
    <w:p>
      <w:pPr>
        <w:pStyle w:val="1"/>
        <w:rPr/>
      </w:pPr>
      <w:bookmarkStart w:id="9" w:name="_Toc210313376"/>
      <w:r>
        <w:rPr/>
        <w:t>4. ИНСАЙДЕРЫ ОБЩЕСТВА</w:t>
      </w:r>
      <w:bookmarkEnd w:id="9"/>
    </w:p>
    <w:p>
      <w:pPr>
        <w:pStyle w:val="Normal"/>
        <w:widowControl/>
        <w:spacing w:lineRule="auto" w:line="276"/>
        <w:ind w:firstLine="540"/>
        <w:jc w:val="both"/>
        <w:rPr>
          <w:color w:val="000000"/>
          <w:sz w:val="24"/>
          <w:szCs w:val="24"/>
        </w:rPr>
      </w:pPr>
      <w:r>
        <w:rPr>
          <w:bCs/>
          <w:spacing w:val="-2"/>
          <w:sz w:val="24"/>
          <w:szCs w:val="24"/>
        </w:rPr>
        <w:t>4.1. Инсайдерами Общества в соответствии с</w:t>
      </w:r>
      <w:r>
        <w:rPr/>
        <w:t xml:space="preserve"> </w:t>
      </w:r>
      <w:r>
        <w:rPr>
          <w:bCs/>
          <w:spacing w:val="-2"/>
          <w:sz w:val="24"/>
          <w:szCs w:val="24"/>
        </w:rPr>
        <w:t xml:space="preserve">Федеральным законом № 224-ФЗ являются: </w:t>
      </w:r>
    </w:p>
    <w:p>
      <w:pPr>
        <w:pStyle w:val="Normal"/>
        <w:widowControl/>
        <w:spacing w:lineRule="auto" w:line="27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Лица, имеющие доступ к Инсайдерской информации </w:t>
      </w:r>
      <w:r>
        <w:rPr>
          <w:bCs/>
          <w:spacing w:val="-2"/>
          <w:sz w:val="24"/>
          <w:szCs w:val="24"/>
        </w:rPr>
        <w:t>Общества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</w:rPr>
        <w:t xml:space="preserve">на основании договоров, заключенных с Обществом, в том числе аудиторы (аудиторские организации), оценщики (юридические лица, с </w:t>
      </w:r>
      <w:r>
        <w:rPr>
          <w:sz w:val="24"/>
        </w:rPr>
        <w:t>которыми оценщики заключили трудовые договоры), профессиональные участники рынка ценных бумаг, кредитные организации, иностранные банки, осуществляющие деятельность на территории Российской Федерации через свои филиалы в соответствии с Федеральным законом «О банках и банковской деятельности», страховые организации, иностранные страховые организации, имеющие право в соответствии с Законом Российской Федерации от 27.11.1992 № 4015-1 «Об организации страхового дела в Российской Федерации» осуществлять страховую деятельность на территории Российской Федерации</w:t>
      </w:r>
      <w:r>
        <w:rPr>
          <w:sz w:val="24"/>
          <w:szCs w:val="24"/>
        </w:rPr>
        <w:t>.</w:t>
      </w:r>
    </w:p>
    <w:p>
      <w:pPr>
        <w:pStyle w:val="Normal"/>
        <w:widowControl/>
        <w:spacing w:lineRule="auto" w:line="27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4.1.2. Члены Совета директоров, члены Правления, лицо, осуществляющее функции ЕИО, члены Ревизионной комиссии Общества.</w:t>
      </w:r>
    </w:p>
    <w:p>
      <w:pPr>
        <w:pStyle w:val="Normal"/>
        <w:widowControl/>
        <w:spacing w:lineRule="auto" w:line="27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4.1.3. Информационные агентства, осуществляющие Раскрытие информации Общества.</w:t>
      </w:r>
    </w:p>
    <w:p>
      <w:pPr>
        <w:pStyle w:val="Normal"/>
        <w:widowControl/>
        <w:spacing w:lineRule="auto" w:line="27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4.1.4. Лица, осуществляющие присвоение кредитных рейтингов Обществу, а также ценным бумагам Общества.</w:t>
      </w:r>
    </w:p>
    <w:p>
      <w:pPr>
        <w:pStyle w:val="Normal"/>
        <w:widowControl/>
        <w:spacing w:lineRule="auto" w:line="276"/>
        <w:ind w:firstLine="540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4.1.5. Физические лица, имеющие доступ к Инсайдерской информации Общества, на основании трудовых и (или) гражданско-правовых договоров, заключенных с </w:t>
      </w:r>
      <w:r>
        <w:rPr>
          <w:sz w:val="24"/>
          <w:szCs w:val="24"/>
          <w:highlight w:val="white"/>
        </w:rPr>
        <w:t>Обществом.</w:t>
      </w:r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bCs/>
          <w:spacing w:val="-2"/>
          <w:sz w:val="24"/>
          <w:szCs w:val="24"/>
          <w:highlight w:val="white"/>
        </w:rPr>
      </w:pPr>
      <w:bookmarkStart w:id="10" w:name="Par9"/>
      <w:bookmarkStart w:id="11" w:name="Par1"/>
      <w:bookmarkStart w:id="12" w:name="Par4"/>
      <w:bookmarkStart w:id="13" w:name="Par6"/>
      <w:bookmarkStart w:id="14" w:name="Par8"/>
      <w:bookmarkStart w:id="15" w:name="Par11"/>
      <w:bookmarkStart w:id="16" w:name="Par12"/>
      <w:bookmarkEnd w:id="10"/>
      <w:bookmarkEnd w:id="11"/>
      <w:bookmarkEnd w:id="12"/>
      <w:bookmarkEnd w:id="13"/>
      <w:bookmarkEnd w:id="14"/>
      <w:bookmarkEnd w:id="15"/>
      <w:bookmarkEnd w:id="16"/>
      <w:r>
        <w:rPr>
          <w:bCs/>
          <w:spacing w:val="-2"/>
          <w:sz w:val="24"/>
          <w:szCs w:val="24"/>
          <w:highlight w:val="white"/>
        </w:rPr>
        <w:t>4.2. Инсайдеры Общества не вправе: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4.2.1. Предоставлять, распространять и без согласия Общества использовать Инсайдерскую информацию Общества.</w:t>
      </w:r>
    </w:p>
    <w:p>
      <w:pPr>
        <w:pStyle w:val="Normal"/>
        <w:widowControl/>
        <w:spacing w:lineRule="auto" w:line="276"/>
        <w:ind w:firstLine="567"/>
        <w:jc w:val="both"/>
        <w:rPr>
          <w:sz w:val="24"/>
          <w:szCs w:val="24"/>
        </w:rPr>
      </w:pPr>
      <w:r>
        <w:rPr>
          <w:bCs/>
          <w:spacing w:val="-2"/>
          <w:sz w:val="24"/>
          <w:szCs w:val="24"/>
        </w:rPr>
        <w:t>4.2.2. Давать рекомендации третьим лицам, обязывать или побуждать их иным образом к приобретению или продаже Финансовых инструментов Общества.</w:t>
      </w:r>
      <w:r>
        <w:rPr>
          <w:sz w:val="24"/>
          <w:szCs w:val="24"/>
        </w:rPr>
        <w:t xml:space="preserve"> </w:t>
      </w:r>
    </w:p>
    <w:p>
      <w:pPr>
        <w:pStyle w:val="Normal"/>
        <w:widowControl/>
        <w:spacing w:lineRule="auto" w:line="276"/>
        <w:ind w:firstLine="567"/>
        <w:jc w:val="both"/>
        <w:rPr>
          <w:bCs/>
          <w:spacing w:val="-2"/>
          <w:sz w:val="24"/>
          <w:szCs w:val="24"/>
        </w:rPr>
      </w:pPr>
      <w:r>
        <w:rPr>
          <w:sz w:val="24"/>
          <w:szCs w:val="24"/>
        </w:rPr>
        <w:t xml:space="preserve">4.2.3. </w:t>
      </w:r>
      <w:r>
        <w:rPr>
          <w:bCs/>
          <w:spacing w:val="-2"/>
          <w:sz w:val="24"/>
          <w:szCs w:val="24"/>
        </w:rPr>
        <w:t>Использовать Инсайдерскую информацию Общества для осуществления операций с Финансовыми инструментами Общества, которых касается Инсайдерская информация Общества, за свой счет или за счет третьего лица, за исключением совершения операций в рамках исполнения обязательства по покупке или продаже Финансовых инструментов Общества, срок исполнения которого наступил, если такое обязательство возникло в результате операции, совершенной до того, как лицу стала известна соответствующая Инсайдерская информация Общества.</w:t>
      </w:r>
    </w:p>
    <w:p>
      <w:pPr>
        <w:pStyle w:val="Normal"/>
        <w:widowControl/>
        <w:spacing w:lineRule="auto" w:line="276"/>
        <w:ind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4.2.4. Передавать Инсайдерскую информацию Общества другому лицу, за исключением случаев передачи этой информации лицу, включенному в Список инсайдеров Общества, в связи с исполнением обязанностей, установленных федеральными законами, либо в связи с исполнением трудовых обязанностей или исполнением договора.</w:t>
      </w:r>
    </w:p>
    <w:p>
      <w:pPr>
        <w:pStyle w:val="Normal"/>
        <w:widowControl/>
        <w:spacing w:lineRule="auto" w:line="276"/>
        <w:ind w:firstLine="567"/>
        <w:jc w:val="both"/>
        <w:rPr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4.2.5. Осуществлять действия, относящиеся в соответствии с </w:t>
      </w:r>
      <w:r>
        <w:rPr>
          <w:sz w:val="24"/>
          <w:szCs w:val="24"/>
          <w:lang w:bidi="pa-IN"/>
        </w:rPr>
        <w:t>Федеральным законом № 224-ФЗ</w:t>
      </w:r>
      <w:r>
        <w:rPr>
          <w:bCs/>
          <w:spacing w:val="-2"/>
          <w:sz w:val="24"/>
          <w:szCs w:val="24"/>
        </w:rPr>
        <w:t xml:space="preserve"> к манипулированию рынком.</w:t>
      </w:r>
    </w:p>
    <w:p>
      <w:pPr>
        <w:pStyle w:val="Normal"/>
        <w:widowControl/>
        <w:spacing w:lineRule="auto" w:line="276"/>
        <w:ind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4.3. Обязательства Инсайдеров Общества в отношении Инсайдерской информации Общества прекращаются в момент Раскрытия соответствующей Инсайдерской информации Общества в порядке, предусмотренном законодательством Российской Федерации, Положением и иными ЛНД (А) Общества.</w:t>
      </w:r>
    </w:p>
    <w:p>
      <w:pPr>
        <w:pStyle w:val="1"/>
        <w:rPr/>
      </w:pPr>
      <w:bookmarkStart w:id="17" w:name="_Toc210313377"/>
      <w:r>
        <w:rPr/>
        <w:t>5. ПОРЯДОК ВЕДЕНИЯ СПИСКА ИНСАЙДЕРОВ ОБЩЕСТВА.</w:t>
      </w:r>
      <w:bookmarkEnd w:id="17"/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5.1. </w:t>
      </w:r>
      <w:r>
        <w:rPr>
          <w:sz w:val="24"/>
          <w:szCs w:val="24"/>
        </w:rPr>
        <w:t xml:space="preserve">Общество ведет Список инсайдеров Общества в соответствии с требованиями </w:t>
      </w:r>
      <w:r>
        <w:rPr>
          <w:sz w:val="24"/>
          <w:szCs w:val="24"/>
          <w:lang w:bidi="pa-IN"/>
        </w:rPr>
        <w:t>Федерального закона № 224-ФЗ</w:t>
      </w:r>
      <w:r>
        <w:rPr>
          <w:sz w:val="24"/>
          <w:szCs w:val="24"/>
        </w:rPr>
        <w:t>, принятых в соответствии с ним нормативных актов и Положения.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5.2. Ведение Списка инсайдеров Общества, уведомление лиц о включении в Список инсайдеров Общества и исключении из Списка инсайдеров Общества, передачу Списка инсайдеров Общества организатору торговли, а также Банку России по его требованию осуществляет СПОИ.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5.3. Общество ведет список Инсайдеров Общества, указанных в п. 4.1. Положения.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5.4. Список инсайдеров Общества должен содержать следующую информацию: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5.4.1. Фамилию, имя, отчество, дату и место рождения, номер основного документа, удостоверяющего личность, сведения о дате выдачи указанного документа и выдавшем его органе, занимаемую должность, номер пункта (номера пунктов) статьи 4 </w:t>
      </w:r>
      <w:r>
        <w:rPr>
          <w:sz w:val="24"/>
          <w:szCs w:val="24"/>
          <w:lang w:bidi="pa-IN"/>
        </w:rPr>
        <w:t xml:space="preserve">Федерального закона № </w:t>
      </w:r>
      <w:r>
        <w:rPr>
          <w:sz w:val="24"/>
          <w:szCs w:val="24"/>
        </w:rPr>
        <w:t>224-ФЗ, в соответствии с которым (которыми) физическое лицо включено в Список инсайдеров, а также основание включения лица в Список - для физических лиц.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5.4.2. Полное фирменное наименование, ИНН, ОГРН, номер пункта (номера пунктов) статьи 4 </w:t>
      </w:r>
      <w:r>
        <w:rPr>
          <w:sz w:val="24"/>
          <w:szCs w:val="24"/>
          <w:lang w:bidi="pa-IN"/>
        </w:rPr>
        <w:t xml:space="preserve">Федерального закона № </w:t>
      </w:r>
      <w:r>
        <w:rPr>
          <w:sz w:val="24"/>
          <w:szCs w:val="24"/>
        </w:rPr>
        <w:t>224-ФЗ, в соответствии с которым (которыми) лицо включено в Список инсайдеров, а также основание включения лица в – для юридических лиц.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5.4.3. Дату, на которую Список инсайдеров Общества был создан или изменен.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5.4.4. Дату включения Инсайдера в Список инсайдеров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5.5. Общество составляет и ведет Список инсайдеров Общества на русском языке в электронном формате. 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5.6. Лицам, включенным (исключённым) в (из) Список (ка) инсайдеров Общества Уведомления в срок, не превышающий 7 (семь) рабочих дней со дня их включения в Список (исключении из Списка).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5.7. Уведомления направляются одним из следующих способов: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5.7.1. в форме электронного документа посредством использования программно-технических средств и сети «Интернет»;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5.7.2. в форме электронного документа посредством использования информационных систем и комплексов программно-технических средств Общества, используемых для корпоративного информационного взаимодействия (в том числе электронной почты)</w:t>
      </w:r>
      <w:r>
        <w:rPr/>
        <w:t xml:space="preserve"> </w:t>
      </w:r>
      <w:r>
        <w:rPr>
          <w:sz w:val="24"/>
          <w:szCs w:val="24"/>
        </w:rPr>
        <w:t>для инсайдеров, указанных в пунктах 4.1.2 и 4.1.5 Положения;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5.7.3. на бумажном носителе путем направления заказных почтовых отправлений с уведомлением о вручении (иным регистрируемым почтовым отправлением с уведомлением отправителя о вручении адресату) или путем передачи в курьерскую службу (иным способом, позволяющим подтвердить получение уведомления);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5.8. Уведомление в форме электронного документа должно быть подписано электронной подписью ЕИО Общества или уполномоченного им лица</w:t>
      </w:r>
      <w:r>
        <w:rPr/>
        <w:t xml:space="preserve"> </w:t>
      </w:r>
      <w:r>
        <w:rPr>
          <w:sz w:val="24"/>
          <w:szCs w:val="24"/>
        </w:rPr>
        <w:t>(за исключением направления уведомлений способами, указанными в пункте 5.7.2 Положения).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5.9. Уведомление на бумажном носителе должно быть подписано ЕИО Общества или уполномоченным им лицом.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5.10. Лица, включенные в Список инсайдеров Общества должны предоставить Обществу свое подтверждение о том, что они знают об обязанностях, возникающих в связи с доступом к Инсайдерской информации Общества, а также о мерах ответственности, налагаемых за злоупотребление такой информацией или за ненадлежащее обращение с ней, информация о которых доводится Обществом одновременно с направлением уведомления о включении указанных лиц в Список инсайдеров Общества. 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5.11. Информация о требованиях законодательства Российской Федерации об инсайдерской информации включается в Уведомление.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Уведомления о включении лица в Список инсайдеров Общества направляются Инсайдерам Общества в порядке, установленном Положением, и хранятся в Обществе в течение не менее 5 (пяти) лет с даты исключения лица из Списка инсайдеров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5.12. При исключении из Списка инсайдеров Общества Инсайдеры Общества обязаны передать Обществу имеющиеся материальные носители информации, содержащие Инсайдерскую информацию Общества, а также уничтожить Инсайдерскую информацию Общества, предоставленную Инсайдеру Общества в электронном виде.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5.13. Общество передает Список инсайдеров Общества организатору торговли, через которого совершаются операции с финансовыми инструментами, а также в Банк России по их требованию в порядке, установленном законодательством Российской Федерации.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5.14. За </w:t>
      </w:r>
      <w:r>
        <w:rPr>
          <w:sz w:val="24"/>
          <w:szCs w:val="24"/>
        </w:rPr>
        <w:t>неисполнение или ненадлежащее исполнение должностным лицом СПОИ обязанностей по составлению и ведению Списка инсайдеров Общества, а также уведомлению лиц, включенных в Список инсайдеров Общества предусмотрена дисциплинарная и (или) административная ответственность.</w:t>
      </w:r>
    </w:p>
    <w:p>
      <w:pPr>
        <w:pStyle w:val="1"/>
        <w:rPr/>
      </w:pPr>
      <w:bookmarkStart w:id="18" w:name="_Toc210313378"/>
      <w:r>
        <w:rPr/>
        <w:t>6. ПОРЯДОК И СРОКИ РАСКРЫТИЯ ИНСАЙДЕРСКОЙ ИНФОРМАЦИИ</w:t>
      </w:r>
      <w:bookmarkEnd w:id="18"/>
    </w:p>
    <w:p>
      <w:pPr>
        <w:pStyle w:val="Normal"/>
        <w:numPr>
          <w:ilvl w:val="0"/>
          <w:numId w:val="0"/>
        </w:numPr>
        <w:spacing w:lineRule="auto" w:line="276"/>
        <w:ind w:left="0" w:firstLine="567"/>
        <w:jc w:val="both"/>
        <w:outlineLvl w:val="1"/>
        <w:rPr>
          <w:sz w:val="24"/>
          <w:szCs w:val="24"/>
        </w:rPr>
      </w:pPr>
      <w:bookmarkStart w:id="19" w:name="_Toc9"/>
      <w:bookmarkStart w:id="20" w:name="_Toc202447475"/>
      <w:bookmarkStart w:id="21" w:name="_Toc210313379"/>
      <w:r>
        <w:rPr>
          <w:sz w:val="24"/>
          <w:szCs w:val="24"/>
        </w:rPr>
        <w:t>6.1. Общество осуществляет Раскрытие Инсайдерской информации, следующими способами:</w:t>
      </w:r>
      <w:bookmarkEnd w:id="19"/>
      <w:bookmarkEnd w:id="20"/>
      <w:bookmarkEnd w:id="21"/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6.1.1. Путем публикации в </w:t>
      </w:r>
      <w:r>
        <w:rPr>
          <w:spacing w:val="-2"/>
          <w:sz w:val="24"/>
          <w:szCs w:val="24"/>
        </w:rPr>
        <w:t>информационном ресурсе, обновляемом в режиме реального времени и предоставляемом информационным агентством, аккредитованным Банком России</w:t>
      </w:r>
      <w:r>
        <w:rPr>
          <w:sz w:val="24"/>
          <w:szCs w:val="24"/>
        </w:rPr>
        <w:t xml:space="preserve">. 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6.1.2. Путем публикации на официальном сайте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 Инсайдерская информация, включенная в Перечень инсайдерской информации и включенная Собственный перечень Инсайдерской информации Общества, подлежит раскрытию в сроки, установленные нормативными актами Банка России.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Инсайдерская информация Общества, не содержащаяся Перечне инсайдерской информации, и включенная Собственный перечень Инсайдерской информации Общества, раскрывается в сроки, аналогичные срокам Раскрытия инсайдерской информации, включенной в Перечень инсайдерской информации.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 Если срок Раскрытия инсайдерской информации приходится на нерабочий день, то раскрытие осуществляется в ближайший следующий за ним рабочий день.</w:t>
      </w:r>
    </w:p>
    <w:p>
      <w:pPr>
        <w:pStyle w:val="Normal"/>
        <w:numPr>
          <w:ilvl w:val="0"/>
          <w:numId w:val="0"/>
        </w:numPr>
        <w:spacing w:lineRule="auto" w:line="276"/>
        <w:ind w:left="0" w:firstLine="567"/>
        <w:jc w:val="both"/>
        <w:outlineLvl w:val="1"/>
        <w:rPr>
          <w:sz w:val="24"/>
          <w:szCs w:val="24"/>
        </w:rPr>
      </w:pPr>
      <w:bookmarkStart w:id="22" w:name="_Toc10"/>
      <w:bookmarkStart w:id="23" w:name="_Toc202447476"/>
      <w:bookmarkStart w:id="24" w:name="_Toc210313380"/>
      <w:r>
        <w:rPr>
          <w:sz w:val="24"/>
          <w:szCs w:val="24"/>
        </w:rPr>
        <w:t>6.5. Доступ к текстам сообщений об Инсайдерской информации Общества, осуществляется в течение не менее 12 (двенадцати) месяцев с даты их опубликования.</w:t>
      </w:r>
      <w:bookmarkEnd w:id="22"/>
      <w:bookmarkEnd w:id="23"/>
      <w:bookmarkEnd w:id="24"/>
    </w:p>
    <w:p>
      <w:pPr>
        <w:pStyle w:val="Normal"/>
        <w:numPr>
          <w:ilvl w:val="0"/>
          <w:numId w:val="0"/>
        </w:numPr>
        <w:spacing w:lineRule="auto" w:line="276"/>
        <w:ind w:left="0" w:firstLine="567"/>
        <w:jc w:val="both"/>
        <w:outlineLvl w:val="1"/>
        <w:rPr>
          <w:sz w:val="24"/>
          <w:szCs w:val="24"/>
        </w:rPr>
      </w:pPr>
      <w:bookmarkStart w:id="25" w:name="_Toc11"/>
      <w:bookmarkStart w:id="26" w:name="_Toc202447477"/>
      <w:bookmarkStart w:id="27" w:name="_Toc210313381"/>
      <w:r>
        <w:rPr>
          <w:sz w:val="24"/>
          <w:szCs w:val="24"/>
        </w:rPr>
        <w:t>6.6. С момента опубликования Инсайдерской информации Общества информация утрачивает статус инсайдерской и становится общедоступной.</w:t>
      </w:r>
      <w:bookmarkEnd w:id="25"/>
      <w:bookmarkEnd w:id="26"/>
      <w:bookmarkEnd w:id="27"/>
    </w:p>
    <w:p>
      <w:pPr>
        <w:pStyle w:val="Normal"/>
        <w:shd w:val="clear" w:color="auto" w:fill="FFFFFF"/>
        <w:spacing w:lineRule="auto" w:line="276"/>
        <w:ind w:right="10" w:firstLine="56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6.7. </w:t>
      </w:r>
      <w:r>
        <w:rPr>
          <w:spacing w:val="-2"/>
          <w:sz w:val="24"/>
          <w:szCs w:val="24"/>
        </w:rPr>
        <w:t>В случае если после Раскрытия Инсайдерской информации Общества сведения, входящие в состав указанной информации, изменяются, информация об этом должна быть раскрыта в порядке, предусмотренном пунктом 6.1. Положения.</w:t>
      </w:r>
    </w:p>
    <w:p>
      <w:pPr>
        <w:pStyle w:val="1"/>
        <w:rPr/>
      </w:pPr>
      <w:bookmarkStart w:id="28" w:name="_Toc210313382"/>
      <w:r>
        <w:rPr/>
        <w:t>7. УСЛОВИЯ СОВЕРШЕНИЯ ОПЕРАЦИЙ С ФИНАНСОВЫМИ ИНСТРУМЕНТАМИ ОБЩЕСТВА</w:t>
      </w:r>
      <w:bookmarkEnd w:id="28"/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7.1. Инсайдеры Общества самостоятельно доводят до сведения Связанных с Инсайдером Общества лиц информацию о запрете Общества совершать сделки с Финансовыми инструментами Общества, а также об иных условиях совершения операций с Финансовыми инструментами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Инсайдерам Общества и Связанным с Инсайдером Общества лицам (далее в целях настоящего раздела Положения указанные лица именуются Инсайдерами Общества) запрещается использовать Инсайдерскую информацию Общества для осуществления операций с Финансовыми инструментами Общества, которых касается </w:t>
      </w:r>
      <w:r>
        <w:rPr>
          <w:bCs/>
          <w:spacing w:val="-2"/>
          <w:sz w:val="24"/>
          <w:szCs w:val="24"/>
        </w:rPr>
        <w:t>Инсайдерская информация Общества</w:t>
      </w:r>
      <w:r>
        <w:rPr>
          <w:sz w:val="24"/>
          <w:szCs w:val="24"/>
        </w:rPr>
        <w:t>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color w:val="000000"/>
          <w:sz w:val="24"/>
        </w:rPr>
        <w:t>7.3. Условиями совершения операций с Финансовыми инструментами Общества являются: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7.3.1 Инсайдеры Общества перед осуществлением операций с Финансовыми инструментами Общества должны проверять является ли </w:t>
      </w:r>
      <w:r>
        <w:rPr>
          <w:sz w:val="24"/>
          <w:szCs w:val="24"/>
          <w:lang w:bidi="pa-IN"/>
        </w:rPr>
        <w:t>информация об Обществе, используемая при совершении сделки, общедоступной на момент совершения сделки;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bidi="pa-IN"/>
        </w:rPr>
        <w:t xml:space="preserve">7.3.2. Инсайдерам Общества запрещено совершение любых операций с Финансовыми инструментами Общества за 30 (Тридцать) дней до </w:t>
      </w:r>
      <w:r>
        <w:rPr>
          <w:sz w:val="24"/>
          <w:szCs w:val="24"/>
        </w:rPr>
        <w:t>опубликования промежуточной или годовой отчетности Общества, составленной в соответствии с российскими стандартами бухгалтерского учета или международными стандартами финансовой отчетности;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bidi="pa-IN"/>
        </w:rPr>
        <w:t>7.3.4. Покупка Финансовых инструментов Общества допускается только в целях долгосрочного владения Финансовыми инструментами Общества и не допускается в спекулятивных целях.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bookmarkStart w:id="29" w:name="_Hlk209076739"/>
      <w:r>
        <w:rPr>
          <w:sz w:val="24"/>
          <w:szCs w:val="24"/>
        </w:rPr>
        <w:t xml:space="preserve">СПОИ </w:t>
      </w:r>
      <w:bookmarkEnd w:id="29"/>
      <w:r>
        <w:rPr>
          <w:sz w:val="24"/>
          <w:szCs w:val="24"/>
          <w:highlight w:val="white"/>
        </w:rPr>
        <w:t>м</w:t>
      </w:r>
      <w:r>
        <w:rPr>
          <w:sz w:val="24"/>
          <w:szCs w:val="24"/>
        </w:rPr>
        <w:t xml:space="preserve">ожет устанавливать иные периоды, запрещающие Инсайдерам Общества совершение операций с Финансовыми инструментами Общества. В этом случае такая информация будет доведена до Инсайдеров Общества посредством размещения на официальном сайте Общества в разделе «Инсайдерская информация», и может быть направлена по электронной почте или почтовой связью. 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</w:t>
      </w:r>
      <w:r>
        <w:rPr>
          <w:bCs/>
          <w:spacing w:val="-2"/>
          <w:sz w:val="24"/>
          <w:szCs w:val="24"/>
        </w:rPr>
        <w:t>По запросу Общества Инсайдеры Общества обязаны у</w:t>
      </w:r>
      <w:r>
        <w:rPr>
          <w:sz w:val="24"/>
          <w:szCs w:val="24"/>
        </w:rPr>
        <w:t>ведомлять Общество о совершенных ими операциях с ценными бумагами Общества и о заключении договоров, являющихся производными Финансовыми инструментами, цена которых зависит от таких ценных бумаг. Ф</w:t>
      </w:r>
      <w:r>
        <w:rPr>
          <w:spacing w:val="-2"/>
          <w:sz w:val="24"/>
          <w:szCs w:val="24"/>
        </w:rPr>
        <w:t xml:space="preserve">орма уведомления оформляется </w:t>
      </w:r>
      <w:r>
        <w:rPr>
          <w:sz w:val="24"/>
          <w:szCs w:val="24"/>
        </w:rPr>
        <w:t>в соответствии с Приложением 2 к Положению.</w:t>
      </w:r>
    </w:p>
    <w:p>
      <w:pPr>
        <w:pStyle w:val="Normal"/>
        <w:widowControl/>
        <w:spacing w:lineRule="auto" w:line="276"/>
        <w:ind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7.6. Суперинсайдеры Общества и Связанные с Суперинсайдером лица обязаны предварительного уведомлять Ревизионную комиссию Общества о планируемых сделках с Финансовыми инструментами Общества.</w:t>
      </w:r>
    </w:p>
    <w:p>
      <w:pPr>
        <w:pStyle w:val="Normal"/>
        <w:widowControl/>
        <w:spacing w:lineRule="auto" w:line="276"/>
        <w:ind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7.7. Ревизионная комиссия Общества может осуществлять дополнительный контроль соблюдения Обществом требований в сфере </w:t>
      </w:r>
      <w:r>
        <w:rPr>
          <w:sz w:val="24"/>
          <w:szCs w:val="24"/>
        </w:rPr>
        <w:t>противодействия неправомерному использованию инсайдерской информации и манипулированию рынком</w:t>
      </w:r>
      <w:r>
        <w:rPr>
          <w:spacing w:val="-2"/>
          <w:sz w:val="24"/>
          <w:szCs w:val="24"/>
        </w:rPr>
        <w:t xml:space="preserve"> и оценку эффективности внутреннего контроля.</w:t>
      </w:r>
    </w:p>
    <w:p>
      <w:pPr>
        <w:pStyle w:val="Normal"/>
        <w:spacing w:lineRule="auto" w:line="276"/>
        <w:ind w:firstLine="567"/>
        <w:jc w:val="both"/>
        <w:rPr>
          <w:sz w:val="24"/>
        </w:rPr>
      </w:pPr>
      <w:r>
        <w:rPr>
          <w:sz w:val="24"/>
          <w:szCs w:val="24"/>
          <w:lang w:bidi="pa-IN"/>
        </w:rPr>
        <w:t xml:space="preserve">7.8. </w:t>
      </w:r>
      <w:r>
        <w:rPr>
          <w:sz w:val="24"/>
        </w:rPr>
        <w:t>Совершение операций с Финансовыми инструментами Общества с нарушением условий совершения таких операций, перечисленных в Положении, является основанием для привлечения указанных лиц к дисциплинарной, административной, уголовной ответственности.</w:t>
      </w:r>
    </w:p>
    <w:p>
      <w:pPr>
        <w:pStyle w:val="1"/>
        <w:numPr>
          <w:ilvl w:val="0"/>
          <w:numId w:val="2"/>
        </w:numPr>
        <w:rPr/>
      </w:pPr>
      <w:bookmarkStart w:id="30" w:name="_Toc210313383"/>
      <w:r>
        <w:rPr/>
        <w:t>ПОРЯДОК ДОСТУПА К ИНСАЙДЕРСКОЙ ИНФОРМАЦИИ И ПРАВИЛА ОХРАНЫ ЕЕ КОНФИДЕНЦИАЛЬНОСТИ</w:t>
      </w:r>
      <w:bookmarkEnd w:id="30"/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8.1. Обеспечение доступа к Инсайдерской информации Общества, ее сохранности и защиты основывается на следующих принципах: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8.1.1. Принцип непрерывности и эффективности процесса обеспечения защиты и сохранности Инсайдерской информации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8.1.2. Принцип предотвращения конфликта интересов при обращении Инсайдерской информации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8.1.3. Принцип соответствия мер по обеспечению защиты и сохранности Инсайдерской информации Общества, в том числе предотвращению, выявлению и пресечению ее неправомерного использования, характеру и масштабу деятельности Общества.</w:t>
      </w:r>
    </w:p>
    <w:p>
      <w:pPr>
        <w:pStyle w:val="ConsPlusNormal"/>
        <w:spacing w:lineRule="auto" w:line="276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8.2. Общество принимает следующие меры по обеспечению доступа, защиты и сохранности Инсайдерской информации Общества:</w:t>
      </w:r>
    </w:p>
    <w:p>
      <w:pPr>
        <w:pStyle w:val="Normal"/>
        <w:numPr>
          <w:ilvl w:val="0"/>
          <w:numId w:val="0"/>
        </w:numPr>
        <w:spacing w:lineRule="auto" w:line="276"/>
        <w:ind w:left="0" w:firstLine="567"/>
        <w:jc w:val="both"/>
        <w:outlineLvl w:val="1"/>
        <w:rPr>
          <w:sz w:val="24"/>
          <w:szCs w:val="24"/>
          <w:highlight w:val="white"/>
          <w:lang w:bidi="pa-IN"/>
        </w:rPr>
      </w:pPr>
      <w:bookmarkStart w:id="31" w:name="_Toc14"/>
      <w:bookmarkStart w:id="32" w:name="_Toc202456027"/>
      <w:bookmarkStart w:id="33" w:name="_Toc210313385"/>
      <w:r>
        <w:rPr>
          <w:sz w:val="24"/>
          <w:szCs w:val="24"/>
          <w:highlight w:val="white"/>
          <w:lang w:bidi="pa-IN"/>
        </w:rPr>
        <w:t>8.2.1. Доступ к Инсайдерской информации Общества имеют только те лица, которые включены в Список инсайдеров Общества и обладают основаниями доступа к инсайдерской информации, предусмотренных законодательством Российской Федерации.</w:t>
      </w:r>
      <w:bookmarkEnd w:id="31"/>
      <w:bookmarkEnd w:id="32"/>
      <w:bookmarkEnd w:id="33"/>
    </w:p>
    <w:p>
      <w:pPr>
        <w:pStyle w:val="Normal"/>
        <w:numPr>
          <w:ilvl w:val="0"/>
          <w:numId w:val="0"/>
        </w:numPr>
        <w:spacing w:lineRule="auto" w:line="276"/>
        <w:ind w:left="0" w:firstLine="567"/>
        <w:jc w:val="both"/>
        <w:outlineLvl w:val="1"/>
        <w:rPr>
          <w:sz w:val="24"/>
          <w:szCs w:val="24"/>
        </w:rPr>
      </w:pPr>
      <w:bookmarkStart w:id="34" w:name="_Toc15"/>
      <w:bookmarkStart w:id="35" w:name="undefined"/>
      <w:bookmarkStart w:id="36" w:name="_Toc202456028"/>
      <w:bookmarkStart w:id="37" w:name="_Toc210313387"/>
      <w:r>
        <w:rPr>
          <w:sz w:val="24"/>
          <w:szCs w:val="24"/>
          <w:lang w:bidi="pa-IN"/>
        </w:rPr>
        <w:t>8.2.2. Члены органов управления и контроля Общества, а также работники Общества, занимающие должность не ниже заместителя Генерального директора по корпоративно-правовому управлению и включенные в Список</w:t>
      </w:r>
      <w:r>
        <w:rPr>
          <w:sz w:val="24"/>
          <w:szCs w:val="24"/>
        </w:rPr>
        <w:t xml:space="preserve"> инсайдеров Общества</w:t>
      </w:r>
      <w:r>
        <w:rPr>
          <w:sz w:val="24"/>
          <w:szCs w:val="24"/>
          <w:lang w:bidi="pa-IN"/>
        </w:rPr>
        <w:t xml:space="preserve"> имеют доступ к любой Инсайдерской информации Общества, за исключением случаев, когда их доступ к определенной информации органичен </w:t>
      </w:r>
      <w:r>
        <w:rPr>
          <w:sz w:val="24"/>
          <w:szCs w:val="24"/>
        </w:rPr>
        <w:t>СПОИ</w:t>
      </w:r>
      <w:r>
        <w:rPr>
          <w:sz w:val="24"/>
          <w:szCs w:val="24"/>
          <w:lang w:bidi="pa-IN"/>
        </w:rPr>
        <w:t>.</w:t>
      </w:r>
      <w:bookmarkEnd w:id="35"/>
      <w:bookmarkEnd w:id="36"/>
      <w:bookmarkEnd w:id="37"/>
      <w:r>
        <w:rPr>
          <w:sz w:val="24"/>
          <w:szCs w:val="24"/>
          <w:lang w:bidi="pa-IN"/>
        </w:rPr>
        <w:t xml:space="preserve"> </w:t>
      </w:r>
      <w:bookmarkEnd w:id="34"/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highlight w:val="white"/>
          <w:lang w:bidi="pa-IN"/>
        </w:rPr>
        <w:t>8.2.3. Иные лица, включенные в Список</w:t>
      </w:r>
      <w:r>
        <w:rPr>
          <w:sz w:val="24"/>
          <w:szCs w:val="24"/>
        </w:rPr>
        <w:t xml:space="preserve"> инсайдеров Общества</w:t>
      </w:r>
      <w:r>
        <w:rPr>
          <w:sz w:val="24"/>
          <w:szCs w:val="24"/>
          <w:highlight w:val="white"/>
          <w:lang w:bidi="pa-IN"/>
        </w:rPr>
        <w:t xml:space="preserve">, имеют доступ только к той </w:t>
      </w:r>
      <w:r>
        <w:rPr>
          <w:bCs/>
          <w:spacing w:val="-2"/>
          <w:sz w:val="24"/>
          <w:szCs w:val="24"/>
        </w:rPr>
        <w:t>Инсайдерской информации Общества</w:t>
      </w:r>
      <w:r>
        <w:rPr>
          <w:sz w:val="24"/>
          <w:szCs w:val="24"/>
          <w:highlight w:val="white"/>
          <w:lang w:bidi="pa-IN"/>
        </w:rPr>
        <w:t xml:space="preserve">, которая необходима им для исполнения своих обязанностей в рамках заключенных с ними договоров. </w:t>
      </w:r>
      <w:r>
        <w:rPr>
          <w:sz w:val="24"/>
          <w:szCs w:val="24"/>
          <w:lang w:bidi="pa-IN"/>
        </w:rPr>
        <w:t xml:space="preserve">Иная </w:t>
      </w:r>
      <w:r>
        <w:rPr>
          <w:bCs/>
          <w:spacing w:val="-2"/>
          <w:sz w:val="24"/>
          <w:szCs w:val="24"/>
        </w:rPr>
        <w:t>Инсайдерская информация Общества</w:t>
      </w:r>
      <w:r>
        <w:rPr>
          <w:sz w:val="24"/>
          <w:szCs w:val="24"/>
          <w:lang w:bidi="pa-IN"/>
        </w:rPr>
        <w:t xml:space="preserve"> может предоставляться таким лицам с согласия </w:t>
      </w:r>
      <w:r>
        <w:rPr>
          <w:sz w:val="24"/>
          <w:szCs w:val="24"/>
        </w:rPr>
        <w:t>СПОИ</w:t>
      </w:r>
      <w:r>
        <w:rPr>
          <w:sz w:val="24"/>
          <w:szCs w:val="24"/>
          <w:lang w:bidi="pa-IN"/>
        </w:rPr>
        <w:t>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highlight w:val="white"/>
          <w:lang w:bidi="pa-IN"/>
        </w:rPr>
      </w:pPr>
      <w:r>
        <w:rPr>
          <w:sz w:val="24"/>
          <w:szCs w:val="24"/>
          <w:highlight w:val="white"/>
          <w:lang w:bidi="pa-IN"/>
        </w:rPr>
        <w:t xml:space="preserve">8.2.4. В случае необходимости предоставления доступа к определенной Инсайдерской информации Общества лицам, не включенным в Список инсайдеров Общества, такое предоставление осуществляется после включения их в Список инсайдеров Общества. 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 Общество вправе вводить специальные процедуры и меры, направленные на охрану </w:t>
      </w:r>
      <w:r>
        <w:rPr>
          <w:bCs/>
          <w:spacing w:val="-2"/>
          <w:sz w:val="24"/>
          <w:szCs w:val="24"/>
        </w:rPr>
        <w:t>Инсайдерской информации Общества</w:t>
      </w:r>
      <w:r>
        <w:rPr>
          <w:sz w:val="24"/>
          <w:szCs w:val="24"/>
          <w:lang w:bidi="pa-IN"/>
        </w:rPr>
        <w:t xml:space="preserve"> от неправомерного использования, в том числе, но не ограничиваясь: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8.3.1. Ограничивать права доступа к Инсайдерской информации Общества для Инсайдеров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8.3.2. Определять места и источники хранения Инсайдерской информации Общества, а также разрешать доступ к Инсайдерской информации Общества в определенных местах, с определенных носителей или в определенных источниках доступа.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8.3.3. Использовать системы защиты информационно-технических систем, предохраняющие от потери Инсайдерской информации Общества и несанкционированного доступа к такой информации, в том числе предусматривать средства идентификации субъектов доступа и объектов доступа, присваивать субъектам и объектам доступа уникальный признак (идентификатор).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8.3.4. Обеспечивать расположение мониторов компьютеров работников, имеющих доступ к Инсайдерской информации Общества, исключающее риски ознакомления с Инсайдерской информации Общества иными лицами.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8.3.5. Осуществлять контроль за передачей средств идентификации работников Общества, имеющих доступ к Инсайдерской информации Общества, иным лицам.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8.3.6. Устанавливать средства идентификации к принтерам и аналогичным устройствам, используемым работниками Общества, имеющими доступ к Инсайдерской информации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8.3.7. Устанавливать ограничения на использование личных средств связи, компьютеров, машинных носителей информации работниками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8.3.8. Запрещать несанкционированный доступ к рабочим местам, компьютерам, машинным носителям информации работников Общества, имеющих доступ к Инсайдерской информации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8.3.9. Проводить переговоры в отдельных помещениях (комнатах переговоров), обеспечивающих исключение возможности неправомерного распространения информации о факте и содержании указанных переговоров, в случае наличия риска неправомерного использования Инсайдерской информации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8.3.10. Устанавливать рабочие места работников, имеющих доступ к Инсайдерской информации Общества, в помещениях, отделенных от помещений, в которых находятся рабочие места иных работников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8.3.11. Хранить документы, содержащие сведения, составляющие Инсайдерской информации Общества, в местах, доступ к которым ограничен.</w:t>
      </w:r>
    </w:p>
    <w:p>
      <w:pPr>
        <w:pStyle w:val="Normal"/>
        <w:spacing w:lineRule="auto" w:line="276"/>
        <w:ind w:firstLine="540"/>
        <w:jc w:val="both"/>
        <w:rPr>
          <w:color w:val="000000"/>
          <w:sz w:val="24"/>
        </w:rPr>
      </w:pPr>
      <w:r>
        <w:rPr>
          <w:sz w:val="24"/>
          <w:szCs w:val="24"/>
          <w:lang w:bidi="pa-IN"/>
        </w:rPr>
        <w:t xml:space="preserve">8.4. </w:t>
      </w:r>
      <w:r>
        <w:rPr>
          <w:color w:val="000000"/>
          <w:sz w:val="24"/>
        </w:rPr>
        <w:t xml:space="preserve">Права и обязанности ОСП и </w:t>
      </w:r>
      <w:r>
        <w:rPr>
          <w:sz w:val="24"/>
          <w:szCs w:val="24"/>
          <w:lang w:bidi="pa-IN"/>
        </w:rPr>
        <w:t>ОДЛ</w:t>
      </w:r>
      <w:r>
        <w:rPr>
          <w:color w:val="000000"/>
          <w:sz w:val="24"/>
        </w:rPr>
        <w:t xml:space="preserve"> определены Правилами ВК ПНИИИМР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color w:val="000000"/>
          <w:sz w:val="24"/>
        </w:rPr>
        <w:t xml:space="preserve">8.5. </w:t>
      </w:r>
      <w:r>
        <w:rPr>
          <w:sz w:val="24"/>
          <w:szCs w:val="24"/>
          <w:lang w:bidi="pa-IN"/>
        </w:rPr>
        <w:t xml:space="preserve">Права и обязанности ЕИО Общества, в части защиты и сохранности Инсайдерской информации Общества и реализации мер по предотвращению, выявлению и пресечению ее неправомерного использования </w:t>
      </w:r>
      <w:r>
        <w:rPr>
          <w:color w:val="000000"/>
          <w:sz w:val="24"/>
        </w:rPr>
        <w:t>определены Правилами ВК ПНИИИМР Общества</w:t>
      </w:r>
      <w:r>
        <w:rPr>
          <w:sz w:val="24"/>
          <w:szCs w:val="24"/>
          <w:lang w:bidi="pa-IN"/>
        </w:rPr>
        <w:t>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8.6.</w:t>
        <w:tab/>
        <w:t>Инсайдеры Общества, имеющие право доступа к Инсайдерской информации Общества, в пределах своей компетенции и предоставленных в установленном порядке полномочий обязаны принимать все зависящие от них меры к защите и недопущению неправомерного использования Инсайдерской информации Общества.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 В случае передачи Инсайдером Общества Инсайдерской информации Общества лицу, не включенному в Список инсайдеров Общества, Инсайдер Общества должен предоставить СПОИ </w:t>
      </w:r>
      <w:r>
        <w:rPr>
          <w:sz w:val="24"/>
          <w:szCs w:val="24"/>
        </w:rPr>
        <w:t xml:space="preserve">сведения о </w:t>
      </w:r>
      <w:r>
        <w:rPr>
          <w:sz w:val="24"/>
          <w:szCs w:val="24"/>
          <w:lang w:bidi="pa-IN"/>
        </w:rPr>
        <w:t>лице, которому планируется передача информации, дату и время передачи, причины передачи информации.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8.8. Лица, не включенные в Список инсайдеров Общества, но получившие доступ к Инсайдерской информации Общества, обязаны: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прекратить ознакомление с Инсайдерской информацией Общества;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принять исчерпывающие меры по сохранению конфиденциальности Инсайдерской информации Общества;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исключить распространение или предоставление Инсайдерской информации Общества;</w:t>
      </w:r>
    </w:p>
    <w:p>
      <w:pPr>
        <w:pStyle w:val="Normal"/>
        <w:spacing w:lineRule="auto" w:line="276"/>
        <w:ind w:firstLine="567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действовать в соответствии с указаниями СПОИ.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 Обществом проводится обучение, включающее в себя разъяснения положений Федерального закона № 224-ФЗ и принятых в соответствии с ним нормативных актов, и ЛНД (А) Общества в сфере </w:t>
      </w:r>
      <w:r>
        <w:rPr>
          <w:sz w:val="24"/>
          <w:szCs w:val="24"/>
        </w:rPr>
        <w:t>противодействия неправомерному использованию инсайдерской информации и манипулированию рынком</w:t>
      </w:r>
      <w:r>
        <w:rPr>
          <w:sz w:val="24"/>
          <w:szCs w:val="24"/>
          <w:lang w:bidi="pa-IN"/>
        </w:rPr>
        <w:t>. Обучающие материалы должны быть адаптированы для понимания различных категорий работников Общества, а также доступны им и Инсайдерам Общества на постоянной основе.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Обучающий курс в сфере </w:t>
      </w:r>
      <w:r>
        <w:rPr>
          <w:sz w:val="24"/>
          <w:szCs w:val="24"/>
        </w:rPr>
        <w:t>противодействия неправомерному использованию инсайдерской информации и манипулированию рынком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bidi="pa-IN"/>
        </w:rPr>
        <w:t>в обязательном порядке должно включать в себя следующие тематики: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- основные требования Федерального закона № 224-ФЗ и принятых в соответствии с ним нормативных актов, в части, защиты и охраны инсайдерской информации;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- требования ЛНД (А) Общества в сфере </w:t>
      </w:r>
      <w:r>
        <w:rPr>
          <w:sz w:val="24"/>
          <w:szCs w:val="24"/>
        </w:rPr>
        <w:t>противодействия неправомерному использованию инсайдерской информации и манипулированию рынком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bidi="pa-IN"/>
        </w:rPr>
        <w:t>в части, защиты и охраны инсайдерской информации;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- последствия нарушений требований Федерального закона № 224-ФЗ и принятых в соответствии с ним нормативных актов, ЛНД (А) Общества.</w:t>
      </w:r>
    </w:p>
    <w:p>
      <w:pPr>
        <w:pStyle w:val="Normal"/>
        <w:spacing w:lineRule="auto" w:line="276"/>
        <w:ind w:firstLine="540"/>
        <w:jc w:val="both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>Периодичность проведения обучения работников уславливается отдельным ЛНД (А) Общества.</w:t>
      </w:r>
    </w:p>
    <w:p>
      <w:pPr>
        <w:pStyle w:val="1"/>
        <w:rPr/>
      </w:pPr>
      <w:bookmarkStart w:id="38" w:name="_Toc210313389"/>
      <w:r>
        <w:rPr/>
        <w:t>9. ОТВЕТСТВЕННОСТЬ</w:t>
      </w:r>
      <w:bookmarkEnd w:id="38"/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sz w:val="24"/>
          <w:szCs w:val="24"/>
        </w:rPr>
      </w:pPr>
      <w:bookmarkStart w:id="39" w:name="_Toc17"/>
      <w:bookmarkStart w:id="40" w:name="_Toc202447480"/>
      <w:bookmarkEnd w:id="39"/>
      <w:bookmarkEnd w:id="40"/>
      <w:r>
        <w:rPr>
          <w:sz w:val="24"/>
          <w:szCs w:val="24"/>
        </w:rPr>
        <w:t>9.1. Инсайдеры Общества, являющиеся работниками Общества, несут ответственность за неправомерное использование Инсайдерской информации Общества и могут быть привлечены к дисциплинарной, административной, уголовной или гражданско-правовой ответственности в соответствии с законодательством Российской Федерации и условиями трудовых отношений с Обществом.</w:t>
      </w:r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sz w:val="24"/>
          <w:szCs w:val="24"/>
        </w:rPr>
      </w:pPr>
      <w:r>
        <w:rPr>
          <w:sz w:val="24"/>
          <w:szCs w:val="24"/>
        </w:rPr>
        <w:t>9.2. Инсайдеры Общества, не являющиеся работниками Общества, несут ответственность за неправомерное использование Инсайдерской информации Общества и могут быть привлечены к административной, уголовной или гражданско-правовой ответственности в соответствии с законодательством Российской Федерации и условиями договоров с Обществом.</w:t>
      </w:r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sz w:val="24"/>
          <w:szCs w:val="24"/>
        </w:rPr>
      </w:pPr>
      <w:r>
        <w:rPr>
          <w:sz w:val="24"/>
          <w:szCs w:val="24"/>
        </w:rPr>
        <w:t>9.3. К ответственности могут быть привлечены лица, не включенные в Список инсайдеров Общества, но распространяющие Инсайдерскую информацию Общества или совершающие операции с Финансовыми инструментами Общества с использованием Инсайдерской информации Общества.</w:t>
      </w:r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sz w:val="24"/>
          <w:szCs w:val="24"/>
        </w:rPr>
      </w:pPr>
      <w:r>
        <w:rPr>
          <w:sz w:val="24"/>
          <w:szCs w:val="24"/>
        </w:rPr>
        <w:t>9.4. Любое лицо, распространившее ложные сведения, не несет ответственности за манипулирование рынком, если оно не знало и не должно было знать, что распространенные сведения являются ложными.</w:t>
      </w:r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sz w:val="24"/>
          <w:szCs w:val="24"/>
        </w:rPr>
      </w:pPr>
      <w:r>
        <w:rPr>
          <w:bCs/>
          <w:spacing w:val="-2"/>
          <w:sz w:val="24"/>
          <w:szCs w:val="24"/>
        </w:rPr>
        <w:t>9.5. Любое лицо, использовавшее Инсайдерскую информацию Общества, не несет ответственности за неправомерное использование Инсайдерской информации Общества, если оно не знало и не должно было знать, что такая информация является инсайдерской.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993" w:leader="none"/>
        </w:tabs>
        <w:spacing w:lineRule="auto" w:line="276"/>
        <w:ind w:left="0" w:firstLine="539"/>
        <w:jc w:val="both"/>
        <w:outlineLvl w:val="1"/>
        <w:rPr>
          <w:sz w:val="24"/>
          <w:szCs w:val="24"/>
        </w:rPr>
      </w:pPr>
      <w:bookmarkStart w:id="41" w:name="_Toc210313390"/>
      <w:r>
        <w:rPr>
          <w:sz w:val="24"/>
          <w:szCs w:val="24"/>
        </w:rPr>
        <w:t>9.6. Общество и (или) лица, которым в результате неправомерного использования Инсайдерской информации Общества причинены убытки, вправе потребовать от лиц, неправомерно использовавших и/или распространивших Инсайдерскую информацию Общества, возмещения убытков.</w:t>
      </w:r>
      <w:bookmarkEnd w:id="41"/>
    </w:p>
    <w:p>
      <w:pPr>
        <w:pStyle w:val="1"/>
        <w:rPr/>
      </w:pPr>
      <w:bookmarkStart w:id="42" w:name="_Toc210313391"/>
      <w:bookmarkStart w:id="43" w:name="_Toc17_Копия_1"/>
      <w:bookmarkStart w:id="44" w:name="_Toc202447480_Копия_1"/>
      <w:bookmarkEnd w:id="43"/>
      <w:bookmarkEnd w:id="44"/>
      <w:r>
        <w:rPr/>
        <w:t>10. ЗАКЛЮЧИТЕЛЬНЫЕ ПОЛОЖЕНИЯ</w:t>
      </w:r>
      <w:bookmarkEnd w:id="42"/>
    </w:p>
    <w:p>
      <w:pPr>
        <w:pStyle w:val="Normal"/>
        <w:keepNext w:val="true"/>
        <w:keepLines/>
        <w:widowControl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1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10.1. Положение, а также изменения к нему, утверждаются Советом директоров Общества.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10.2. Вопросы, не урегулированные Положением, регулируются законодательством Российской Федерации, Уставом Общества и иными ЛНД (А) Общества.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10.3. В случае, если в результате изменения законодательства Российской Федерации отдельные статьи Положения вступают в противоречие с законодательством Российской Федерации, они утрачивают силу, и до момента внесения изменений в Положение Общество руководствуется законами и подзаконными нормативными правовыми актами Российской Федерации.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</w:p>
    <w:p>
      <w:pPr>
        <w:pStyle w:val="Normal"/>
        <w:widowControl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  <w:r>
        <w:br w:type="page"/>
      </w:r>
    </w:p>
    <w:p>
      <w:pPr>
        <w:pStyle w:val="Normal"/>
        <w:jc w:val="right"/>
        <w:rPr/>
      </w:pPr>
      <w:r>
        <w:rPr/>
        <w:t>Приложение 1</w:t>
      </w:r>
    </w:p>
    <w:p>
      <w:pPr>
        <w:pStyle w:val="Normal"/>
        <w:jc w:val="right"/>
        <w:rPr/>
      </w:pPr>
      <w:r>
        <w:rPr/>
        <w:t xml:space="preserve">к Положению о порядке доступа </w:t>
      </w:r>
    </w:p>
    <w:p>
      <w:pPr>
        <w:pStyle w:val="Normal"/>
        <w:jc w:val="right"/>
        <w:rPr/>
      </w:pPr>
      <w:r>
        <w:rPr/>
        <w:t xml:space="preserve">к инсайдерской информации, </w:t>
      </w:r>
    </w:p>
    <w:p>
      <w:pPr>
        <w:pStyle w:val="Normal"/>
        <w:jc w:val="right"/>
        <w:rPr/>
      </w:pPr>
      <w:r>
        <w:rPr/>
        <w:t>правилах охраны ее конфиденциальности</w:t>
      </w:r>
    </w:p>
    <w:tbl>
      <w:tblPr>
        <w:tblStyle w:val="14"/>
        <w:tblW w:w="989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5105"/>
        <w:gridCol w:w="4784"/>
      </w:tblGrid>
      <w:tr>
        <w:trPr/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lang w:val="ru-RU" w:eastAsia="zh-CN" w:bidi="ru-RU"/>
              </w:rPr>
            </w:pPr>
            <w:r>
              <w:rPr>
                <w:rFonts w:eastAsia="Times New Roman" w:cs="Times New Roman"/>
                <w:kern w:val="0"/>
                <w:lang w:val="ru-RU" w:eastAsia="zh-CN" w:bidi="ru-RU"/>
              </w:rPr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eastAsia="Times New Roman" w:cs="Times New Roman"/>
                <w:kern w:val="0"/>
                <w:lang w:val="ru-RU" w:eastAsia="zh-CN" w:bidi="ru-RU"/>
              </w:rPr>
            </w:pPr>
            <w:r>
              <w:rPr>
                <w:rFonts w:eastAsia="Times New Roman" w:cs="Times New Roman"/>
                <w:kern w:val="0"/>
                <w:lang w:val="ru-RU" w:eastAsia="zh-CN" w:bidi="ru-RU"/>
              </w:rPr>
            </w:r>
          </w:p>
        </w:tc>
      </w:tr>
    </w:tbl>
    <w:p>
      <w:pPr>
        <w:pStyle w:val="Normal"/>
        <w:spacing w:before="240" w:after="240"/>
        <w:jc w:val="center"/>
        <w:rPr>
          <w:b/>
          <w:bCs/>
          <w:sz w:val="22"/>
          <w:szCs w:val="22"/>
          <w:lang w:bidi="ru-RU"/>
        </w:rPr>
      </w:pPr>
      <w:r>
        <w:rPr>
          <w:b/>
          <w:bCs/>
          <w:sz w:val="22"/>
          <w:szCs w:val="22"/>
          <w:lang w:bidi="ru-RU"/>
        </w:rPr>
        <w:t>УВЕДОМЛЕНИЕ</w:t>
      </w:r>
    </w:p>
    <w:p>
      <w:pPr>
        <w:pStyle w:val="Normal"/>
        <w:spacing w:before="240" w:after="240"/>
        <w:jc w:val="center"/>
        <w:rPr>
          <w:b/>
          <w:bCs/>
          <w:sz w:val="22"/>
          <w:szCs w:val="22"/>
          <w:lang w:bidi="ru-RU"/>
        </w:rPr>
      </w:pPr>
      <w:r>
        <w:rPr>
          <w:b/>
          <w:bCs/>
          <w:sz w:val="22"/>
          <w:szCs w:val="22"/>
          <w:lang w:bidi="ru-RU"/>
        </w:rPr>
        <w:t xml:space="preserve">о включении лица в список </w:t>
      </w:r>
      <w:r>
        <w:rPr>
          <w:b/>
          <w:bCs/>
          <w:sz w:val="22"/>
          <w:szCs w:val="22"/>
        </w:rPr>
        <w:t xml:space="preserve">(исключении из списка) </w:t>
      </w:r>
      <w:r>
        <w:rPr>
          <w:b/>
          <w:bCs/>
          <w:sz w:val="22"/>
          <w:szCs w:val="22"/>
          <w:lang w:bidi="ru-RU"/>
        </w:rPr>
        <w:t>инсайдеров</w:t>
      </w:r>
    </w:p>
    <w:tbl>
      <w:tblPr>
        <w:tblW w:w="10093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1" w:val="04a0" w:noHBand="0" w:lastColumn="0" w:firstColumn="1" w:lastRow="0" w:firstRow="1"/>
      </w:tblPr>
      <w:tblGrid>
        <w:gridCol w:w="567"/>
        <w:gridCol w:w="4416"/>
        <w:gridCol w:w="5110"/>
      </w:tblGrid>
      <w:tr>
        <w:trPr>
          <w:trHeight w:val="3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</w:t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>Сведения об уведомлении</w:t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1.1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Порядковый номер и дата составления уведомления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</w:tr>
      <w:tr>
        <w:trPr>
          <w:trHeight w:val="36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</w:t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jc w:val="center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>Сведения в отношении уведомляющего лица</w:t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2.1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Полное фирменное наименование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2.2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Место нахождения и (или) адрес для направления почтовой корреспонденции (при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2.3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ОГРН, ИНН 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2.4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Адрес сайта в информационно-телекоммуникационной сети «Интернет» (при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2.5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Номер контактного телефона и (или) адрес электронной почты для обращений инсайдеров</w:t>
            </w:r>
            <w:r>
              <w:rPr>
                <w:sz w:val="18"/>
                <w:szCs w:val="18"/>
              </w:rPr>
              <w:t xml:space="preserve"> (лиц, исключенных из списка инсайдеров)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val="en-US" w:bidi="ru-RU"/>
              </w:rPr>
            </w:pPr>
            <w:r>
              <w:rPr>
                <w:sz w:val="18"/>
                <w:szCs w:val="18"/>
                <w:lang w:bidi="ru-RU"/>
              </w:rPr>
              <w:t>2.6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Номер пункта статьи 4 Федерального закона от 27 июля 2010 года N 224-ФЗ, относящий уведомляющее лицо к инсайдерам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</w:t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jc w:val="center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>Сведения в отношении инсайдера (лица, исключенного из списка)</w:t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для инсайдера (лица, исключенного из списка), являющегося российским или иностранным юридическим лицом (иностранной организацией, не являющейся юридическим лицом в соответствии с правом страны, где эта организация учреждена)</w:t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3.1.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Полное фирменное наименование (для инсайдера (лица, исключенного из списка), являющегося российским юридическим лицом - коммерческой организацией), наименование (для инсайдера (лица, исключенного из списка), являющегося российским юридическим лицом - некоммерческой организацией, иностранным юридическим лицом, иностранной организацией, не являющейся юридическим лицом в соответствии с правом страны, где эта организация учреждена)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3.2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Место нахождения и (или) адрес для направления почтовой корреспонденции (при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3.3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ОГРН, ИНН (при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3.4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КИО (при наличии) и ОКСМ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3.5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Регистрационный номер в стране регистрации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3.6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Финансовый инструмент, иностранная валюта и (или) товар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3.7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Основание для включения инсайдера в список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3.8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Основание, в силу которого инсайдер (лицо, исключенное из списка) перестал соответствовать положениям статьи 4 Федерального закона от 27 июля 2010 года № 224-ФЗ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3.9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Информация о включении инсайдера в список (исключении лица, исключенного из списка, из списка) и дате такого включения (исключения)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для инсайдера (лица, исключенного из списка),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являющегося физическим лицом</w:t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Фамилия, имя, отчество (последнее - 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3.2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Дата рождения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3.3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Место рождения (при наличии таких сведений)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6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3.4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Должность, которую инсайдер (лицо, исключенное из списка) занимает в уведомляющем лице (при наличии)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3.5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FF000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Финансовый инструмент, иностранная валюта и (или) товар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 </w:t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3.6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FF000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Основание для включения инсайдера в список 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3.7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Основание, в силу которого инсайдер (лицо, исключенное из списка) перестал соответствовать положениям статьи 4 Федерального закона от 27 июля 2010 года № 224-ФЗ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val="en-US" w:bidi="ru-RU"/>
              </w:rPr>
              <w:t>3.</w:t>
            </w:r>
            <w:r>
              <w:rPr>
                <w:color w:val="000000"/>
                <w:sz w:val="18"/>
                <w:szCs w:val="18"/>
                <w:lang w:bidi="ru-RU"/>
              </w:rPr>
              <w:t>8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FF0000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Информация о включении инсайдера в список (исключении лица, исключенного из списка, из списка) и дате такого включения (исключения)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18"/>
                <w:szCs w:val="18"/>
                <w:lang w:val="en-US" w:bidi="ru-RU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57" w:hanging="0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Информационное сообщение о требованиях Федерального закона от 27 июля 2010 года N 224-ФЗ, предусмотренное пунктом 2 части 1 статьи 9 Федерального закона от 27 июля 2010 года N 224-ФЗ</w:t>
            </w:r>
          </w:p>
        </w:tc>
      </w:tr>
      <w:tr>
        <w:trPr>
          <w:trHeight w:val="227" w:hRule="atLeast"/>
        </w:trPr>
        <w:tc>
          <w:tcPr>
            <w:tcW w:w="10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426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Обращаем Ваше внимание, что с момента внесения Вас в список инсайдеров Общества на основании статьи 6 Федерального закона от 27 июля 2010 года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(далее – Федеральный закон) Вам запрещается использование инсайдерской информации: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1) для осуществления операций с финансовыми инструментами Общества, которых касается инсайдерская информация, за свой счет или за счет третьего лица, за исключением совершения операций в рамках исполнения обязательства по покупке или продаже финансовых инструментов Общества, срок исполнения которого наступил, если такое обязательство возникло в результате операции, совершенной до того, как Вам стала известна инсайдерская информация;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2) путем передачи ее другому лицу, за исключением случаев передачи этой информации лицу, включенному в список инсайдеров, в связи с исполнением обязанностей, установленных федеральными законами, либо в связи с исполнением трудовых обязанностей или исполнением договора;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3) путем дачи рекомендаций третьим лицам, обязывания или побуждения их иным образом к приобретению или продаже финансовых инструментов Общества.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Также запрещается осуществлять действия, относящиеся в соответствии со статьей 5 Федерального закона от 27 июля 2010 года N 224-ФЗ к манипулированию рынком.</w:t>
            </w:r>
          </w:p>
          <w:p>
            <w:pPr>
              <w:pStyle w:val="Normal"/>
              <w:widowControl w:val="false"/>
              <w:ind w:firstLine="426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Статьей 10 Федерального закона и Положением Общества на лицо, включённое в список инсайдеров, возлагаются обязанности</w:t>
            </w:r>
            <w:bookmarkStart w:id="45" w:name="_Hlk212395404"/>
            <w:r>
              <w:rPr>
                <w:b/>
                <w:i/>
                <w:iCs/>
                <w:sz w:val="18"/>
                <w:szCs w:val="18"/>
                <w:lang w:bidi="ru-RU"/>
              </w:rPr>
              <w:t xml:space="preserve"> </w:t>
            </w:r>
            <w:bookmarkEnd w:id="45"/>
            <w:r>
              <w:rPr>
                <w:b/>
                <w:i/>
                <w:iCs/>
                <w:sz w:val="18"/>
                <w:szCs w:val="18"/>
                <w:lang w:bidi="ru-RU"/>
              </w:rPr>
              <w:t>о порядке доступа к инсайдерской информации, правилах охраны ее конфиденциальности.</w:t>
            </w:r>
          </w:p>
          <w:p>
            <w:pPr>
              <w:pStyle w:val="Normal"/>
              <w:widowControl w:val="false"/>
              <w:ind w:firstLine="426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Статьями 7 и 11 Федерального закона определена ответственность таких лиц. За неправомерное использование инсайдерской информации и (или) манипулирование рынком, законодательством Российской Федерации, в том числе, предусмотрена административная (ст. 15.30 и 15.21 КоАП РФ) и уголовная ответственность (ст. 185.3 и 185.6 УК РФ).</w:t>
            </w:r>
          </w:p>
          <w:p>
            <w:pPr>
              <w:pStyle w:val="Normal"/>
              <w:widowControl w:val="false"/>
              <w:ind w:firstLine="426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 xml:space="preserve">Инсайдеры Общества обязаны соблюдать режим конфиденциальности инсайдерской информации (в том числе в случаях прекращения договорных отношений и исключения из Списка инсайдеров Общества) до момента, когда такая информация не потеряет статуса инсайдерской информации. Окончание срока действия договора, на основании которого лицо было включено в Список инсайдеров и получило доступ к инсайдерской информации Общества, не свидетельствует о прекращении доступа такого лица к инсайдерской информации. </w:t>
            </w:r>
          </w:p>
          <w:p>
            <w:pPr>
              <w:pStyle w:val="Normal"/>
              <w:widowControl w:val="false"/>
              <w:ind w:firstLine="426"/>
              <w:jc w:val="both"/>
              <w:rPr>
                <w:b/>
                <w:i/>
                <w:i/>
                <w:iCs/>
                <w:sz w:val="18"/>
                <w:szCs w:val="18"/>
                <w:lang w:bidi="ru-RU"/>
              </w:rPr>
            </w:pPr>
            <w:r>
              <w:rPr>
                <w:b/>
                <w:i/>
                <w:iCs/>
                <w:sz w:val="18"/>
                <w:szCs w:val="18"/>
                <w:lang w:bidi="ru-RU"/>
              </w:rPr>
              <w:t>Более подробная информация о правах, обязанностях и ответственности инсайдера содержится в Федеральном законе и Положении Общества о порядке доступа к инсайдерской информации, правилах охраны ее конфиденциальности.</w:t>
            </w:r>
          </w:p>
        </w:tc>
      </w:tr>
    </w:tbl>
    <w:p>
      <w:pPr>
        <w:pStyle w:val="Normal"/>
        <w:ind w:firstLine="426"/>
        <w:jc w:val="both"/>
        <w:rPr>
          <w:bCs/>
          <w:i/>
          <w:i/>
          <w:sz w:val="18"/>
          <w:szCs w:val="18"/>
          <w:lang w:bidi="ru-RU"/>
        </w:rPr>
      </w:pPr>
      <w:r>
        <w:rPr>
          <w:bCs/>
          <w:i/>
          <w:sz w:val="18"/>
          <w:szCs w:val="18"/>
          <w:lang w:bidi="ru-RU"/>
        </w:rPr>
      </w:r>
    </w:p>
    <w:p>
      <w:pPr>
        <w:pStyle w:val="Normal"/>
        <w:ind w:firstLine="426"/>
        <w:jc w:val="both"/>
        <w:rPr>
          <w:bCs/>
          <w:i/>
          <w:i/>
          <w:sz w:val="18"/>
          <w:szCs w:val="18"/>
          <w:lang w:bidi="ru-RU"/>
        </w:rPr>
      </w:pPr>
      <w:r>
        <w:rPr>
          <w:bCs/>
          <w:i/>
          <w:sz w:val="18"/>
          <w:szCs w:val="18"/>
          <w:lang w:bidi="ru-RU"/>
        </w:rPr>
        <w:t>Своей подписью Вы подтверждаете, что настоящее уведомление получено, а также ознакомление со ст. 6, 7, 10 и 11 Федерального закона, Положением о порядке доступа к инсайдерской информации, правилах охраны ее конфиденциальности Общества, Правилами ВК ПНИИИМР.</w:t>
      </w:r>
    </w:p>
    <w:p>
      <w:pPr>
        <w:pStyle w:val="Normal"/>
        <w:ind w:firstLine="426"/>
        <w:jc w:val="both"/>
        <w:rPr>
          <w:bCs/>
          <w:i/>
          <w:i/>
          <w:sz w:val="18"/>
          <w:szCs w:val="18"/>
          <w:lang w:bidi="ru-RU"/>
        </w:rPr>
      </w:pPr>
      <w:r>
        <w:rPr>
          <w:bCs/>
          <w:i/>
          <w:sz w:val="18"/>
          <w:szCs w:val="18"/>
          <w:lang w:bidi="ru-RU"/>
        </w:rPr>
      </w:r>
    </w:p>
    <w:p>
      <w:pPr>
        <w:pStyle w:val="Normal"/>
        <w:ind w:firstLine="426"/>
        <w:jc w:val="both"/>
        <w:rPr>
          <w:bCs/>
          <w:i/>
          <w:i/>
          <w:sz w:val="18"/>
          <w:szCs w:val="18"/>
          <w:lang w:bidi="ru-RU"/>
        </w:rPr>
      </w:pPr>
      <w:r>
        <w:rPr>
          <w:bCs/>
          <w:i/>
          <w:sz w:val="18"/>
          <w:szCs w:val="18"/>
          <w:lang w:bidi="ru-RU"/>
        </w:rPr>
      </w:r>
    </w:p>
    <w:tbl>
      <w:tblPr>
        <w:tblW w:w="99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1" w:val="04a0" w:noHBand="0" w:lastColumn="0" w:firstColumn="1" w:lastRow="0" w:firstRow="1"/>
      </w:tblPr>
      <w:tblGrid>
        <w:gridCol w:w="3140"/>
        <w:gridCol w:w="1984"/>
        <w:gridCol w:w="4856"/>
      </w:tblGrid>
      <w:tr>
        <w:trPr/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5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4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(инициалы, фамилия)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5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40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5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40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5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485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</w:tr>
      <w:tr>
        <w:trPr/>
        <w:tc>
          <w:tcPr>
            <w:tcW w:w="314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(подпись)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4856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(наименование должности, дата подписи)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right"/>
        <w:rPr/>
      </w:pPr>
      <w:r>
        <w:rPr/>
        <w:t>Приложение 2</w:t>
      </w:r>
    </w:p>
    <w:p>
      <w:pPr>
        <w:pStyle w:val="Normal"/>
        <w:jc w:val="right"/>
        <w:rPr/>
      </w:pPr>
      <w:r>
        <w:rPr/>
        <w:t xml:space="preserve">к Положению о порядке доступа </w:t>
      </w:r>
    </w:p>
    <w:p>
      <w:pPr>
        <w:pStyle w:val="Normal"/>
        <w:jc w:val="right"/>
        <w:rPr/>
      </w:pPr>
      <w:r>
        <w:rPr/>
        <w:t xml:space="preserve">к инсайдерской информации, </w:t>
      </w:r>
    </w:p>
    <w:p>
      <w:pPr>
        <w:pStyle w:val="Normal"/>
        <w:jc w:val="right"/>
        <w:rPr/>
      </w:pPr>
      <w:r>
        <w:rPr/>
        <w:t>правилах охраны ее конфиденциальности</w:t>
      </w:r>
    </w:p>
    <w:p>
      <w:pPr>
        <w:pStyle w:val="Normal"/>
        <w:jc w:val="right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center"/>
        <w:rPr>
          <w:b/>
        </w:rPr>
      </w:pPr>
      <w:r>
        <w:rPr>
          <w:b/>
        </w:rPr>
        <w:t>УВЕДОМЛЕНИЕ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>об осуществленных инсайдером операциях с ценными бумагами Общества и о заключении договоров, являющихся производными финансовыми инструментами, цена которых зависит от таких ценных бумаг</w:t>
      </w:r>
    </w:p>
    <w:tbl>
      <w:tblPr>
        <w:tblStyle w:val="affe"/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6"/>
        <w:gridCol w:w="5092"/>
        <w:gridCol w:w="3691"/>
      </w:tblGrid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Ф.И.О. инсайдера – физического лица / Полное фирменное наименование инсайдера – юридического лица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2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Вид и реквизиты документа, удостоверяющего личность инсайдера – физического лица / ИНН, ОГРН инсайдера – юридического лица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3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Место регистрации инсайдера – физического лица / Место нахождения инсайдера – юридического лица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4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Дата совершения операции (операций)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5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Вид сделки (операции) (покупка или продажа)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6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Сумма сделки (операции), руб.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7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Место заключения сделки (наименование организатора торговли или внебиржевой рынок)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8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Вид, категория (тип), серия ценной бумаги (указывается для сделок с ценными бумагами)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9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Полное фирменное наименование эмитента ценной бумаги (указывается для сделок с ценными бумагами) Общества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10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Государственный регистрационный номер выпуска ценной бумаги (указывается для сделок с ценными бумагами)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11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Цена (средняя цена) покупки или продажи одной ценной бумаги (указывается для всех сделок с ценными бумагами, кроме сделок репо), руб.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12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Цена покупки и продажи одной ценной бумаги по договору репо (для договоров репо), руб.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13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Количество ценных бумаг (указывается для сделок с ценными бумагами)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14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Вид договора, являющегося производным финансовым инструментом (указывается для сделок с производными финансовыми инструментами)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15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Наименование (обозначение) договора, являющегося производным финансовым инструментом, принятое у организатора торговли на рынке ценных бумаг (указывается для сделок с производными финансовыми инструментами)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16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Цена одного договора, являющегося производным финансовым инструментом (размер премии по опциону) (указывается для сделок с производными финансовыми инструментами), руб.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17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Количество договоров, являющихся производными финансовым инструментом (размер премии по опциону) (указывается для сделок с производными финансовыми инструментами), шт.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426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lang w:val="en-US" w:eastAsia="ru-RU" w:bidi="ar-SA"/>
              </w:rPr>
              <w:t>18</w:t>
            </w:r>
          </w:p>
        </w:tc>
        <w:tc>
          <w:tcPr>
            <w:tcW w:w="509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Цена исполнения договора, являющегося производным финансовым инструментом (размер премии по опциону) (указывается для сделок с производными финансовыми инструментами), руб.</w:t>
            </w:r>
          </w:p>
        </w:tc>
        <w:tc>
          <w:tcPr>
            <w:tcW w:w="369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lineRule="auto" w:line="276" w:before="0" w:after="0"/>
              <w:ind w:left="0" w:right="10" w:hanging="0"/>
              <w:jc w:val="both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>
          <w:i/>
          <w:u w:val="single"/>
        </w:rPr>
        <w:t>Выбрать по типу лица, ненужное удалить</w:t>
      </w:r>
      <w:r>
        <w:rPr/>
        <w:t>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  <w:t xml:space="preserve">Для физического лица: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  <w:t>_______________                                  _______________________                 ________________________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  <w:t xml:space="preserve">(дата)                                                                 (подпись)                                          (расшифровка подписи)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  <w:t xml:space="preserve">Для юридического лица 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/>
      </w:pPr>
      <w:r>
        <w:rPr/>
        <w:t>__________________________           _______________________                 ________________________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</w:tabs>
        <w:spacing w:lineRule="auto" w:line="276"/>
        <w:ind w:right="10" w:firstLine="567"/>
        <w:jc w:val="both"/>
        <w:rPr>
          <w:bCs/>
          <w:spacing w:val="-2"/>
          <w:sz w:val="24"/>
          <w:szCs w:val="24"/>
        </w:rPr>
      </w:pPr>
      <w:r>
        <w:rPr/>
        <w:t>(должность)                                                      (подпись)                                         (расшифровка подписи)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567" w:footer="45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ind w:right="360" w:hanging="0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5" wp14:anchorId="41CE471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3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 wp14:anchorId="41CE471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3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ind w:right="360" w:hanging="0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3" wp14:anchorId="4CADE80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2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3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17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457.6pt;margin-top:0.05pt;width:10pt;height:11.4pt;mso-wrap-style:square;v-text-anchor:top;mso-position-horizontal:right;mso-position-horizontal-relative:margin" wp14:anchorId="4CADE80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3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17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ind w:right="360" w:hanging="0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3" wp14:anchorId="4CADE80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3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3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17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457.6pt;margin-top:0.05pt;width:10pt;height:11.4pt;mso-wrap-style:square;v-text-anchor:top;mso-position-horizontal:right;mso-position-horizontal-relative:margin" wp14:anchorId="4CADE80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3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17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8"/>
      <w:numFmt w:val="decimal"/>
      <w:lvlText w:val="%1."/>
      <w:lvlJc w:val="left"/>
      <w:pPr>
        <w:tabs>
          <w:tab w:val="num" w:pos="0"/>
        </w:tabs>
        <w:ind w:left="1413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3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5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7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29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1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3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5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73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uiPriority w:val="99"/>
    <w:qFormat/>
    <w:pPr>
      <w:keepNext w:val="true"/>
      <w:keepLines/>
      <w:spacing w:before="240" w:after="240"/>
      <w:ind w:left="720" w:hanging="0"/>
      <w:jc w:val="center"/>
      <w:outlineLvl w:val="0"/>
    </w:pPr>
    <w:rPr>
      <w:sz w:val="24"/>
      <w:szCs w:val="24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Подзаголовок Знак1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6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7" w:customStyle="1">
    <w:name w:val="Символ сноски"/>
    <w:uiPriority w:val="99"/>
    <w:qFormat/>
    <w:rPr>
      <w:rFonts w:cs="Times New Roman"/>
      <w:vertAlign w:val="superscript"/>
    </w:rPr>
  </w:style>
  <w:style w:type="character" w:styleId="Style8">
    <w:name w:val="Footnote Reference"/>
    <w:rPr>
      <w:rFonts w:cs="Times New Roman"/>
      <w:vertAlign w:val="superscript"/>
    </w:rPr>
  </w:style>
  <w:style w:type="character" w:styleId="-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10" w:customStyle="1">
    <w:name w:val="Текст сноски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1" w:customStyle="1">
    <w:name w:val="Символ концевой сноски"/>
    <w:uiPriority w:val="99"/>
    <w:semiHidden/>
    <w:qFormat/>
    <w:rPr>
      <w:rFonts w:cs="Times New Roman"/>
      <w:vertAlign w:val="superscript"/>
    </w:rPr>
  </w:style>
  <w:style w:type="character" w:styleId="Style12">
    <w:name w:val="Endnote Reference"/>
    <w:rPr>
      <w:rFonts w:cs="Times New Roman"/>
      <w:vertAlign w:val="superscript"/>
    </w:rPr>
  </w:style>
  <w:style w:type="character" w:styleId="Style13" w:customStyle="1">
    <w:name w:val="Текст концевой сноски Знак"/>
    <w:basedOn w:val="DefaultParagraphFont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qFormat/>
    <w:rPr>
      <w:rFonts w:cs="Times New Roman"/>
    </w:rPr>
  </w:style>
  <w:style w:type="character" w:styleId="Style14" w:customStyle="1">
    <w:name w:val="Нижний колонтитул Знак"/>
    <w:basedOn w:val="DefaultParagraphFont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qFormat/>
    <w:rPr>
      <w:rFonts w:cs="Times New Roman"/>
      <w:sz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Style16" w:customStyle="1">
    <w:name w:val="Текст примечания Знак"/>
    <w:basedOn w:val="DefaultParagraphFont"/>
    <w:link w:val="Annotationtext"/>
    <w:uiPriority w:val="99"/>
    <w:semiHidden/>
    <w:qFormat/>
    <w:rPr>
      <w:rFonts w:ascii="Times New Roman" w:hAnsi="Times New Roman" w:cs="Times New Roman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Pr>
      <w:rFonts w:ascii="Times New Roman" w:hAnsi="Times New Roman" w:cs="Times New Roman"/>
      <w:b/>
    </w:rPr>
  </w:style>
  <w:style w:type="character" w:styleId="Strong">
    <w:name w:val="Strong"/>
    <w:basedOn w:val="DefaultParagraphFont"/>
    <w:uiPriority w:val="99"/>
    <w:qFormat/>
    <w:rPr>
      <w:rFonts w:cs="Times New Roman"/>
      <w:b/>
      <w:bCs/>
    </w:rPr>
  </w:style>
  <w:style w:type="character" w:styleId="Style18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Style19" w:customStyle="1">
    <w:name w:val="Заголовок Знак"/>
    <w:basedOn w:val="DefaultParagraphFont"/>
    <w:uiPriority w:val="39"/>
    <w:qFormat/>
    <w:rPr>
      <w:rFonts w:ascii="Times New Roman" w:hAnsi="Times New Roman" w:cs="Arial"/>
      <w:b/>
      <w:sz w:val="24"/>
      <w:szCs w:val="24"/>
      <w:lang w:val="en-US" w:eastAsia="en-US"/>
    </w:rPr>
  </w:style>
  <w:style w:type="character" w:styleId="FontStyle20" w:customStyle="1">
    <w:name w:val="Font Style20"/>
    <w:qFormat/>
    <w:rPr>
      <w:rFonts w:ascii="Times New Roman" w:hAnsi="Times New Roman" w:eastAsia="Times New Roman" w:cs="Times New Roman"/>
      <w:color w:val="000000"/>
      <w:sz w:val="22"/>
    </w:rPr>
  </w:style>
  <w:style w:type="character" w:styleId="Style20" w:customStyle="1">
    <w:name w:val="Ссылка указателя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ascii="PT Astra Serif" w:hAnsi="PT Astra Serif"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6">
    <w:name w:val="Title"/>
    <w:basedOn w:val="Normal"/>
    <w:next w:val="Style22"/>
    <w:link w:val="Style19"/>
    <w:uiPriority w:val="39"/>
    <w:qFormat/>
    <w:pPr>
      <w:widowControl/>
      <w:spacing w:before="0" w:after="240"/>
      <w:jc w:val="center"/>
    </w:pPr>
    <w:rPr>
      <w:rFonts w:cs="Arial"/>
      <w:b/>
      <w:sz w:val="24"/>
      <w:szCs w:val="24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Style26"/>
    <w:qFormat/>
    <w:pPr/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7">
    <w:name w:val="Subtitle"/>
    <w:basedOn w:val="Normal"/>
    <w:next w:val="Normal"/>
    <w:link w:val="1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41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1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8">
    <w:name w:val="Index Heading"/>
    <w:basedOn w:val="Style21"/>
    <w:pPr/>
    <w:rPr/>
  </w:style>
  <w:style w:type="paragraph" w:styleId="Style29">
    <w:name w:val="TOC Heading"/>
    <w:uiPriority w:val="39"/>
    <w:unhideWhenUsed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BalloonText">
    <w:name w:val="Balloon Text"/>
    <w:basedOn w:val="Normal"/>
    <w:link w:val="Style9"/>
    <w:uiPriority w:val="99"/>
    <w:semiHidden/>
    <w:qFormat/>
    <w:pPr/>
    <w:rPr>
      <w:rFonts w:ascii="Tahoma" w:hAnsi="Tahoma" w:cs="Tahoma"/>
      <w:sz w:val="16"/>
      <w:szCs w:val="16"/>
    </w:rPr>
  </w:style>
  <w:style w:type="paragraph" w:styleId="Style30">
    <w:name w:val="Footnote Text"/>
    <w:basedOn w:val="Normal"/>
    <w:link w:val="Style10"/>
    <w:uiPriority w:val="99"/>
    <w:pPr/>
    <w:rPr/>
  </w:style>
  <w:style w:type="paragraph" w:styleId="Style31">
    <w:name w:val="Endnote Text"/>
    <w:basedOn w:val="Normal"/>
    <w:link w:val="Style13"/>
    <w:uiPriority w:val="99"/>
    <w:semiHidden/>
    <w:pPr/>
    <w:rPr/>
  </w:style>
  <w:style w:type="paragraph" w:styleId="Style32" w:customStyle="1">
    <w:name w:val="Колонтитул"/>
    <w:basedOn w:val="Normal"/>
    <w:qFormat/>
    <w:pPr/>
    <w:rPr/>
  </w:style>
  <w:style w:type="paragraph" w:styleId="Style33">
    <w:name w:val="Footer"/>
    <w:basedOn w:val="Normal"/>
    <w:link w:val="Style14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4">
    <w:name w:val="Header"/>
    <w:basedOn w:val="Normal"/>
    <w:link w:val="Style15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5" w:customStyle="1">
    <w:name w:val="Знак"/>
    <w:basedOn w:val="Normal"/>
    <w:uiPriority w:val="99"/>
    <w:qFormat/>
    <w:pPr>
      <w:widowControl/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Annotationtext">
    <w:name w:val="annotation text"/>
    <w:basedOn w:val="Normal"/>
    <w:link w:val="Style16"/>
    <w:uiPriority w:val="99"/>
    <w:semiHidden/>
    <w:qFormat/>
    <w:pPr/>
    <w:rPr/>
  </w:style>
  <w:style w:type="paragraph" w:styleId="ListParagraph">
    <w:name w:val="List Paragraph"/>
    <w:basedOn w:val="Normal"/>
    <w:uiPriority w:val="24"/>
    <w:qFormat/>
    <w:pPr>
      <w:spacing w:before="0" w:after="0"/>
      <w:ind w:left="720" w:hanging="0"/>
      <w:contextualSpacing/>
    </w:pPr>
    <w:rPr/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qFormat/>
    <w:pPr/>
    <w:rPr>
      <w:b/>
      <w:bCs/>
    </w:rPr>
  </w:style>
  <w:style w:type="paragraph" w:styleId="12" w:customStyle="1">
    <w:name w:val="Знак1"/>
    <w:basedOn w:val="Normal"/>
    <w:uiPriority w:val="99"/>
    <w:qFormat/>
    <w:pPr>
      <w:widowControl/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NormalWeb">
    <w:name w:val="Normal (Web)"/>
    <w:basedOn w:val="Normal"/>
    <w:uiPriority w:val="99"/>
    <w:qFormat/>
    <w:pPr>
      <w:widowControl/>
      <w:spacing w:beforeAutospacing="1" w:afterAutospacing="1"/>
    </w:pPr>
    <w:rPr>
      <w:rFonts w:ascii="Verdana" w:hAnsi="Verdana"/>
      <w:sz w:val="16"/>
      <w:szCs w:val="16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>
    <w:name w:val="TOC 1"/>
    <w:basedOn w:val="Normal"/>
    <w:next w:val="Normal"/>
    <w:uiPriority w:val="39"/>
    <w:pPr>
      <w:widowControl/>
      <w:tabs>
        <w:tab w:val="clear" w:pos="720"/>
        <w:tab w:val="right" w:pos="9348" w:leader="dot"/>
      </w:tabs>
      <w:spacing w:before="120" w:after="120"/>
    </w:pPr>
    <w:rPr>
      <w:b/>
      <w:bCs/>
      <w:caps/>
      <w:sz w:val="24"/>
      <w:szCs w:val="24"/>
    </w:rPr>
  </w:style>
  <w:style w:type="paragraph" w:styleId="31">
    <w:name w:val="TOC 3"/>
    <w:basedOn w:val="Normal"/>
    <w:next w:val="Normal"/>
    <w:uiPriority w:val="39"/>
    <w:pPr>
      <w:widowControl/>
      <w:ind w:left="480" w:hanging="0"/>
    </w:pPr>
    <w:rPr>
      <w:i/>
      <w:iCs/>
    </w:rPr>
  </w:style>
  <w:style w:type="paragraph" w:styleId="Aligncenter" w:customStyle="1">
    <w:name w:val="align_center"/>
    <w:basedOn w:val="Normal"/>
    <w:qFormat/>
    <w:pPr>
      <w:widowControl/>
      <w:spacing w:beforeAutospacing="1" w:afterAutospacing="1"/>
    </w:pPr>
    <w:rPr>
      <w:sz w:val="24"/>
      <w:szCs w:val="24"/>
    </w:rPr>
  </w:style>
  <w:style w:type="paragraph" w:styleId="Style71" w:customStyle="1">
    <w:name w:val="Style7"/>
    <w:qFormat/>
    <w:pPr>
      <w:widowControl/>
      <w:suppressAutoHyphens w:val="true"/>
      <w:bidi w:val="0"/>
      <w:spacing w:lineRule="exact" w:line="274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zh-CN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andard" w:customStyle="1">
    <w:name w:val="Standard"/>
    <w:qFormat/>
    <w:rsid w:val="00b0390f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erif CJK SC" w:cs="Arial Unicode MS"/>
      <w:color w:val="auto"/>
      <w:kern w:val="2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3">
    <w:name w:val="Plain Table 1"/>
    <w:basedOn w:val="a1"/>
    <w:uiPriority w:val="9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FFFFF" w:themeFill="text1" w:themeFillTint="0"/>
      </w:tcPr>
    </w:tblStylePr>
    <w:tblStylePr w:type="band1Horz">
      <w:tblPr/>
      <w:tcPr>
        <w:shd w:val="clear" w:color="F2F2F2" w:fill="FFFFFF" w:themeFill="text1" w:themeFillTint="0"/>
      </w:tcPr>
    </w:tblStylePr>
  </w:style>
  <w:style w:type="table" w:styleId="24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e">
    <w:name w:val="Table Grid"/>
    <w:basedOn w:val="a1"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1"/>
    <w:rPr>
      <w:lang w:eastAsia="zh-CN" w:bidi="ru-RU"/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2F2A7-7039-4225-B5EB-0CF788874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LibreOffice/7.5.6.2$Linux_X86_64 LibreOffice_project/50$Build-2</Application>
  <AppVersion>15.0000</AppVersion>
  <Pages>17</Pages>
  <Words>4586</Words>
  <Characters>33143</Characters>
  <CharactersWithSpaces>37749</CharactersWithSpaces>
  <Paragraphs>314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2025-10-26T05:36:00Z</dcterms:created>
  <dc:creator>Дуров Юрий Геннадиевич</dc:creator>
  <dc:description/>
  <dc:language>ru-RU</dc:language>
  <cp:lastModifiedBy/>
  <cp:lastPrinted>2025-10-02T04:58:00Z</cp:lastPrinted>
  <dcterms:modified xsi:type="dcterms:W3CDTF">2025-10-31T13:59:13Z</dcterms:modified>
  <cp:revision>17</cp:revision>
  <dc:subject/>
  <dc:title>ПОЛОЖЕНИЕ об Информационной политике.RTF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