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ind w:firstLine="539"/>
        <w:jc w:val="center"/>
        <w:spacing w:before="240" w:after="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Документ, содержащий изменённую (скорректированную) информацию,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ind w:firstLine="539"/>
        <w:jc w:val="center"/>
        <w:spacing w:before="240" w:after="0" w:line="400" w:lineRule="exac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раскрытую в отчёте эмитента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line="400" w:lineRule="exac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</w:r>
    </w:p>
    <w:p>
      <w:pPr>
        <w:ind w:left="0" w:right="0" w:firstLine="0"/>
        <w:jc w:val="both"/>
        <w:spacing w:before="0" w:after="0" w:line="288" w:lineRule="atLeast"/>
        <w:rPr>
          <w:rFonts w:ascii="Times New Roman" w:hAnsi="Times New Roman" w:eastAsia="Times New Roman" w:cs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Информация приведена в соответстви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 с требованиями п. 1.16. Положения Центрального Банка Российской Федерации № 714-П от 20.03.2020 «О раскрытии информации эмитентами эмиссионных ценных бумаг» 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(ред. от 30.09.2022).</w:t>
      </w:r>
      <w:r>
        <w:rPr>
          <w:rFonts w:ascii="Times New Roman" w:hAnsi="Times New Roman" w:eastAsia="Times New Roman" w:cs="Times New Roman"/>
          <w:sz w:val="24"/>
        </w:rPr>
      </w:r>
      <w:r>
        <w:rPr>
          <w:rFonts w:ascii="Times New Roman" w:hAnsi="Times New Roman" w:eastAsia="Times New Roman" w:cs="Times New Roman"/>
          <w:sz w:val="24"/>
        </w:rPr>
      </w:r>
    </w:p>
    <w:p>
      <w:pPr>
        <w:pStyle w:val="870"/>
        <w:numPr>
          <w:ilvl w:val="0"/>
          <w:numId w:val="2"/>
        </w:numPr>
        <w:ind w:left="0" w:firstLine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Сведения о том, что сообщение или документ публикуется в порядке изменения (корректировки)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информации, содержащейся в ранее опубликованном сообщении или документе (отчете эмитента, годовом отчете акционерного общества, списке аффилированных лиц акционерного общества): 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r>
    </w:p>
    <w:p>
      <w:pPr>
        <w:ind w:left="0" w:firstLine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Документ публикуется в порядке изменения (корректировки) информации, содержащейся в ранее опубликованном Отчете эмитента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 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«Камчатскэнерго»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за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6 мес. 202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5 года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.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pStyle w:val="870"/>
        <w:numPr>
          <w:ilvl w:val="0"/>
          <w:numId w:val="2"/>
        </w:numPr>
        <w:ind w:left="0" w:firstLine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Ссылка на ранее опубликованное сообщение или ранее опубликованный текст документа (отчета эмитента, годового отчета акционерного общества, списка аффилированных лиц акционерного общества), информация в кото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ром изменяется (корректируется)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i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r>
    </w:p>
    <w:p>
      <w:pPr>
        <w:contextualSpacing/>
        <w:ind w:left="0" w:firstLine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Отчет эмитента ПАО «Камчатскэнерго» за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6 мес. 2025 года, информация в котором изменяется (корректируется), ранее был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 опубликован в сети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Интернет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18/09/2025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 на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страницах: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  <w:hyperlink r:id="rId9" w:tooltip="https://e-disclosure.ru/portal/files.aspx?id=1409&amp;type=5" w:history="1">
        <w:r>
          <w:rPr>
            <w:rStyle w:val="869"/>
            <w:rFonts w:ascii="Times New Roman" w:hAnsi="Times New Roman" w:eastAsia="Times New Roman" w:cs="Times New Roman"/>
            <w:i/>
            <w:iCs/>
            <w:sz w:val="24"/>
            <w:szCs w:val="24"/>
          </w:rPr>
          <w:t xml:space="preserve">https://e-disclosure.ru/portal/files.aspx?id=1409&amp;type=5</w:t>
        </w:r>
        <w:r>
          <w:rPr>
            <w:rStyle w:val="869"/>
            <w:rFonts w:ascii="Times New Roman" w:hAnsi="Times New Roman" w:eastAsia="Times New Roman" w:cs="Times New Roman"/>
            <w:i/>
            <w:iCs/>
            <w:sz w:val="24"/>
            <w:szCs w:val="24"/>
          </w:rPr>
        </w:r>
        <w:r>
          <w:rPr>
            <w:rStyle w:val="869"/>
            <w:rFonts w:ascii="Times New Roman" w:hAnsi="Times New Roman" w:cs="Times New Roman"/>
            <w:bCs/>
            <w:i/>
            <w:sz w:val="24"/>
            <w:szCs w:val="24"/>
            <w:highlight w:val="none"/>
          </w:rPr>
        </w:r>
      </w:hyperlink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ind w:left="0" w:firstLine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3. Краткое описание внесенных изменений и причин (обстоятельств), послуживших основанием их внесения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.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contextualSpacing w:val="0"/>
        <w:ind w:left="0" w:firstLine="0"/>
        <w:jc w:val="both"/>
        <w:spacing w:before="240" w:after="0" w:line="240" w:lineRule="auto"/>
        <w:tabs>
          <w:tab w:val="left" w:pos="426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3.1.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Внесены изменения в пункт 1.3. раздела 1 Отчета эмитента: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70"/>
        <w:contextualSpacing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Устранена техническая ошибка:</w:t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pStyle w:val="870"/>
        <w:numPr>
          <w:ilvl w:val="0"/>
          <w:numId w:val="14"/>
        </w:numPr>
        <w:contextualSpacing/>
        <w:ind w:left="0" w:firstLine="426"/>
        <w:jc w:val="both"/>
        <w:keepLines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«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оказание услуг по технологическому присоединению к сети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» 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(+) 346 млн. руб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изменена на 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«оказание услуг по технологическому присоединению к сети» 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+) 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11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 млн. руб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. </w:t>
      </w: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Показатель формируется в зависимости от количества фактических заявителей на технологическое присоединение.</w:t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/>
          <w:sz w:val="24"/>
          <w:szCs w:val="24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3.2.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Внесены изменения в  пункт 1.4.1. раздела 1 Отчета эмитента: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Устранены технические ошибки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 табличных данных пункта 1.4.1. раздела 1 Отчета эмитента: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в строках 1, 3, 3.1, 4, 10.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</w:p>
    <w:p>
      <w:pPr>
        <w:pStyle w:val="875"/>
        <w:contextualSpacing/>
        <w:jc w:val="both"/>
        <w:spacing w:before="2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5"/>
        <w:contextualSpacing/>
        <w:jc w:val="both"/>
        <w:spacing w:before="20" w:after="40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1.4.1. Основные финансовые показатели, рассчитываемые на основе консолидированной финансовой отчетности: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tbl>
      <w:tblPr>
        <w:tblW w:w="9905" w:type="dxa"/>
        <w:tblInd w:w="-7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88"/>
        <w:gridCol w:w="4966"/>
        <w:gridCol w:w="2126"/>
        <w:gridCol w:w="212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N 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2025,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Общая выручка, руб.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24 053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23 361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Прибыль до вычета расходов по выплате процентов, налогов, износа основных средств и амортизации нематериальных активов (EBITDA),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3 876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991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Операционная прибыль до вычета износа основных средств и амортизации нематериальных активов (OIBDA),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3 496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649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Рентабельность по EBITDA (EBITDA margin), %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16,11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4,24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Рентабельность по OIBDA (OIBDA margin), %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 14,53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2,78</w:t>
            </w:r>
            <w:r>
              <w:rPr>
                <w:rFonts w:ascii="Times New Roman" w:hAnsi="Times New Roman" w:cs="Times New Roman"/>
                <w:strike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trike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Чистая прибыль (убыток), руб.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1 826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-1 071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Чистые денежные средства, полученные от операционной деятельности,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3 157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2 313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приобретение основных средств и нематериальных активов (капитальные затраты),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-1 283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-1 760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Свободный денежный поток,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1 874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553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Чистый долг,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11 681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15 994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Отношение чистого долга к EBITDA за последние 12 месяцев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3.01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16.14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Отношение чистого долга к OIBDA за последние 12 месяцев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3.34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24.64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10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6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Рентабельность капитала (ROE), %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11,23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  <w:t xml:space="preserve">-7,66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r>
          </w:p>
        </w:tc>
      </w:tr>
    </w:tbl>
    <w:p>
      <w:pPr>
        <w:jc w:val="both"/>
        <w:spacing w:before="240" w:after="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3.3.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Внесены изменения в пункт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1.4.4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раздела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Отчета эмитента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Устранена техническая ошибка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 табличных данных пункта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1.4.4</w:t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r>
    </w:p>
    <w:p>
      <w:pPr>
        <w:pStyle w:val="69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color w:val="000000"/>
          <w:sz w:val="24"/>
          <w:szCs w:val="24"/>
          <w:lang w:bidi="hi-IN"/>
        </w:rPr>
        <w:t xml:space="preserve">1.4.4. Иные финансовые показатели:</w:t>
      </w:r>
      <w:bookmarkEnd w:id="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921" w:type="dxa"/>
        <w:tblInd w:w="-88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670"/>
        <w:gridCol w:w="1999"/>
        <w:gridCol w:w="2126"/>
        <w:gridCol w:w="212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690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2024, 6 мес.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6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Среднегодовой размер собственного капитала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16 260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15 312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Заменена на 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tbl>
      <w:tblPr>
        <w:tblW w:w="9834" w:type="dxa"/>
        <w:tblInd w:w="-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583"/>
        <w:gridCol w:w="1999"/>
        <w:gridCol w:w="2126"/>
        <w:gridCol w:w="212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pStyle w:val="690"/>
              <w:contextualSpacing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bookmarkStart w:id="0" w:name="undefined"/>
            <w:r>
              <w:rPr>
                <w:rFonts w:ascii="Times New Roman" w:hAnsi="Times New Roman" w:eastAsia="Times New Roman" w:cs="Times New Roman"/>
                <w:i/>
                <w:iCs/>
                <w:color w:val="000000"/>
                <w:sz w:val="18"/>
                <w:szCs w:val="18"/>
                <w:lang w:bidi="hi-IN"/>
              </w:rPr>
              <w:t xml:space="preserve">2024, 6 мес.</w:t>
            </w:r>
            <w:bookmarkEnd w:id="0"/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Среднегодовой размер собственного капитала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9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</w:rPr>
              <w:t xml:space="preserve">16 260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13 9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77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r>
          </w:p>
        </w:tc>
      </w:tr>
    </w:tbl>
    <w:p>
      <w:pPr>
        <w:jc w:val="both"/>
        <w:spacing w:before="240" w:after="0" w:line="240" w:lineRule="auto"/>
        <w:tabs>
          <w:tab w:val="left" w:pos="1134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3.4.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Внесены изменения в пункт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1.4.5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раздела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Отчета эмитента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: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color w:val="2c2d2e"/>
          <w:sz w:val="24"/>
          <w:szCs w:val="24"/>
        </w:rPr>
        <w:t xml:space="preserve">показатели в п.1,3,4,5,8,10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ввиду корректировок технических ошибок в табличных данных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jc w:val="both"/>
        <w:spacing w:line="240" w:lineRule="auto"/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3.4.1. Заменена информация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  <w14:ligatures w14:val="none"/>
        </w:rPr>
      </w:r>
    </w:p>
    <w:p>
      <w:pPr>
        <w:jc w:val="both"/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  <w14:ligatures w14:val="none"/>
        </w:rPr>
      </w:pP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1. 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Выручка.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 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По итогам 6 месяцев 2025 года общая выручка группы Эмитента по сравнению с аналогичным пери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о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</w:rPr>
        <w:t xml:space="preserve">дом прошлого года (АППГ) увеличилась на 13,1% и составила 12 014 млн. руб. Увеличение главным образом обусловлено ростом объемов выработки электроэнергии, увеличения потребления электроэнергии и увеличением отпускных тарифов на энергоресурсы.</w:t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  <w14:ligatures w14:val="none"/>
        </w:rPr>
      </w:r>
      <w:r>
        <w:rPr>
          <w:rStyle w:val="876"/>
          <w:rFonts w:ascii="Times New Roman" w:hAnsi="Times New Roman" w:eastAsia="Times New Roman" w:cs="Times New Roman"/>
          <w:sz w:val="24"/>
          <w:szCs w:val="24"/>
          <w:lang w:eastAsia="ru-RU" w:bidi="ar-SA"/>
          <w14:ligatures w14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 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1.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Выручка.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 итогам 6 месяцев 2025 года общая выручка с учетом субсидий группы Эмитента по сравнению с аналогичным периодом прошлого года (АППГ) снизилась </w:t>
      </w:r>
      <w:r>
        <w:rPr>
          <w:rStyle w:val="876"/>
          <w:rFonts w:ascii="Times New Roman" w:hAnsi="Times New Roman" w:eastAsia="Times New Roman" w:cs="Times New Roman"/>
          <w:bCs/>
          <w:iCs/>
          <w:strike/>
          <w:sz w:val="24"/>
          <w:szCs w:val="24"/>
          <w:lang w:eastAsia="ru-RU" w:bidi="ar-SA"/>
        </w:rPr>
        <w:t xml:space="preserve">увеличилась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на (-2,9)% и составила  23 361 млн. руб.  Изменения обусловдены снижением объема предоставляемых субсидий на 15,5%. Рост выручки без предоставляемых субсидий составил 13,1%.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3.4.2.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Заменена информация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3.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по EBITDA.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рентабельность по EBITDA в сравнении АППГ снизился и составил 8,25%.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3.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по EBITDA.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рентабельность по EBITDA в сравнении АППГ снизился и составил  4,24%.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3.4.3.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Заменена информация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4.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Чистая прибыль.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За 6 месяцев 2025 года чистая прибыль группы Эмитента в сравнении АППГ снизилась на 158,2% и составила -1 078 млн. руб.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4.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Чистая прибыль.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чистая прибыль группы Эмитента в сравнении АППГ снизилась на  158,7% и составила  -1 071 млн. руб.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3.4.5.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Заменена информация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5.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Чистые денежные средства, полученные от операционной деятельности.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размер чистых поступлений денежных средств от операц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ионной деятельности по сравнению АППГ снизился на 884 млн. руб. и составил 2 313 млн. руб. Сумма денежных потоков по операционной деятельности до изменений оборотного капитала снизилась на 2 334 млн рублей по сравнению с АППГ годом в результате превышения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темпов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роста операционных расходов над выручкой.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5.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Чистые денежные средства, полученные от операционной деятельности.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размер чистых поступлений денежных средств от операционной деятельности по сравнению АППГ снизился на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 844 млн. руб. и составил 2 313 млн. руб. Сумма денежных потоков по операционной деятельности до изменений оборотного капитала снизилась на 2 334 млн рублей по сравнению с АППГ годом в результате превышения темпов роста операционных расходов над выручкой.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3.4.6.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Заменена информация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8.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Чистый долг.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период с 30.06.2024 по 30.06.2025 чистый долг увеличился на 4 313 млн. руб. (на 19,5%) и составил 15 994 млн. руб, что объясняется увеличением обязательств Группы, главным образом по причине удорожания стоимости топливно-энергетических ресурсов.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8.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Чистый долг.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период с 30.06.2024 по 30.06.2025 чистый долг увеличился на 4 313 млн. руб. (на  36,9%) и составил 15 994 млн. руб, что объясняется увеличением обязательств Группы, главным образом по причине удорожания стоимости топливно-энергетических ресурсов.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3.4.7.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sz w:val="24"/>
          <w:szCs w:val="24"/>
          <w:highlight w:val="none"/>
        </w:rPr>
        <w:t xml:space="preserve">Заменена информация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10.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капитала (ROE).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рентабельности капитала (ROE) в сравнении с АППГ снизилась на 18,42 процентных пункта и составила -7,04%.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на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10.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капитала (ROE).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рентабельности капитала (ROE) в сравнении с АППГ снизилась на  18,89 процентных пункта и составила  -7,66%.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lang w:eastAsia="ru-RU" w:bidi="ar-SA"/>
        </w:rPr>
      </w:pP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lang w:eastAsia="ru-RU" w:bidi="ar-SA"/>
        </w:rPr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3.5.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Внесены изменения в пункт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4.6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раздела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4 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Отчета эмитента</w:t>
      </w: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lang w:eastAsia="ru-RU" w:bidi="ar-SA"/>
        </w:rPr>
        <w:t xml:space="preserve">: </w:t>
      </w:r>
      <w:r>
        <w:rPr>
          <w:rFonts w:ascii="Times New Roman" w:hAnsi="Times New Roman" w:cs="Times New Roman"/>
          <w:b w:val="0"/>
          <w:bCs w:val="0"/>
          <w:iCs/>
          <w:sz w:val="10"/>
          <w:szCs w:val="10"/>
        </w:rPr>
      </w: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lang w:eastAsia="ru-RU" w:bidi="ar-SA"/>
        </w:rPr>
      </w:r>
    </w:p>
    <w:p>
      <w:pPr>
        <w:jc w:val="both"/>
        <w:rPr>
          <w:rFonts w:ascii="Times New Roman" w:hAnsi="Times New Roman" w:cs="Times New Roman"/>
          <w:b w:val="0"/>
          <w:bCs w:val="0"/>
          <w:sz w:val="10"/>
          <w:szCs w:val="10"/>
        </w:rPr>
      </w:pPr>
      <w:r>
        <w:rPr>
          <w:rFonts w:ascii="Times New Roman" w:hAnsi="Times New Roman" w:eastAsia="Times New Roman" w:cs="Times New Roman"/>
          <w:b w:val="0"/>
          <w:bCs w:val="0"/>
          <w:iCs/>
          <w:sz w:val="24"/>
          <w:szCs w:val="24"/>
          <w:lang w:eastAsia="ru-RU" w:bidi="ar-SA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В отношении аудитора (аудиторской организации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, индивидуального аудитора) эмитента, который проводил проверку промежуточной отчетности эмитента, раскрытой эмитентом в отчетном периоде, и (или) который проводил (будет проводить) проверку (обязательный аудит) годовой отчетности эмитента за текущий и пос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ледний завершенный отчетный год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: Общество с ограниченной ответственностью «ТОП РУСЬ»</w:t>
      </w:r>
      <w:r>
        <w:rPr>
          <w:rFonts w:ascii="Times New Roman" w:hAnsi="Times New Roman" w:cs="Times New Roman"/>
          <w:b w:val="0"/>
          <w:bCs w:val="0"/>
          <w:iCs/>
          <w:sz w:val="10"/>
          <w:szCs w:val="10"/>
        </w:rPr>
      </w:r>
      <w:r>
        <w:rPr>
          <w:rFonts w:ascii="Times New Roman" w:hAnsi="Times New Roman" w:cs="Times New Roman"/>
          <w:b w:val="0"/>
          <w:bCs w:val="0"/>
          <w:sz w:val="10"/>
          <w:szCs w:val="10"/>
        </w:rPr>
      </w:r>
    </w:p>
    <w:p>
      <w:pPr>
        <w:contextualSpacing/>
        <w:jc w:val="both"/>
        <w:spacing w:line="240" w:lineRule="auto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В информации об «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Отчетный год и (или) иной отчетный период из числа последних трех завершенных отчетных лет и текущего года, за который аудитором проводилас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ь (будет проводиться) проверка отчетности эмитента, и вид отчетности эмитента, в отношении которой аудитором проводилась (будет проводиться) проверка (бухгалтерская (финансовая) отчетность; консолидированная финансовая отчетность или финансовая отчетность)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»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t xml:space="preserve">: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i/>
          <w:sz w:val="24"/>
          <w:szCs w:val="24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удален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а информация об аудиторе ООО «ТОП РУСЬ»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как излишне раскрытая, в частности, информации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 о проводимых аудиторских проверках в отношении ПАО «Камчатскэнерго» проводившей проверки  за периоды 2021 года 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Бухгалтерская (финансовая) отчетность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), 6 мес. 2022 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Консолидированная отчетность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); 2022 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Бухгалтерская (финансовая) отчетность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; консолидированная отчетность);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6 месяцев 2023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 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Консолидированная отчетность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); 2023 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(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Бухгалтерская (финансовая) отчетность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; консолидированная отчетность).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</w:r>
      <w:r>
        <w:rPr>
          <w:rFonts w:ascii="Times New Roman" w:hAnsi="Times New Roman" w:cs="Times New Roman"/>
          <w:b/>
          <w:bCs/>
          <w:i/>
          <w:sz w:val="24"/>
          <w:szCs w:val="24"/>
        </w:rPr>
      </w:r>
    </w:p>
    <w:p>
      <w:pPr>
        <w:contextualSpacing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pStyle w:val="870"/>
        <w:ind w:left="0"/>
        <w:jc w:val="both"/>
        <w:spacing w:before="240" w:after="0" w:line="240" w:lineRule="auto"/>
        <w:tabs>
          <w:tab w:val="left" w:pos="567" w:leader="none"/>
        </w:tabs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4.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олный текст публикуемого сообщения с учетом внесенных изменений или полный текст измененной (скорректированной) информации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Изложить пункт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1.3.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раздела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 Отчета Эмитента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Камчатскэнерго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 в следующей редакции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1.3. Основные операционные показатели, характеризующие деятельность эмитента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Основные операционные показатели, которые, наиболее объективно и всесторонне характеризуют финансово-хозяйственную деятельность группы эмитента в натуральном выражении.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В отчете эмитента за 6 месяцев приводятся основные операционные пок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азатели эмитента (группы эмитента) за 6 месяцев отчетного года в сравнении с аналогичными 6 месяцами предшествующего года либо на дату окончания 6 месяцев отчетного года в сравнении с показателями на конец предшествующего года (в зависимости от показателя)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Операционные показатели: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tbl>
      <w:tblPr>
        <w:tblW w:w="9742" w:type="dxa"/>
        <w:tblInd w:w="-50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170"/>
        <w:gridCol w:w="1738"/>
        <w:gridCol w:w="1704"/>
        <w:gridCol w:w="2130"/>
      </w:tblGrid>
      <w:tr>
        <w:trPr>
          <w:trHeight w:val="50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2025,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Продажа электроэнергии и мощности на розничном рынке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6 127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7 296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Продажа теплоэнергии и ГВС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4 158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4 356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Оказание услуг по технологическому присоединению к сети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Прочая выручка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303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ИТОГО по ст. "Выручка"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10 625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12 014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118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Субсидия на компенсацию разницы м/у утвержденными ЭОТ на э/э и т/э и сниженными тарифами, предъявленными потребителям + компенсацию расходов на топливо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9 321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7 106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12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Субсидия, полученная гаранитрующими поставщиками (по Постановлению Правительства РФ № 895 субсидия на выравнивание тарифов до уровня среднероссийских)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4 107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4 241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ИТОГО по ст. "Государственные субсидии"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13 428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11 347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топливо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10 010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11 872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74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Вознаграждения работникам (в том числе налоги и расходы по пенсионному обеспечению)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4 762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5 132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Покупная энергия и мощность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2 788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1 334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Амортизация основных средств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933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1 074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распределение энергии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812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1 058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Прочие материалы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618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566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/>
                <w:sz w:val="18"/>
                <w:szCs w:val="18"/>
              </w:rPr>
              <w:t xml:space="preserve">Услуги сторонних организаций, включая: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Агентские расходы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594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Транспортные расходы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480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531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Ремонт и техническое обслуживание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280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консультационные, юридические и информационные услуги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188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172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охрану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152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страхование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аренду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9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Прочие услуги сторонних организаций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269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28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632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>
          <w:trHeight w:val="50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17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ИТОГО по ст. "Операционные расходы (без учета убытков от обесценения)"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3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70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21 915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3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23 650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Анализ динамики изменения приведенных показателей операционной деятельности    группы эмитента: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В том числе по статьям: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«продажа электроэнергии и мощности на розничном рынке» (+) 1 169 млн. руб. за счет роста среднего расчетного льготного тарифа;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«оказание услуг по технологическому присоединению к сети» (+)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11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млн. руб. Показатель формируется в зависимости от количества фактических заявителей на технологическое присоединение;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«государственные субсидии» (-) 2 081 млн. руб.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в том числе: (-) 2 215 млн. руб. по ст.    «субсидия на компенсацию разницы м/у утвержденными ЭОТ на э/э и т/э и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сниженными тарифами, предъявленными потребителям+ компенсация расходов на топливо» - доход по надбавке признается равномерно в течение года, а доход по прочим соглашениям признается в сумме заключенных соглашений, но не превышающей фактические начисления; 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«расходы на топливо» (+) 1 862 млн. руб. - рост цен на нефтепродукты, снижение поставок природного газа и рост расхода топочного мазута как резервного топлива на Камчатских ТЭЦ;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«вознаграждения работникам (в том числе налоги и расходы по пенсионному обеспечению)» (+) 370 млн. руб. – рост в рамках утвержденного ФОТ;-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«покупная энергия и мощность» (-) 1 454 млн. руб. - покупка электроэнергии для горнодобывающих компаний осуществляется по факту потребления;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«амортизация основных средств» (+) 141 млн. руб. с учетом изменения сроков ввода объектов ОПФ;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«расходы на распределение энергии» (+) 246 млн. руб. - за счет увеличения утвержденных РСТиЦ Камчатского края тарифов;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«агентские расходы» (+) 20 млн. руб. за счет роста затрат на услуги по агентскому договору с ПАО «ДЭК»;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«транспортные расходы» (+) 51 млн. руб. - рост стоимости услуг по договору с АО «ТК РусГидро».   </w:t>
      </w:r>
      <w:r>
        <w:rPr>
          <w:rFonts w:ascii="Times New Roman" w:hAnsi="Times New Roman" w:eastAsia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Основные события и факторы, в том числе макроэкономические, произошедшие в отчетном периоде, которые, по мнению эмитента, оказали существенное влияние на изменение основных операционных показателей группы эмитента: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рост электропотребления в Центральном энергоузле и в районах, обслуживаемых АО «ЮЭСК»; 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увеличение тарифов на электрическую и тепловую энергию, согласно принятым Регулирующим органом тарифным решениям; 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рост цен на нефтепродукты, снижение поставок природного газа и рост расхода топочного мазута как резервного топлива на Камчатских ТЭЦ; 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pStyle w:val="870"/>
        <w:numPr>
          <w:ilvl w:val="0"/>
          <w:numId w:val="17"/>
        </w:numPr>
        <w:ind w:left="0"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рост ключевой ставки ЦБ РФ. </w:t>
      </w:r>
      <w:r>
        <w:rPr>
          <w:rFonts w:ascii="Times New Roman" w:hAnsi="Times New Roman" w:cs="Times New Roman"/>
          <w:b/>
          <w:i/>
          <w:sz w:val="20"/>
          <w:szCs w:val="20"/>
        </w:rPr>
      </w:r>
      <w:r>
        <w:rPr>
          <w:rFonts w:ascii="Times New Roman" w:hAnsi="Times New Roman" w:cs="Times New Roman"/>
          <w:b/>
          <w:i/>
          <w:sz w:val="20"/>
          <w:szCs w:val="20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Изложить пункт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1.4.1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раздела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 Отчета Эмитента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Камчатскэнерго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 в следующей редакции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5"/>
        <w:contextualSpacing/>
        <w:jc w:val="both"/>
        <w:spacing w:before="20" w:after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1.4.1. Основные финансовые показатели, рассчитываемые на основе консолидированной финансовой отчетности: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905" w:type="dxa"/>
        <w:tblInd w:w="-72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688"/>
        <w:gridCol w:w="5107"/>
        <w:gridCol w:w="1984"/>
        <w:gridCol w:w="2126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N п/п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2025, 6 мес.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Общая выручка,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24 053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23 361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Прибыль до вычета расходов по выплате процентов, налогов, износа основных средств и амортизации нематериальных активов (EBITDA),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3 876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991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Операционная прибыль до вычета износа основных средств и амортизации нематериальных активов (OIBDA),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3 496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649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Рентабельность по EBITDA (EBITDA margin), %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16,11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4,24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Рентабельность по OIBDA (OIBDA margin), %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 14,53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2,78</w:t>
            </w:r>
            <w:r>
              <w:rPr>
                <w:rFonts w:ascii="Times New Roman" w:hAnsi="Times New Roman" w:cs="Times New Roman"/>
                <w:strike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trike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Чистая прибыль (убыток),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1 826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-1 071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Чистые денежные средства, полученные от операционной деятельности,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3 157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2 313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Расходы на приобретение основных средств и нематериальных активов (капитальные затраты),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-1 283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-1 760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Свободный денежный поток,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1 874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553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Чистый долг, руб.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11 681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15 994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9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Отношение чистого долга к EBITDA за последние 12 месяцев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3.01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16.14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Отношение чистого долга к OIBDA за последние 12 месяцев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3.34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24.64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8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10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1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Рентабельность капитала (ROE), %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11,23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-7,66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Статьи консолидированной финансовой отчетности (финансовой отчетности), на основе которых рассчитан показатель «Чистый долг»: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</w:rPr>
        <w:t xml:space="preserve">Показатель «Чистый долг» рассчитан как разность между общим долгом и    денежными средствами и их эквивалентами.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tabs>
          <w:tab w:val="left" w:pos="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Статьи консолидированной финансовой (финансовой) отчётности, на основе которых рассчитан показатель   EBITDA или OIBDA: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tabs>
          <w:tab w:val="left" w:pos="6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</w:rPr>
        <w:t xml:space="preserve">Показатель «EBITDA» рассчитан как сумма прибыли (убытка) до налогообложения, расходов по выплате процентов, износа основных средств и амортизации нематериальных активов.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Изложить пункт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1.4.4.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раздела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 Отчета Эмитента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Камчатскэнерго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 в следующей редакции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9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bidi="hi-IN"/>
        </w:rPr>
        <w:t xml:space="preserve">1.4.4. Иные финансовые показатели: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834" w:type="dxa"/>
        <w:tblInd w:w="-1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3583"/>
        <w:gridCol w:w="1584"/>
        <w:gridCol w:w="2052"/>
        <w:gridCol w:w="2615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Единица измерения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2" w:type="dxa"/>
            <w:vAlign w:val="center"/>
            <w:textDirection w:val="lrTb"/>
            <w:noWrap w:val="false"/>
          </w:tcPr>
          <w:p>
            <w:pPr>
              <w:pStyle w:val="690"/>
              <w:contextualSpacing/>
              <w:jc w:val="center"/>
              <w:rPr>
                <w:rFonts w:ascii="Times New Roman" w:hAnsi="Times New Roman" w:cs="Times New Roman"/>
                <w:i w:val="0"/>
                <w:iCs w:val="0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18"/>
                <w:szCs w:val="18"/>
                <w:lang w:bidi="hi-IN"/>
              </w:rPr>
              <w:t xml:space="preserve">2024, 6 мес.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1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iCs w:val="0"/>
                <w:sz w:val="18"/>
                <w:szCs w:val="18"/>
              </w:rPr>
              <w:t xml:space="preserve">2024, 6 мес.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58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 w:val="0"/>
                <w:iCs w:val="0"/>
                <w:sz w:val="18"/>
                <w:szCs w:val="18"/>
              </w:rPr>
              <w:t xml:space="preserve">Среднегодовой размер собственного капитала</w:t>
            </w:r>
            <w:r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15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 w:val="0"/>
                <w:iCs w:val="0"/>
                <w:sz w:val="18"/>
                <w:szCs w:val="18"/>
              </w:rPr>
              <w:t xml:space="preserve">млн. руб.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0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 w:val="0"/>
                <w:iCs w:val="0"/>
                <w:sz w:val="18"/>
                <w:szCs w:val="18"/>
              </w:rPr>
              <w:t xml:space="preserve">16 260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61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Cs/>
                <w:i w:val="0"/>
                <w:iCs w:val="0"/>
                <w:sz w:val="18"/>
                <w:szCs w:val="18"/>
              </w:rPr>
              <w:t xml:space="preserve">13 977</w:t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bCs/>
                <w:i w:val="0"/>
                <w:iCs w:val="0"/>
                <w:sz w:val="18"/>
                <w:szCs w:val="18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 w:val="0"/>
          <w:i w:val="0"/>
          <w:sz w:val="24"/>
          <w:szCs w:val="24"/>
        </w:rPr>
        <w:t xml:space="preserve">Методика расчета иных финансовых показателей: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Среднегодовой размер собственного капитала рассчитывается как среднее арифметическое от размера собственного капитала на начало и конец отчетного периода.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Изложить пункт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1.4.5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раздела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1. Отчета Эмитента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Камчатскэнерго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 в следующей редакции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pStyle w:val="69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bookmarkStart w:id="0" w:name="undefined"/>
      <w:r>
        <w:rPr>
          <w:rFonts w:ascii="Times New Roman" w:hAnsi="Times New Roman" w:eastAsia="Times New Roman" w:cs="Times New Roman"/>
          <w:color w:val="000000"/>
          <w:sz w:val="24"/>
          <w:szCs w:val="24"/>
          <w:lang w:bidi="hi-IN"/>
        </w:rPr>
        <w:t xml:space="preserve">1.4.5. Анализ динамики изменения финансовых показателей, приведенных в подпунктах 1.4.1 - 1.4.4 настоящего пункта</w:t>
      </w:r>
      <w:bookmarkEnd w:id="0"/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before="0"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</w:rPr>
      </w:r>
      <w:r>
        <w:rPr>
          <w:rFonts w:ascii="Times New Roman" w:hAnsi="Times New Roman" w:cs="Times New Roman"/>
          <w:b/>
          <w:bCs/>
          <w:sz w:val="24"/>
        </w:rPr>
      </w:r>
    </w:p>
    <w:p>
      <w:pPr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Основные события и факторы, в том числе макроэкономические, произошедшие в отчетном периоде, которые оказали существенное влияние на изменение приведенных финансовых показателей: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before="0" w:after="0"/>
        <w:rPr>
          <w:rFonts w:ascii="Times New Roman" w:hAnsi="Times New Roman" w:cs="Times New Roman"/>
          <w:i/>
          <w:iCs/>
          <w:szCs w:val="20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  <w:r>
        <w:rPr>
          <w:rFonts w:ascii="Times New Roman" w:hAnsi="Times New Roman" w:cs="Times New Roman"/>
          <w:i/>
          <w:iCs/>
          <w:szCs w:val="20"/>
        </w:rPr>
      </w:r>
      <w:r>
        <w:rPr>
          <w:rFonts w:ascii="Times New Roman" w:hAnsi="Times New Roman" w:cs="Times New Roman"/>
          <w:i/>
          <w:iCs/>
          <w:szCs w:val="2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1.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Выручка.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 итогам 6 месяцев 2025 года общая выручка с учетом субсидий группы Эмитента по сравнению с аналогичным периодом прошлого года (АППГ) снизилась </w:t>
      </w:r>
      <w:r>
        <w:rPr>
          <w:rStyle w:val="876"/>
          <w:rFonts w:ascii="Times New Roman" w:hAnsi="Times New Roman" w:eastAsia="Times New Roman" w:cs="Times New Roman"/>
          <w:bCs/>
          <w:iCs/>
          <w:strike/>
          <w:sz w:val="24"/>
          <w:szCs w:val="24"/>
          <w:lang w:eastAsia="ru-RU" w:bidi="ar-SA"/>
        </w:rPr>
        <w:t xml:space="preserve">увеличилась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на (-2,9)% и составила  23 361 млн. руб.  Изменения обусловдены снижением объема предоставляемых субсидий на 15,5%. Рост выручки без предоставляемых субсидий составил 13,1%.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2.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EBITDA.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EBITDA по сравнению с АППГ снизился на 2 885 млн. руб. (74,4%) и составил 991 млн. руб.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3.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по EBITDA.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рентабельность по EBITDA в сравнении АППГ снизился и составил  4,24%.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bCs/>
          <w:iCs/>
          <w:sz w:val="10"/>
          <w:szCs w:val="10"/>
        </w:rPr>
      </w:pPr>
      <w:r>
        <w:rPr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</w:r>
      <w:r>
        <w:rPr>
          <w:rFonts w:ascii="Times New Roman" w:hAnsi="Times New Roman" w:cs="Times New Roman"/>
          <w:bCs/>
          <w:iCs/>
          <w:sz w:val="10"/>
          <w:szCs w:val="10"/>
        </w:rPr>
      </w:r>
      <w:r>
        <w:rPr>
          <w:rFonts w:ascii="Times New Roman" w:hAnsi="Times New Roman" w:cs="Times New Roman"/>
          <w:bCs/>
          <w:iCs/>
          <w:sz w:val="10"/>
          <w:szCs w:val="1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4.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Чистая прибыль.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чистая прибыль группы Эмитента в сравнении АППГ снизилась на  158,7% и составила  -1 071 млн. руб. Снижение связано с высоким уровнем базового периода, обусловленного разовыми операциями.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5.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Чистые денежные средства, полученные от операционной деятельности.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размер чистых поступлений денежных средств от операционной деятельности по сравнению АППГ снизился на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 844 млн. руб. и составил 2 313 млн. руб. Сумма денежных потоков по операционной деятельности до изменений оборотного капитала снизилась на 2 334 млн рублей по сравнению с АППГ годом в результате превышения темпов роста операционных расходов над выручкой.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6. Капитальные затраты.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Капитальные расходы за 6 месяцев 2025 года по сравнению с АППГ увеличились на 37,2% и составили 1 760 млн. руб.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7. Свободный денежный поток.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6 месяцев 2025 года свободный денежный поток группы Эмитента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в сравнении с АППГ снизился на 1 321 млн. руб. и составил 553 млн. руб. Обусловлено как снижением чистых денежных средств, полученных от операционной деятельности, так и ростом капитальных затрат.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8.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Чистый долг.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За период с 30.06.2024 по 30.06.2025 чистый долг увеличился на 4 313 млн. руб. (на  36,9%) и составил 15 994 млн. руб, что объясняется увеличением обязательств Группы, главным образом по причине удорожания стоимости топливно-энергетических ресурсов.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9.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Отношение чистого долга к EBITDA.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Одним из ключевых показателей для целей оценки уровня долговой нагрузки является коэффициент долговой нагрузки (отношение пок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азателя Чистого долга к значению EBITDA). Чем ниже значение данного коэффициента, тем сильнее финансовая позиция Эмитента. За анализируемый период коэффициент долговой нагрузки группы Эмитента составил 16,14 по сравнению с АППГ увеличение на 13,13 пункта. </w:t>
      </w:r>
      <w:r>
        <w:rPr>
          <w:rFonts w:ascii="Times New Roman" w:hAnsi="Times New Roman" w:cs="Times New Roman"/>
          <w:bCs/>
          <w:iCs/>
          <w:sz w:val="20"/>
          <w:szCs w:val="20"/>
        </w:rPr>
      </w:r>
      <w:r>
        <w:rPr>
          <w:rFonts w:ascii="Times New Roman" w:hAnsi="Times New Roman" w:cs="Times New Roman"/>
          <w:bCs/>
          <w:iCs/>
          <w:sz w:val="20"/>
          <w:szCs w:val="20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10. 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u w:val="single"/>
          <w:lang w:eastAsia="ru-RU" w:bidi="ar-SA"/>
        </w:rPr>
        <w:t xml:space="preserve">Рентабельность капитала (ROE).</w:t>
      </w:r>
      <w:r>
        <w:rPr>
          <w:rStyle w:val="876"/>
          <w:rFonts w:ascii="Times New Roman" w:hAnsi="Times New Roman" w:eastAsia="Times New Roman" w:cs="Times New Roman"/>
          <w:bCs/>
          <w:iCs/>
          <w:sz w:val="24"/>
          <w:szCs w:val="24"/>
          <w:lang w:eastAsia="ru-RU" w:bidi="ar-SA"/>
        </w:rPr>
        <w:t xml:space="preserve"> Показатель рентабельности капитала (ROE) в сравнении с АППГ снизилась на  18,89 процентных пункта и составила  -7,66%.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Изложить пункт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4.6. раздела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4. Отчета Эмитента 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ПАО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 «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Камчатскэнерго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» в следующей редакции</w:t>
      </w:r>
      <w:r>
        <w:rPr>
          <w:rFonts w:ascii="Times New Roman" w:hAnsi="Times New Roman" w:eastAsia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 w:eastAsiaTheme="minorEastAsia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highlight w:val="none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 w:eastAsiaTheme="minorEastAsia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 w:eastAsiaTheme="minorEastAsia"/>
          <w:sz w:val="24"/>
          <w:szCs w:val="24"/>
          <w:highlight w:val="none"/>
          <w:lang w:eastAsia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bidi="ar-SA"/>
        </w:rPr>
        <w:t xml:space="preserve">4.6. Информация об аудиторе эмитента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Информация в отношении аудитора (аудиторской организации, индивидуального аудитора) эмит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ента, который проводил проверку промежуточной отчетности эмитента, раскрытой эмитентом в отчетном периоде, и (или) который проводил (будет проводить) проверку (обязательный аудит) годовой отчетности эмитента за текущий и последний завершенный отчетный год.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Полное фирменное наименование: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Общество с ограниченной ответственностью «Группа Финансы»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Сокращенное фирменное наименование: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ООО «Группа Финансы»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Место нахождения: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111020, г. Москва, вн.тер.г. Муниципальный Округ Лефортово, ул 2-я Синичкина, д. 9А, стр. 7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ИНН: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2312145943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ОГРН: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1082312000110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Отчетный год и (или) иной отчетный период из числа последних трех завершенных отчетных лет и текущего года, за который аудитором проводилась (будет проводиться) проверка отчетности эмитента: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659" w:type="dxa"/>
        <w:tblInd w:w="33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7"/>
        <w:gridCol w:w="4992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Отчетный год и (или) иной отчетный период из числа последних трех завершенных отчетных лет и текущего года, за который аудитором проводилась (будет проводиться) проверка отчетности эмитента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Вид отчетности эмитента, в отношении которой аудитором проводилась (будет проводиться) проверка (бухгалтерская (финансовая) отчетность; консолидированная финансовая отчетность или финансовая отчетность)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6 месяцев 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Бухгалтерская (финансовая)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7"/>
        <w:jc w:val="both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Сопутствующие аудиту и прочие связанные с аудиторской деятельностью услуги, которые оказывались (будут оказываться) эмитенту в течение последних трех завершенных отчетных лет и текущего года аудитором: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Сопутствующих аудиту и прочих связанных с аудиторской деятельностью услуг в течение последних трех завершенных отчетных лет и текущего года аудитором не оказывалось.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Факторы, которые могут оказать влияние на независимость аудитора, в том числе сведения о наличии существенных интересов (взаимоотношений), связывающих с эмите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нтом (членами органов управления и органов контроля за финансово-хозяйственной деятельностью эмитента) аудитора эмитента, членов органов управления и органов контроля за финансово-хозяйственной деятельностью аудитора, а также участников аудиторской группы: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Аудиторская организация независима от Эмитента. Факторов, которые могут оказать влияние на независимость Аудиторской организации от Эмитента, а также существенных интересов (взаимоотношений), связывающих Аудиторскую организацию (членов о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рганов управления и органов контроля за финансово-хозяйственной деятельностью Аудиторской организации, участников аудиторской группы) с Эмитентом (членами органов управления и органов контроля за финансово-хозяйственной деятельностью Эмитента), не выявлено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Меры, предпринятые эмитентом и аудитором эмитента для снижения влияния факторов, которые могут оказать влияние на независимость аудитора: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Эмитент и Аудиторская организация действовали в рамках законодательства Российской Федерации, в частности, в соответствии с Федеральным законом от 30.12.2008 № 307-ФЗ «Об аудиторской деятельности».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При оказании аудиторских услуг аудиторская организация не зависима и соблюдала правила независимости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аудиторов и аудиторских организаций. Под независимостью аудиторской организации, аудитора понимается отсутствие отношений связанности (аффилированности), основанной на имущественной, родственной или иной зависимости аудиторской организации, аудитора от ауд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ируемого лица, его учредителей (участников, акционеров), руководителей и иных должностных лиц, других лиц, в случаях, предусмотренных настоящим Федеральным законом, другими федеральными законами, правилами независимости аудиторов и аудиторских организаций.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Основной мерой, предпринятой Эмитентом для снижения зависимости друг от друга, является процесс тщательного рассмотрения кандидатуры Аудиторской организации на предмет ее независимости от Эмитента. Аудиторская организация является полностью незав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исимой от органов управления Эмитента в соответствии с требованиями ст. 8 Федерального закона от 30.12.2008 № 307-ФЗ «Об аудиторской деятельности»; размер вознаграждения Аудиторской организации не ставился в зависимость от результатов проведенной проверки.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Фактический размер вознаграждения, выплаченного эмитентом аудитор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 за последний завершенный отчетный год, с отдельным указанием размера вознаграждения, выплаченного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Размер вознаграждения, выплаченного ООО «Группа Финансы», за аудит консолидированной (финансовой) отчетности в соответствии со стандартами МСФО и бухгалтерской (финансовой) отчетности Общества за 2024 год составляет 4 190 200 рублей (без учета НДС).</w:t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sz w:val="24"/>
          <w:szCs w:val="24"/>
        </w:rPr>
        <w:t xml:space="preserve">В соответствии с графиком платежей по договору с ООО «Группа Финансы» в первом полугодии 2025 года выплаче</w:t>
      </w:r>
      <w:r>
        <w:rPr>
          <w:rStyle w:val="876"/>
          <w:rFonts w:ascii="Times New Roman" w:hAnsi="Times New Roman" w:eastAsia="Times New Roman" w:cs="Times New Roman"/>
          <w:sz w:val="24"/>
          <w:szCs w:val="24"/>
        </w:rPr>
        <w:t xml:space="preserve">но за аудит годовой консолидированной отчетности по стандартам МФСО за 2024 в размере 1 722 000 рублей (без учета НДС), годовой бухгалтерской (финансовой) отчетности в соответствии со стандартами РСБУ за 2024 год в размере 1 291 500 рублей (без учета НДС).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Отсроченных и просроченных платежей за оказанные аудитором услуги нет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Аудитор проводил проверку консолидированной финансовой отчетности эмитента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hd w:val="clear" w:color="auto" w:fill="ffff00"/>
        </w:rPr>
      </w:pPr>
      <w:r>
        <w:rPr>
          <w:rFonts w:ascii="Times New Roman" w:hAnsi="Times New Roman" w:eastAsia="Times New Roman" w:cs="Times New Roman"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shd w:val="clear" w:color="auto" w:fill="ffff00"/>
        </w:rPr>
      </w:r>
      <w:r>
        <w:rPr>
          <w:rFonts w:ascii="Times New Roman" w:hAnsi="Times New Roman" w:cs="Times New Roman"/>
          <w:shd w:val="clear" w:color="auto" w:fill="ffff00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Фактический размер вознаграждения, выплаченного эмитентом и подконтрольными эмитенту организациями, имеющими для него существен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ное значение, указанному аудитору за аудит (проверку), в том числе обязательный,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Ин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формация о вознаграждении, предусмотренная настоящим подпунктом, раскрывается в отношении Эмитента. Размер вознаграждения, выплаченного за аудит (проверку), в том числе обязательный, консолидированной финансовой отчетности Эмитента за 2024 год указан выше.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Подконтрольной ПАО «Камчатскэнерго» организации АО «ЮЭСК» услуги по аудиту бухгалтерской (финансовой) отчетности в 2024 году не оказывались.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Сопутствующие аудиту и прочие связанные с аудиторской деятельностью услуги, Аудиторской организацией эмитенту не оказывались.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Порядок выбора аудитора эмитента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Процедура конкурса, связанного с выбором аудитора, и его основные условия: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В рамках проведения внеплановой закупки на оказание услуг по аудиту бухгалтерской отчетности, подготовленной в соответствии с российскими стандартами бухгалтерского учета, и финансовой отчетности по международным стандартам фина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нсовой отчетности за 2024 год как у единственного поставщика направлен запрос предложений в аудиторские организации, включенные в реестр аудиторских организаций, оказывающих аудиторские услуги ОЗОФР: АО «Юникон», ООО «Группа Финансы», ООО «ФинЭкспертиза».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На основании полученных предложений от аудиторских организаций закупка проведена с   ООО «Группа Финансы», так как была предложена самая низкая стоимость за оказание аудиторских услуг.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spacing w:before="0"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Процедура выдвижения кандидатуры аудитора для утверждения общим собранием акционеров (участников), в том числе орган управления эмитента, принимающий решение о выдвижении кандидатуры аудитора эмитента: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Совет директоров Эмитента рекомендует кандидатуру Аудиторской организации для назначения Общим собранием акционеров Общества.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В соответствии с требов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аниями законодательства Российской Федерации Эмитент обязан проводить ежегодный аудит финансовой отчетности. Для проведения аудита годовой бухгалтерской (финансовой) отчетности Общее собрание акционеров ежегодно назначает Аудиторскую организацию Общества.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Советом директоров ПАО «Камчатскэнерго» от 27.08.2024 (протокол № 3) принято решение о предложении назначить ООО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«Группа Финансы» аудиторской организацией Общества.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ООО «Группа Финансы» назначена Аудиторской организацией эмитента на 2024 год в соответствии с решением внеочередного Общего собрания акционеров Общества от 03.10.2024 (протокол от 07.10.2024 №2).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</w:r>
      <w:r>
        <w:rPr>
          <w:rFonts w:ascii="Times New Roman" w:hAnsi="Times New Roman" w:cs="Times New Roman"/>
          <w:b/>
          <w:bCs/>
          <w:i/>
        </w:rPr>
      </w:r>
      <w:r>
        <w:rPr>
          <w:rFonts w:ascii="Times New Roman" w:hAnsi="Times New Roman" w:cs="Times New Roman"/>
          <w:b/>
          <w:bCs/>
          <w:i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  <w:shd w:val="clear" w:color="auto" w:fill="ffff0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</w:p>
    <w:p>
      <w:pPr>
        <w:contextualSpacing/>
        <w:ind w:firstLine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Полное фирменное наименование: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sz w:val="24"/>
          <w:szCs w:val="24"/>
        </w:rPr>
        <w:t xml:space="preserve">Акционерное общество «Технологии Доверия – Аудит»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Сокращенное фирменное наименование: </w:t>
      </w:r>
      <w:r>
        <w:rPr>
          <w:rStyle w:val="869"/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u w:val="none"/>
        </w:rPr>
        <w:t xml:space="preserve">АО «Технологии Доверия – Аудит»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Место нахождения: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r>
        <w:rPr>
          <w:rStyle w:val="869"/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u w:val="none"/>
        </w:rPr>
        <w:t xml:space="preserve">117218, г. Москва, вн.тер.г. МО Академический,</w:t>
      </w: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 </w:t>
      </w:r>
      <w:r>
        <w:rPr>
          <w:rStyle w:val="869"/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u w:val="none"/>
        </w:rPr>
        <w:t xml:space="preserve">ул. Кржижановского, д. 14, к. 3, помещ. 5/1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bCs/>
          <w:i/>
          <w:color w:val="000000"/>
          <w:sz w:val="20"/>
          <w:u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ИНН: </w:t>
      </w:r>
      <w:r>
        <w:rPr>
          <w:rStyle w:val="869"/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u w:val="none"/>
        </w:rPr>
        <w:t xml:space="preserve">7705051102</w:t>
      </w:r>
      <w:r>
        <w:rPr>
          <w:rFonts w:ascii="Times New Roman" w:hAnsi="Times New Roman" w:cs="Times New Roman"/>
          <w:b/>
          <w:bCs/>
          <w:i/>
          <w:color w:val="000000"/>
          <w:sz w:val="20"/>
          <w:u w:val="none"/>
        </w:rPr>
      </w:r>
      <w:r>
        <w:rPr>
          <w:rFonts w:ascii="Times New Roman" w:hAnsi="Times New Roman" w:cs="Times New Roman"/>
          <w:b/>
          <w:bCs/>
          <w:i/>
          <w:color w:val="000000"/>
          <w:sz w:val="20"/>
          <w:u w:val="none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ОГРН: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r>
        <w:rPr>
          <w:rStyle w:val="869"/>
          <w:rFonts w:ascii="Times New Roman" w:hAnsi="Times New Roman" w:eastAsia="Times New Roman" w:cs="Times New Roman"/>
          <w:b/>
          <w:bCs/>
          <w:i/>
          <w:color w:val="000000"/>
          <w:sz w:val="24"/>
          <w:szCs w:val="24"/>
          <w:u w:val="none"/>
        </w:rPr>
        <w:t xml:space="preserve">1027700148431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  <w:shd w:val="clear" w:color="auto" w:fill="ffff0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  <w:shd w:val="clear" w:color="auto" w:fill="ffff00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  <w:r>
        <w:rPr>
          <w:rFonts w:ascii="Times New Roman" w:hAnsi="Times New Roman" w:cs="Times New Roman"/>
          <w:b/>
          <w:i/>
          <w:shd w:val="clear" w:color="auto" w:fill="ffff00"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Отчетный год и (или) иной отчетный период из числа последних трех завершенных отчетных лет и текущего года, за который аудитором проводилась (будет проводиться) проверка отчетности эмитента: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659" w:type="dxa"/>
        <w:tblInd w:w="33" w:type="dxa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</w:tblPr>
      <w:tblGrid>
        <w:gridCol w:w="4667"/>
        <w:gridCol w:w="4992"/>
      </w:tblGrid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Отчетный год и (или) иной отчетный период из числа последних трех завершенных отчетных лет и текущего года, за который аудитором проводилась (будет проводиться) проверка отчетности эмитента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Вид отчетности эмитента, в отношении которой аудитором проводилась (будет проводиться) проверка (бухгалтерская (финансовая) отчетность; консолидированная финансовая отчетность или финансовая отчетность)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6 месяцев 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Бухгалтерская (финансовая)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6 месяцев 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Бухгалтерская (финансовая)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6 месяцев 2027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Консолидированная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>
        <w:trPr/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66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2027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  <w:tc>
          <w:tcPr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99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18"/>
                <w:szCs w:val="18"/>
              </w:rPr>
              <w:t xml:space="preserve">Бухгалтерская (финансовая) отчетность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Сопутствующие аудиту и прочие связанные с аудиторской деятельностью услуги, которые оказывались (будут оказываться) эмитенту в течение последних трех завершенных отчетных лет и текущего года аудитором: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Сопутствующих аудиту и прочих связанных с аудиторской деятельностью услуг в течение последних трех завершенных отчетных лет и текущего года аудитором не оказывалось.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Факторы, которые могут оказать влияние на независимость аудитора, в том числе сведения о наличии существенных интересов (взаимоотношений), связывающих с эмите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нтом (членами органов управления и органов контроля за финансово-хозяйственной деятельностью эмитента) аудитора эмитента, членов органов управления и органов контроля за финансово-хозяйственной деятельностью аудитора, а также участников аудиторской группы: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Аудиторская организация независима от Эмитента. Факторов, которые могут оказать влияние на независимость Аудиторской организации от Эмитента, а также существенных интересов (взаимоотношений), связывающих Аудиторскую организацию (членов о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рганов управления и органов контроля за финансово-хозяйственной деятельностью Аудиторской организации, участников аудиторской группы) с Эмитентом (членами органов управления и органов контроля за финансово-хозяйственной деятельностью Эмитента), не выявлено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Меры, предпринятые эмитентом и аудитором эмитента для снижения влияния факторов, которые могут оказать влияние на независимость аудитора: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Эмитент и Аудиторская организация действовали в рамках законодательства Российской Федерации, в частности, в соответствии с Федеральным законом от 30.12.2008 № 307-ФЗ «Об аудиторской деятельности».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При оказании аудиторских услуг аудиторская организация не зависима и соблюдала правила независимости 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аудиторов и аудиторских организаций. Под независимостью аудиторской организации, аудитора понимается отсутствие отношений связанности (аффилированности), основанной на имущественной, родственной или иной зависимости аудиторской организации, аудитора от ауд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ируемого лица, его учредителей (участников, акционеров), руководителей и иных должностных лиц, других лиц, в случаях, предусмотренных настоящим Федеральным законом, другими федеральными законами, правилами независимости аудиторов и аудиторских организаций.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Основной мерой, предпринятой Эмитентом для снижения зависимости друг от друга, является процесс тщательного рассмотрения кандидатуры Аудиторской организации на предмет ее независимости от Эмитента. Аудиторская организация является полностью незав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исимой от органов управления Эмитента в соответствии с требованиями ст. 8 Федерального закона от 30.12.2008 № 307-ФЗ «Об аудиторской деятельности»; размер вознаграждения Аудиторской организации не ставился в зависимость от результатов проведенной проверки.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Фактический размер вознаграждения, выплаченного эмитентом аудитор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у за последний завершенный отчетный год, с отдельным указанием размера вознаграждения, выплаченного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услуг: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Размер вознаграж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дения </w:t>
      </w:r>
      <w:r>
        <w:rPr>
          <w:rStyle w:val="869"/>
          <w:rFonts w:ascii="Times New Roman" w:hAnsi="Times New Roman" w:eastAsia="Times New Roman" w:cs="Times New Roman"/>
          <w:b/>
          <w:i/>
          <w:iCs/>
          <w:color w:val="000000"/>
          <w:sz w:val="24"/>
          <w:szCs w:val="24"/>
          <w:u w:val="none"/>
        </w:rPr>
        <w:t xml:space="preserve">АО «Технологии Доверия – Аудит»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за обзорную проверку промежуточной консолидированной отчетности по стандартам МФСО Общества за 6 месяцев 2025 года составит 1 791 242,40 рублей (без учета НДС).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tabs>
          <w:tab w:val="left" w:pos="400" w:leader="none"/>
          <w:tab w:val="left" w:pos="517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В соответствии с графиком платежей по договору с </w:t>
      </w:r>
      <w:r>
        <w:rPr>
          <w:rStyle w:val="869"/>
          <w:rFonts w:ascii="Times New Roman" w:hAnsi="Times New Roman" w:eastAsia="Times New Roman" w:cs="Times New Roman"/>
          <w:b/>
          <w:i/>
          <w:iCs/>
          <w:color w:val="000000"/>
          <w:sz w:val="24"/>
          <w:szCs w:val="24"/>
          <w:u w:val="none"/>
        </w:rPr>
        <w:t xml:space="preserve">АО «Технологии Доверия – Аудит»</w:t>
      </w: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 вознаграждение за обзорную проверку промежуточной консолидированной отчетности по стандартам МФСО за 6 месяцев 2025 года будет выплачено в 3 квартале 2025 года.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tabs>
          <w:tab w:val="left" w:pos="400" w:leader="none"/>
          <w:tab w:val="left" w:pos="517" w:leader="none"/>
        </w:tabs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Сопутствующие аудиту и прочие связанные с аудиторской деятельностью услуги аудитором эмитенту не оказывались.</w:t>
      </w:r>
      <w:r>
        <w:rPr>
          <w:rFonts w:ascii="Times New Roman" w:hAnsi="Times New Roman" w:cs="Times New Roman"/>
          <w:b/>
          <w:i/>
          <w:iCs/>
        </w:rPr>
      </w:r>
      <w:r>
        <w:rPr>
          <w:rFonts w:ascii="Times New Roman" w:hAnsi="Times New Roman" w:cs="Times New Roman"/>
          <w:b/>
          <w:i/>
          <w:iCs/>
        </w:rPr>
      </w:r>
    </w:p>
    <w:p>
      <w:pPr>
        <w:jc w:val="both"/>
        <w:tabs>
          <w:tab w:val="left" w:pos="400" w:leader="none"/>
          <w:tab w:val="left" w:pos="517" w:leader="none"/>
        </w:tabs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  <w:t xml:space="preserve">Отсроченных и просроченных платежей за оказанные аудитором услуги нет.</w:t>
      </w:r>
      <w:r>
        <w:rPr>
          <w:rFonts w:ascii="Times New Roman" w:hAnsi="Times New Roman" w:cs="Times New Roman"/>
          <w:b/>
          <w:i/>
          <w:iCs/>
        </w:rPr>
      </w:r>
      <w:r>
        <w:rPr>
          <w:rFonts w:ascii="Times New Roman" w:hAnsi="Times New Roman" w:cs="Times New Roman"/>
          <w:b/>
          <w:i/>
          <w:iCs/>
        </w:rPr>
      </w:r>
    </w:p>
    <w:p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8"/>
        <w:contextualSpacing/>
        <w:jc w:val="both"/>
        <w:spacing w:before="164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Размер вознаграждения за оказанные аудитором эмитента услуги, выплата которого от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ложена или просрочена эмитентом, с отдельным указанием отложенного или просроченного вознаграждения за аудит (проверку), в том числе обязательный, отчетности эмитента и за оказание сопутствующих аудиту и прочих связанных с аудиторской деятельностью услуг: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отложенные или просроченные платежи отсутствуют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878"/>
        <w:contextualSpacing/>
        <w:jc w:val="both"/>
        <w:spacing w:before="164"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878"/>
        <w:contextualSpacing/>
        <w:jc w:val="both"/>
        <w:spacing w:before="164"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Фактический размер вознаграждения, выплаченного эмитентом и подконтрольными эмитенту организациями, имеющими для него существен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ное значение, указанному аудитору за аудит (проверку), в том числе обязательный, консолидированной финансовой отчетности эмитента за последний завершенный отчетный год и за оказание сопутствующих аудиту и прочих связанных с аудиторской деятельностью услуг: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Информация о вознаграждении, предусмотренная настоящим подпунктом, раскрывается в отношении Эмитента.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Размер вознаграждения, выплаченного за аудит (проверку), в том числе обязательный, консолидированной финансовой отчетности Эмитента за 2025 год указан выше.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Подконтрольной ПАО «Камчатскэнерго» организации АО «ЮЭСК» услуги по аудиту бухгалтерской (финансовой) отчетности году не оказывались.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Сопутствующие аудиту и прочие связанные с аудиторской деятельностью услуги, Аудиторской организацией эмитенту не оказывались.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567"/>
        <w:jc w:val="both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eastAsia="Times New Roman" w:cs="Times New Roman"/>
          <w:b/>
          <w:i/>
          <w:iCs/>
          <w:sz w:val="24"/>
          <w:szCs w:val="24"/>
        </w:rPr>
      </w:r>
      <w:r>
        <w:rPr>
          <w:rFonts w:ascii="Times New Roman" w:hAnsi="Times New Roman" w:cs="Times New Roman"/>
          <w:b/>
          <w:i/>
          <w:iCs/>
        </w:rPr>
      </w:r>
      <w:r>
        <w:rPr>
          <w:rFonts w:ascii="Times New Roman" w:hAnsi="Times New Roman" w:cs="Times New Roman"/>
          <w:b/>
          <w:i/>
          <w:iCs/>
        </w:rPr>
      </w:r>
    </w:p>
    <w:p>
      <w:pPr>
        <w:contextualSpacing/>
        <w:jc w:val="both"/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Порядок выбора аудитора эмитента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Процедура конкурса, связанного с выбором аудитора, и его основные условия: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Процедура тендера, связанного с выбором кандидатуры аудитора Общества, осуществляется ПАО «РусГидро» в соответствии с ГКПЗ Общества. </w:t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contextualSpacing/>
        <w:ind w:right="57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В соответствии с Федеральным законом от 30.12.2008 № 307-ФЗ «Об аудиторской деяте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льности» конкурсный отбор Аудиторской организации Общества на 2022-2024 гг. проводился на основании Федерального закона от 05.04.2013 44-ФЗ «О контрактной системе в сфере закупок товаров, работ, услуг для обеспечения государственных и муниципальных нужд». </w:t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ind w:right="-57" w:firstLine="567"/>
        <w:jc w:val="both"/>
        <w:spacing w:before="0" w:after="0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ПАО «РусГидро» проведена объединенная закупка, конкурс в электронной форме: «У</w:t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слуги по аудиту бухгалтерской отчетности, подготовленной в соответствии с российскими стандартами бухгалтерского учета и финансовой отчетности по международным стандартам финансовой отчетности за 2025 – 2027 годы для подконтрольных обществ ПАО «РусГидро»».</w:t>
      </w:r>
      <w:r>
        <w:rPr>
          <w:rFonts w:ascii="Times New Roman" w:hAnsi="Times New Roman" w:cs="Times New Roman"/>
          <w:b/>
          <w:i/>
        </w:rPr>
      </w:r>
      <w:r>
        <w:rPr>
          <w:rFonts w:ascii="Times New Roman" w:hAnsi="Times New Roman" w:cs="Times New Roman"/>
          <w:b/>
          <w:i/>
        </w:rPr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76"/>
          <w:rFonts w:ascii="Times New Roman" w:hAnsi="Times New Roman" w:eastAsia="Times New Roman" w:cs="Times New Roman"/>
          <w:sz w:val="24"/>
          <w:szCs w:val="24"/>
        </w:rPr>
        <w:t xml:space="preserve">Решением закупочной комиссии от 02.12.2024 №6/ВП победителем определено Акционерное общество «Технологии Доверия - Аудит». В соответствии с указанным решением между ПАО «Камчатскэнерго» и АО «Технологии Доверия - Аудит» заключен договор </w:t>
      </w:r>
      <w:r>
        <w:rPr>
          <w:rStyle w:val="876"/>
          <w:rFonts w:ascii="Times New Roman" w:hAnsi="Times New Roman" w:eastAsia="Times New Roman" w:cs="Times New Roman"/>
          <w:sz w:val="24"/>
          <w:szCs w:val="24"/>
        </w:rPr>
        <w:t xml:space="preserve">об оказании услуг по проведению аудита бухгалтерской (финансовой) отчетности, составленной в соответствии с РСБУ, и консолидированной финансовой отчетности, составленной в соответствии с МСФО,   на 2025-2027 годы от 12.03.2025 №111105-НАЛ ДКУО-2025-КамчЭн.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Процедура выдвижения кандидатуры аудитора для утверждения общим собранием акционеров (участников) эмитента, в том числе орган управления эмитента, принимающий решение о выдвижении кандидатуры аудитора эмитента: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Совет директоров Эмитента рекомендует кандидатуру Аудиторской организации для назначения Общим собранием акционеров Общества.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В соответствии с требов</w:t>
      </w: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аниями законодательства Российской Федерации Эмитент обязан проводить ежегодный аудит финансовой отчетности. Для проведения аудита годовой бухгалтерской (финансовой) отчетности Общее собрание акционеров ежегодно назначает Аудиторскую организацию Общества.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Советом директоров ПАО «Камчатскэнерго» от 24.04.2025 (протокол № 14) принято решение предложить назначить АО «Технологии доверия - Аудит» аудиторской организацией Общества.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АО «Технологии Доверия – Аудит». (АО «Технол</w:t>
      </w:r>
      <w:r>
        <w:rPr>
          <w:rStyle w:val="869"/>
          <w:rFonts w:ascii="Times New Roman" w:hAnsi="Times New Roman" w:eastAsia="Times New Roman" w:cs="Times New Roman"/>
          <w:b/>
          <w:i/>
          <w:color w:val="000000"/>
          <w:sz w:val="24"/>
          <w:szCs w:val="24"/>
          <w:u w:val="none"/>
        </w:rPr>
        <w:t xml:space="preserve">огии Доверия – Аудит») назначена Аудиторской организацией эмитента в соответствии с решением годового заседания Общего собрания акционеров Публичного акционерного общества энергетики и электрификации «Камчатскэнерго» 29.05.2025 (протокол от 30.05.2025 №1).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Изменений в информации настоящего пункта отчета эмитента в период между датой окончания отчетного периода и датой раскрытия консолидированной финансовой отчетности не происходило.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  <w:r>
        <w:rPr>
          <w:rFonts w:ascii="Times New Roman" w:hAnsi="Times New Roman" w:cs="Times New Roman"/>
          <w:b w:val="0"/>
          <w:bCs w:val="0"/>
          <w:sz w:val="24"/>
          <w:szCs w:val="24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5.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Заместитель генерального директора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по корпоративно-правовому 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управлению ПАО «Камчатскэнерго»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ab/>
        <w:t xml:space="preserve">   Д.В. Скосырев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(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по доверенности от 01.01.2024 № КЭ-18-18-24/39Д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)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5.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1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. Дата.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p>
      <w:pPr>
        <w:contextualSpacing/>
        <w:jc w:val="both"/>
        <w:spacing w:before="240" w:after="40" w:line="240" w:lineRule="auto"/>
        <w:widowControl w:val="off"/>
        <w:rPr>
          <w:rFonts w:ascii="Times New Roman" w:hAnsi="Times New Roman" w:cs="Times New Roman" w:eastAsiaTheme="minorEastAsia"/>
          <w:sz w:val="24"/>
          <w:szCs w:val="24"/>
          <w:lang w:eastAsia="ru-RU"/>
        </w:rPr>
      </w:pP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  <w:t xml:space="preserve">07.10.2025</w:t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  <w:r>
        <w:rPr>
          <w:rFonts w:ascii="Times New Roman" w:hAnsi="Times New Roman" w:cs="Times New Roman" w:eastAsiaTheme="minorEastAsia"/>
          <w:sz w:val="24"/>
          <w:szCs w:val="24"/>
          <w:lang w:eastAsia="ru-RU"/>
        </w:rPr>
      </w:r>
    </w:p>
    <w:sectPr>
      <w:footnotePr/>
      <w:endnotePr/>
      <w:type w:val="nextPage"/>
      <w:pgSz w:w="11905" w:h="16838" w:orient="portrait"/>
      <w:pgMar w:top="568" w:right="1080" w:bottom="993" w:left="108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0">
    <w:panose1 w:val="02000603000000000000"/>
  </w:font>
  <w:font w:name="Segoe UI">
    <w:panose1 w:val="020B0502040504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874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19" w:hanging="360"/>
      </w:pPr>
      <w:rPr>
        <w:rFonts w:hint="default"/>
        <w:b w:val="0"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557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557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93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93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29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29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59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5579" w:hanging="360"/>
      </w:pPr>
      <w:rPr>
        <w:rFonts w:hint="default" w:eastAsiaTheme="minorHAnsi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62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70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77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84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91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98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06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1339" w:hanging="180"/>
      </w:pPr>
    </w:lvl>
  </w:abstractNum>
  <w:abstractNum w:abstractNumId="5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eastAsiaTheme="minorHAnsi"/>
        <w:b w:val="0"/>
      </w:rPr>
    </w:lvl>
    <w:lvl w:ilvl="1">
      <w:start w:val="4"/>
      <w:numFmt w:val="decimal"/>
      <w:isLgl w:val="false"/>
      <w:suff w:val="tab"/>
      <w:lvlText w:val="%1.%2."/>
      <w:lvlJc w:val="left"/>
      <w:pPr>
        <w:ind w:left="644" w:hanging="360"/>
      </w:pPr>
      <w:rPr>
        <w:rFonts w:hint="default" w:eastAsiaTheme="minorHAnsi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 w:eastAsiaTheme="minorHAnsi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 w:eastAsiaTheme="minorHAnsi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 w:eastAsiaTheme="minorHAnsi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 w:eastAsiaTheme="minorHAnsi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 w:eastAsiaTheme="minorHAnsi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 w:eastAsiaTheme="minorHAnsi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 w:eastAsiaTheme="minorHAnsi"/>
        <w:b w:val="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abstractNum w:abstractNumId="7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eastAsiaTheme="minorHAnsi"/>
        <w:b w:val="0"/>
      </w:rPr>
    </w:lvl>
    <w:lvl w:ilvl="1">
      <w:start w:val="3"/>
      <w:numFmt w:val="decimal"/>
      <w:isLgl w:val="false"/>
      <w:suff w:val="tab"/>
      <w:lvlText w:val="%1.%2."/>
      <w:lvlJc w:val="left"/>
      <w:pPr>
        <w:ind w:left="644" w:hanging="360"/>
      </w:pPr>
      <w:rPr>
        <w:rFonts w:hint="default" w:eastAsiaTheme="minorHAnsi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88" w:hanging="720"/>
      </w:pPr>
      <w:rPr>
        <w:rFonts w:hint="default" w:eastAsiaTheme="minorHAnsi"/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572" w:hanging="720"/>
      </w:pPr>
      <w:rPr>
        <w:rFonts w:hint="default" w:eastAsiaTheme="minorHAnsi"/>
        <w:b w:val="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16" w:hanging="1080"/>
      </w:pPr>
      <w:rPr>
        <w:rFonts w:hint="default" w:eastAsiaTheme="minorHAnsi"/>
        <w:b w:val="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500" w:hanging="1080"/>
      </w:pPr>
      <w:rPr>
        <w:rFonts w:hint="default" w:eastAsiaTheme="minorHAnsi"/>
        <w:b w:val="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144" w:hanging="1440"/>
      </w:pPr>
      <w:rPr>
        <w:rFonts w:hint="default" w:eastAsiaTheme="minorHAnsi"/>
        <w:b w:val="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28" w:hanging="1440"/>
      </w:pPr>
      <w:rPr>
        <w:rFonts w:hint="default" w:eastAsiaTheme="minorHAnsi"/>
        <w:b w:val="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72" w:hanging="1800"/>
      </w:pPr>
      <w:rPr>
        <w:rFonts w:hint="default" w:eastAsiaTheme="minorHAnsi"/>
        <w:b w:val="0"/>
      </w:rPr>
    </w:lvl>
  </w:abstractNum>
  <w:abstractNum w:abstractNumId="8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19" w:hanging="360"/>
      </w:pPr>
      <w:rPr>
        <w:rFonts w:hint="default"/>
        <w:b w:val="0"/>
        <w:i w:val="0"/>
      </w:rPr>
    </w:lvl>
    <w:lvl w:ilvl="1">
      <w:start w:val="1"/>
      <w:numFmt w:val="decimal"/>
      <w:isLgl/>
      <w:suff w:val="tab"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suff w:val="tab"/>
      <w:lvlText w:val="%1.%2.%3."/>
      <w:lvlJc w:val="left"/>
      <w:pPr>
        <w:ind w:left="557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5579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593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5939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629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6299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59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0" w:leader="none"/>
        </w:tabs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0" w:leader="none"/>
        </w:tabs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0" w:leader="none"/>
        </w:tabs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0" w:leader="none"/>
        </w:tabs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0" w:leader="none"/>
        </w:tabs>
      </w:pPr>
      <w:rPr>
        <w:rFonts w:hint="default" w:ascii="Wingdings" w:hAnsi="Wingdings" w:cs="Wingdings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10"/>
  </w:num>
  <w:num w:numId="10">
    <w:abstractNumId w:val="8"/>
  </w:num>
  <w:num w:numId="11">
    <w:abstractNumId w:val="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8">
    <w:name w:val="Heading 1"/>
    <w:basedOn w:val="864"/>
    <w:next w:val="864"/>
    <w:link w:val="68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9">
    <w:name w:val="Heading 1 Char"/>
    <w:basedOn w:val="865"/>
    <w:link w:val="688"/>
    <w:uiPriority w:val="9"/>
    <w:rPr>
      <w:rFonts w:ascii="Arial" w:hAnsi="Arial" w:eastAsia="Arial" w:cs="Arial"/>
      <w:sz w:val="40"/>
      <w:szCs w:val="40"/>
    </w:rPr>
  </w:style>
  <w:style w:type="paragraph" w:styleId="690">
    <w:name w:val="Heading 2"/>
    <w:basedOn w:val="864"/>
    <w:next w:val="864"/>
    <w:link w:val="69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1">
    <w:name w:val="Heading 2 Char"/>
    <w:basedOn w:val="865"/>
    <w:link w:val="690"/>
    <w:uiPriority w:val="9"/>
    <w:rPr>
      <w:rFonts w:ascii="Arial" w:hAnsi="Arial" w:eastAsia="Arial" w:cs="Arial"/>
      <w:sz w:val="34"/>
    </w:rPr>
  </w:style>
  <w:style w:type="paragraph" w:styleId="692">
    <w:name w:val="Heading 3"/>
    <w:basedOn w:val="864"/>
    <w:next w:val="864"/>
    <w:link w:val="69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3">
    <w:name w:val="Heading 3 Char"/>
    <w:basedOn w:val="865"/>
    <w:link w:val="692"/>
    <w:uiPriority w:val="9"/>
    <w:rPr>
      <w:rFonts w:ascii="Arial" w:hAnsi="Arial" w:eastAsia="Arial" w:cs="Arial"/>
      <w:sz w:val="30"/>
      <w:szCs w:val="30"/>
    </w:rPr>
  </w:style>
  <w:style w:type="paragraph" w:styleId="694">
    <w:name w:val="Heading 4"/>
    <w:basedOn w:val="864"/>
    <w:next w:val="864"/>
    <w:link w:val="69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5">
    <w:name w:val="Heading 4 Char"/>
    <w:basedOn w:val="865"/>
    <w:link w:val="694"/>
    <w:uiPriority w:val="9"/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864"/>
    <w:next w:val="864"/>
    <w:link w:val="69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7">
    <w:name w:val="Heading 5 Char"/>
    <w:basedOn w:val="865"/>
    <w:link w:val="696"/>
    <w:uiPriority w:val="9"/>
    <w:rPr>
      <w:rFonts w:ascii="Arial" w:hAnsi="Arial" w:eastAsia="Arial" w:cs="Arial"/>
      <w:b/>
      <w:bCs/>
      <w:sz w:val="24"/>
      <w:szCs w:val="24"/>
    </w:rPr>
  </w:style>
  <w:style w:type="paragraph" w:styleId="698">
    <w:name w:val="Heading 6"/>
    <w:basedOn w:val="864"/>
    <w:next w:val="864"/>
    <w:link w:val="69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9">
    <w:name w:val="Heading 6 Char"/>
    <w:basedOn w:val="865"/>
    <w:link w:val="698"/>
    <w:uiPriority w:val="9"/>
    <w:rPr>
      <w:rFonts w:ascii="Arial" w:hAnsi="Arial" w:eastAsia="Arial" w:cs="Arial"/>
      <w:b/>
      <w:bCs/>
      <w:sz w:val="22"/>
      <w:szCs w:val="22"/>
    </w:rPr>
  </w:style>
  <w:style w:type="paragraph" w:styleId="700">
    <w:name w:val="Heading 7"/>
    <w:basedOn w:val="864"/>
    <w:next w:val="864"/>
    <w:link w:val="70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1">
    <w:name w:val="Heading 7 Char"/>
    <w:basedOn w:val="865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2">
    <w:name w:val="Heading 8"/>
    <w:basedOn w:val="864"/>
    <w:next w:val="864"/>
    <w:link w:val="70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3">
    <w:name w:val="Heading 8 Char"/>
    <w:basedOn w:val="865"/>
    <w:link w:val="702"/>
    <w:uiPriority w:val="9"/>
    <w:rPr>
      <w:rFonts w:ascii="Arial" w:hAnsi="Arial" w:eastAsia="Arial" w:cs="Arial"/>
      <w:i/>
      <w:iCs/>
      <w:sz w:val="22"/>
      <w:szCs w:val="22"/>
    </w:rPr>
  </w:style>
  <w:style w:type="paragraph" w:styleId="704">
    <w:name w:val="Heading 9"/>
    <w:basedOn w:val="864"/>
    <w:next w:val="864"/>
    <w:link w:val="70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5">
    <w:name w:val="Heading 9 Char"/>
    <w:basedOn w:val="865"/>
    <w:link w:val="704"/>
    <w:uiPriority w:val="9"/>
    <w:rPr>
      <w:rFonts w:ascii="Arial" w:hAnsi="Arial" w:eastAsia="Arial" w:cs="Arial"/>
      <w:i/>
      <w:iCs/>
      <w:sz w:val="21"/>
      <w:szCs w:val="21"/>
    </w:rPr>
  </w:style>
  <w:style w:type="paragraph" w:styleId="706">
    <w:name w:val="No Spacing"/>
    <w:uiPriority w:val="1"/>
    <w:qFormat/>
    <w:pPr>
      <w:spacing w:before="0" w:after="0" w:line="240" w:lineRule="auto"/>
    </w:pPr>
  </w:style>
  <w:style w:type="paragraph" w:styleId="707">
    <w:name w:val="Title"/>
    <w:basedOn w:val="864"/>
    <w:next w:val="864"/>
    <w:link w:val="70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8">
    <w:name w:val="Title Char"/>
    <w:basedOn w:val="865"/>
    <w:link w:val="707"/>
    <w:uiPriority w:val="10"/>
    <w:rPr>
      <w:sz w:val="48"/>
      <w:szCs w:val="48"/>
    </w:rPr>
  </w:style>
  <w:style w:type="paragraph" w:styleId="709">
    <w:name w:val="Subtitle"/>
    <w:basedOn w:val="864"/>
    <w:next w:val="864"/>
    <w:link w:val="710"/>
    <w:uiPriority w:val="11"/>
    <w:qFormat/>
    <w:pPr>
      <w:spacing w:before="200" w:after="200"/>
    </w:pPr>
    <w:rPr>
      <w:sz w:val="24"/>
      <w:szCs w:val="24"/>
    </w:rPr>
  </w:style>
  <w:style w:type="character" w:styleId="710">
    <w:name w:val="Subtitle Char"/>
    <w:basedOn w:val="865"/>
    <w:link w:val="709"/>
    <w:uiPriority w:val="11"/>
    <w:rPr>
      <w:sz w:val="24"/>
      <w:szCs w:val="24"/>
    </w:rPr>
  </w:style>
  <w:style w:type="paragraph" w:styleId="711">
    <w:name w:val="Quote"/>
    <w:basedOn w:val="864"/>
    <w:next w:val="864"/>
    <w:link w:val="712"/>
    <w:uiPriority w:val="29"/>
    <w:qFormat/>
    <w:pPr>
      <w:ind w:left="720" w:right="720"/>
    </w:pPr>
    <w:rPr>
      <w:i/>
    </w:rPr>
  </w:style>
  <w:style w:type="character" w:styleId="712">
    <w:name w:val="Quote Char"/>
    <w:link w:val="711"/>
    <w:uiPriority w:val="29"/>
    <w:rPr>
      <w:i/>
    </w:rPr>
  </w:style>
  <w:style w:type="paragraph" w:styleId="713">
    <w:name w:val="Intense Quote"/>
    <w:basedOn w:val="864"/>
    <w:next w:val="864"/>
    <w:link w:val="71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4">
    <w:name w:val="Intense Quote Char"/>
    <w:link w:val="713"/>
    <w:uiPriority w:val="30"/>
    <w:rPr>
      <w:i/>
    </w:rPr>
  </w:style>
  <w:style w:type="paragraph" w:styleId="715">
    <w:name w:val="Header"/>
    <w:basedOn w:val="864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Header Char"/>
    <w:basedOn w:val="865"/>
    <w:link w:val="715"/>
    <w:uiPriority w:val="99"/>
  </w:style>
  <w:style w:type="paragraph" w:styleId="717">
    <w:name w:val="Footer"/>
    <w:basedOn w:val="864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8">
    <w:name w:val="Footer Char"/>
    <w:basedOn w:val="865"/>
    <w:link w:val="717"/>
    <w:uiPriority w:val="99"/>
  </w:style>
  <w:style w:type="paragraph" w:styleId="719">
    <w:name w:val="Caption"/>
    <w:basedOn w:val="864"/>
    <w:next w:val="8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0">
    <w:name w:val="Caption Char"/>
    <w:basedOn w:val="719"/>
    <w:link w:val="717"/>
    <w:uiPriority w:val="99"/>
  </w:style>
  <w:style w:type="table" w:styleId="721">
    <w:name w:val="Table Grid"/>
    <w:basedOn w:val="86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Table Grid Light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Plain Table 1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>
    <w:name w:val="Plain Table 2"/>
    <w:basedOn w:val="86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>
    <w:name w:val="Plain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Plain Table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>
    <w:name w:val="Grid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>
    <w:name w:val="Grid Table 4 - Accent 1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1">
    <w:name w:val="Grid Table 4 - Accent 2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2">
    <w:name w:val="Grid Table 4 - Accent 3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3">
    <w:name w:val="Grid Table 4 - Accent 4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4">
    <w:name w:val="Grid Table 4 - Accent 5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5">
    <w:name w:val="Grid Table 4 - Accent 6"/>
    <w:basedOn w:val="86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6">
    <w:name w:val="Grid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7">
    <w:name w:val="Grid Table 5 Dark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63">
    <w:name w:val="Grid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4">
    <w:name w:val="Grid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5">
    <w:name w:val="Grid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6">
    <w:name w:val="Grid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7">
    <w:name w:val="Grid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8">
    <w:name w:val="Grid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9">
    <w:name w:val="Grid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5">
    <w:name w:val="List Table 2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6">
    <w:name w:val="List Table 2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7">
    <w:name w:val="List Table 2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8">
    <w:name w:val="List Table 2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9">
    <w:name w:val="List Table 2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0">
    <w:name w:val="List Table 2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1">
    <w:name w:val="List Table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5 Dark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6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3">
    <w:name w:val="List Table 6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4">
    <w:name w:val="List Table 6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5">
    <w:name w:val="List Table 6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6">
    <w:name w:val="List Table 6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7">
    <w:name w:val="List Table 6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8">
    <w:name w:val="List Table 6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9">
    <w:name w:val="List Table 7 Colorful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0">
    <w:name w:val="List Table 7 Colorful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21">
    <w:name w:val="List Table 7 Colorful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22">
    <w:name w:val="List Table 7 Colorful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23">
    <w:name w:val="List Table 7 Colorful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4">
    <w:name w:val="List Table 7 Colorful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5">
    <w:name w:val="List Table 7 Colorful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6">
    <w:name w:val="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8">
    <w:name w:val="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9">
    <w:name w:val="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0">
    <w:name w:val="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1">
    <w:name w:val="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2">
    <w:name w:val="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3">
    <w:name w:val="Bordered &amp; Lined - Accent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4">
    <w:name w:val="Bordered &amp; Lined - Accent 1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5">
    <w:name w:val="Bordered &amp; Lined - Accent 2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6">
    <w:name w:val="Bordered &amp; Lined - Accent 3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7">
    <w:name w:val="Bordered &amp; Lined - Accent 4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8">
    <w:name w:val="Bordered &amp; Lined - Accent 5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9">
    <w:name w:val="Bordered &amp; Lined - Accent 6"/>
    <w:basedOn w:val="86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0">
    <w:name w:val="Bordered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1">
    <w:name w:val="Bordered - Accent 1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2">
    <w:name w:val="Bordered - Accent 2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3">
    <w:name w:val="Bordered - Accent 3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4">
    <w:name w:val="Bordered - Accent 4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5">
    <w:name w:val="Bordered - Accent 5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6">
    <w:name w:val="Bordered - Accent 6"/>
    <w:basedOn w:val="86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7">
    <w:name w:val="footnote text"/>
    <w:basedOn w:val="864"/>
    <w:link w:val="848"/>
    <w:uiPriority w:val="99"/>
    <w:semiHidden/>
    <w:unhideWhenUsed/>
    <w:pPr>
      <w:spacing w:after="40" w:line="240" w:lineRule="auto"/>
    </w:pPr>
    <w:rPr>
      <w:sz w:val="18"/>
    </w:rPr>
  </w:style>
  <w:style w:type="character" w:styleId="848">
    <w:name w:val="Footnote Text Char"/>
    <w:link w:val="847"/>
    <w:uiPriority w:val="99"/>
    <w:rPr>
      <w:sz w:val="18"/>
    </w:rPr>
  </w:style>
  <w:style w:type="character" w:styleId="849">
    <w:name w:val="footnote reference"/>
    <w:basedOn w:val="865"/>
    <w:uiPriority w:val="99"/>
    <w:unhideWhenUsed/>
    <w:rPr>
      <w:vertAlign w:val="superscript"/>
    </w:rPr>
  </w:style>
  <w:style w:type="paragraph" w:styleId="850">
    <w:name w:val="endnote text"/>
    <w:basedOn w:val="864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5"/>
    <w:uiPriority w:val="99"/>
    <w:semiHidden/>
    <w:unhideWhenUsed/>
    <w:rPr>
      <w:vertAlign w:val="superscript"/>
    </w:rPr>
  </w:style>
  <w:style w:type="paragraph" w:styleId="853">
    <w:name w:val="toc 1"/>
    <w:basedOn w:val="864"/>
    <w:next w:val="864"/>
    <w:uiPriority w:val="39"/>
    <w:unhideWhenUsed/>
    <w:pPr>
      <w:ind w:left="0" w:right="0" w:firstLine="0"/>
      <w:spacing w:after="57"/>
    </w:pPr>
  </w:style>
  <w:style w:type="paragraph" w:styleId="854">
    <w:name w:val="toc 2"/>
    <w:basedOn w:val="864"/>
    <w:next w:val="864"/>
    <w:uiPriority w:val="39"/>
    <w:unhideWhenUsed/>
    <w:pPr>
      <w:ind w:left="283" w:right="0" w:firstLine="0"/>
      <w:spacing w:after="57"/>
    </w:pPr>
  </w:style>
  <w:style w:type="paragraph" w:styleId="855">
    <w:name w:val="toc 3"/>
    <w:basedOn w:val="864"/>
    <w:next w:val="864"/>
    <w:uiPriority w:val="39"/>
    <w:unhideWhenUsed/>
    <w:pPr>
      <w:ind w:left="567" w:right="0" w:firstLine="0"/>
      <w:spacing w:after="57"/>
    </w:pPr>
  </w:style>
  <w:style w:type="paragraph" w:styleId="856">
    <w:name w:val="toc 4"/>
    <w:basedOn w:val="864"/>
    <w:next w:val="864"/>
    <w:uiPriority w:val="39"/>
    <w:unhideWhenUsed/>
    <w:pPr>
      <w:ind w:left="850" w:right="0" w:firstLine="0"/>
      <w:spacing w:after="57"/>
    </w:pPr>
  </w:style>
  <w:style w:type="paragraph" w:styleId="857">
    <w:name w:val="toc 5"/>
    <w:basedOn w:val="864"/>
    <w:next w:val="864"/>
    <w:uiPriority w:val="39"/>
    <w:unhideWhenUsed/>
    <w:pPr>
      <w:ind w:left="1134" w:right="0" w:firstLine="0"/>
      <w:spacing w:after="57"/>
    </w:pPr>
  </w:style>
  <w:style w:type="paragraph" w:styleId="858">
    <w:name w:val="toc 6"/>
    <w:basedOn w:val="864"/>
    <w:next w:val="864"/>
    <w:uiPriority w:val="39"/>
    <w:unhideWhenUsed/>
    <w:pPr>
      <w:ind w:left="1417" w:right="0" w:firstLine="0"/>
      <w:spacing w:after="57"/>
    </w:pPr>
  </w:style>
  <w:style w:type="paragraph" w:styleId="859">
    <w:name w:val="toc 7"/>
    <w:basedOn w:val="864"/>
    <w:next w:val="864"/>
    <w:uiPriority w:val="39"/>
    <w:unhideWhenUsed/>
    <w:pPr>
      <w:ind w:left="1701" w:right="0" w:firstLine="0"/>
      <w:spacing w:after="57"/>
    </w:pPr>
  </w:style>
  <w:style w:type="paragraph" w:styleId="860">
    <w:name w:val="toc 8"/>
    <w:basedOn w:val="864"/>
    <w:next w:val="864"/>
    <w:uiPriority w:val="39"/>
    <w:unhideWhenUsed/>
    <w:pPr>
      <w:ind w:left="1984" w:right="0" w:firstLine="0"/>
      <w:spacing w:after="57"/>
    </w:pPr>
  </w:style>
  <w:style w:type="paragraph" w:styleId="861">
    <w:name w:val="toc 9"/>
    <w:basedOn w:val="864"/>
    <w:next w:val="864"/>
    <w:uiPriority w:val="39"/>
    <w:unhideWhenUsed/>
    <w:pPr>
      <w:ind w:left="2268" w:right="0" w:firstLine="0"/>
      <w:spacing w:after="57"/>
    </w:pPr>
  </w:style>
  <w:style w:type="paragraph" w:styleId="862">
    <w:name w:val="TOC Heading"/>
    <w:uiPriority w:val="39"/>
    <w:unhideWhenUsed/>
  </w:style>
  <w:style w:type="paragraph" w:styleId="863">
    <w:name w:val="table of figures"/>
    <w:basedOn w:val="864"/>
    <w:next w:val="864"/>
    <w:uiPriority w:val="99"/>
    <w:unhideWhenUsed/>
    <w:pPr>
      <w:spacing w:after="0" w:afterAutospacing="0"/>
    </w:pPr>
  </w:style>
  <w:style w:type="paragraph" w:styleId="864" w:default="1">
    <w:name w:val="Normal"/>
    <w:qFormat/>
  </w:style>
  <w:style w:type="character" w:styleId="865" w:default="1">
    <w:name w:val="Default Paragraph Font"/>
    <w:uiPriority w:val="1"/>
    <w:semiHidden/>
    <w:unhideWhenUsed/>
  </w:style>
  <w:style w:type="table" w:styleId="86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7" w:default="1">
    <w:name w:val="No List"/>
    <w:uiPriority w:val="99"/>
    <w:semiHidden/>
    <w:unhideWhenUsed/>
  </w:style>
  <w:style w:type="character" w:styleId="868" w:customStyle="1">
    <w:name w:val="hl"/>
    <w:basedOn w:val="865"/>
  </w:style>
  <w:style w:type="character" w:styleId="869">
    <w:name w:val="Hyperlink"/>
    <w:basedOn w:val="865"/>
    <w:uiPriority w:val="99"/>
    <w:unhideWhenUsed/>
    <w:rPr>
      <w:color w:val="0563c1" w:themeColor="hyperlink"/>
      <w:u w:val="single"/>
    </w:rPr>
  </w:style>
  <w:style w:type="paragraph" w:styleId="870">
    <w:name w:val="List Paragraph"/>
    <w:basedOn w:val="864"/>
    <w:uiPriority w:val="34"/>
    <w:qFormat/>
    <w:pPr>
      <w:contextualSpacing/>
      <w:ind w:left="720"/>
    </w:pPr>
  </w:style>
  <w:style w:type="paragraph" w:styleId="871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72">
    <w:name w:val="Balloon Text"/>
    <w:basedOn w:val="864"/>
    <w:link w:val="873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73" w:customStyle="1">
    <w:name w:val="Текст выноски Знак"/>
    <w:basedOn w:val="865"/>
    <w:link w:val="872"/>
    <w:uiPriority w:val="99"/>
    <w:semiHidden/>
    <w:rPr>
      <w:rFonts w:ascii="Segoe UI" w:hAnsi="Segoe UI" w:cs="Segoe UI"/>
      <w:sz w:val="18"/>
      <w:szCs w:val="18"/>
    </w:rPr>
  </w:style>
  <w:style w:type="paragraph" w:styleId="874">
    <w:name w:val="List Number"/>
    <w:basedOn w:val="864"/>
    <w:pPr>
      <w:numPr>
        <w:ilvl w:val="0"/>
        <w:numId w:val="11"/>
      </w:numPr>
      <w:contextualSpacing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75" w:customStyle="1">
    <w:name w:val="Thin Delim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0" w:hAnsi="0" w:eastAsia="0" w:cs="0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16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character" w:styleId="876" w:customStyle="1">
    <w:name w:val="Subst"/>
    <w:qFormat/>
    <w:rPr>
      <w:rFonts w:ascii="0" w:hAnsi="0"/>
      <w:b/>
      <w:i/>
      <w:sz w:val="24"/>
    </w:rPr>
  </w:style>
  <w:style w:type="paragraph" w:styleId="877" w:customStyle="1">
    <w:name w:val="Sub Heading"/>
    <w:qFormat/>
    <w:pPr>
      <w:contextualSpacing w:val="0"/>
      <w:ind w:left="0" w:right="0" w:firstLine="0"/>
      <w:jc w:val="left"/>
      <w:keepLines w:val="0"/>
      <w:keepNext w:val="0"/>
      <w:pageBreakBefore w:val="0"/>
      <w:spacing w:before="240" w:beforeAutospacing="0" w:after="4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0" w:hAnsi="0" w:eastAsia="0" w:cs="0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878" w:customStyle="1">
    <w:name w:val="Body Tex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40" w:afterAutospacing="0" w:line="276" w:lineRule="exact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0" w:hAnsi="0" w:eastAsia="0" w:cs="0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0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e-disclosure.ru/portal/files.aspx?id=1409&amp;type=5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Р7-Офис/7.4.0.223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Шипилова Елена Александровна</dc:creator>
  <cp:keywords/>
  <dc:description/>
  <cp:revision>19</cp:revision>
  <dcterms:created xsi:type="dcterms:W3CDTF">2024-05-16T22:24:00Z</dcterms:created>
  <dcterms:modified xsi:type="dcterms:W3CDTF">2025-10-06T23:29:54Z</dcterms:modified>
</cp:coreProperties>
</file>