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ПЕРЕЧЕНЬ ДОКУМЕНТОВ</w:t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ДЛЯ ЗАКЛЮЧЕНИЯ ДОГОВОРА ЭНЕРГОСНАБЖЕНИЯ</w:t>
      </w:r>
    </w:p>
    <w:p>
      <w:pPr>
        <w:pStyle w:val="Normal"/>
        <w:spacing w:lineRule="auto" w:line="240"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сполнители коммунальных услуг)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ab/>
        <w:t>Документы подаются в виде копий, подписанных уполномоченным лицом заявителя и заверенных печатью юридического лица или индивидуального предпринимателя (при наличии печати).</w:t>
      </w:r>
    </w:p>
    <w:p>
      <w:pPr>
        <w:pStyle w:val="Normal"/>
        <w:spacing w:lineRule="auto" w:line="240" w:before="0" w:after="0"/>
        <w:contextualSpacing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ab/>
        <w:t>Заявитель вправе представить копии перечисленных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</w:p>
    <w:p>
      <w:pPr>
        <w:pStyle w:val="Normal"/>
        <w:spacing w:lineRule="auto" w:line="240" w:before="0" w:after="0"/>
        <w:contextualSpacing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ab/>
        <w:t>Заявитель при подаче заявления и документов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ПЕРЕЧЕНЬ ДОКУМЕНТОВ: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4"/>
          <w:sz w:val="28"/>
          <w:szCs w:val="28"/>
        </w:rPr>
        <w:t>Заявление о заключении договора;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pacing w:val="-4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равоустанавливающие документы исполнителя (свидетельство о государственной регистрации исполнителя в качестве юридического лица или индивидуального предпринимателя, свидетельство о постановке исполнителя на учет в налоговом органе, документы, подтверждающие полномочия лица, выступающего от имени исполнителя, а в случае, если исполнителем выступает индивидуальный предприниматель, - копия паспорта гражданина Российской Федерации);</w:t>
      </w:r>
    </w:p>
    <w:p>
      <w:pPr>
        <w:pStyle w:val="Normal"/>
        <w:spacing w:lineRule="auto" w:line="240" w:before="28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ицензия на осуществление предпринимательской деятельности по управлению многоквартирными домами и решение органа государственного жилищного надзора о внесении изменений в реестр лицензий субъекта Российской Федерации - для управляющих организаций;</w:t>
      </w:r>
    </w:p>
    <w:p>
      <w:pPr>
        <w:pStyle w:val="Normal"/>
        <w:spacing w:lineRule="auto" w:line="240" w:before="28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Д</w:t>
      </w:r>
      <w:r>
        <w:rPr>
          <w:rFonts w:cs="Times New Roman" w:ascii="Times New Roman" w:hAnsi="Times New Roman"/>
          <w:sz w:val="28"/>
          <w:szCs w:val="28"/>
        </w:rPr>
        <w:t>окументы, подтверждающие наличие у исполнителя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имущества в многоквартирном доме в случае заключения в соответствии с настоящими Правилами договора ресурсоснабжения в целях содержания общего имущества в многоквартирном доме;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для управляющей организации:</w:t>
      </w:r>
    </w:p>
    <w:p>
      <w:pPr>
        <w:pStyle w:val="Normal"/>
        <w:spacing w:lineRule="auto" w:line="240" w:before="280" w:after="0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  <w:tab/>
        <w:t>если собственниками помещений в многоквартирном доме в качестве способа управления выбрано управление управляющей организацией, - протокол общего собрания собственников помещений в многоквартирном доме, на котором принято решение о выборе в качестве способа управления многоквартирным домом управление управляющей организацией, и протокол общего собрания собственников помещений в многоквартирном доме, на котором принято решение о выборе управляющей организации в лице той управляющей организации, которая обращается с заявкой (офертой), а также договор управления многоквартирным домом (если таковой заключен);</w:t>
      </w:r>
    </w:p>
    <w:p>
      <w:pPr>
        <w:pStyle w:val="Normal"/>
        <w:spacing w:lineRule="auto" w:line="240" w:before="280" w:after="0"/>
        <w:ind w:left="705" w:hanging="70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</w:t>
        <w:tab/>
        <w:t xml:space="preserve">если управляющая организация выбрана по конкурсу органом местного самоуправления в случаях, предусмотренных жилищным </w:t>
      </w:r>
      <w:hyperlink r:id="rId2">
        <w:r>
          <w:rPr>
            <w:rStyle w:val="Style14"/>
            <w:rFonts w:cs="Times New Roman" w:ascii="Times New Roman" w:hAnsi="Times New Roman"/>
            <w:color w:val="0000FF"/>
            <w:sz w:val="28"/>
            <w:szCs w:val="28"/>
          </w:rPr>
          <w:t>законодательством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- протокол открытого конкурса по выбору управляющей организации и (или) договор управления многоквартирным домом (если таковой заключен);</w:t>
      </w:r>
    </w:p>
    <w:p>
      <w:pPr>
        <w:pStyle w:val="Normal"/>
        <w:spacing w:lineRule="auto" w:line="240" w:before="280" w:after="0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  <w:tab/>
        <w:t>если управляющая организация привлечена для управления многоквартирным домом товариществом или кооперативом, - протокол общего собрания собственников помещений в многоквартирном доме, на котором принято решение о выборе управляющей организации, и (или) договор управления многоквартирным домом, заключенный между товариществом или кооперативом и управляющей организацией;</w:t>
      </w:r>
    </w:p>
    <w:p>
      <w:pPr>
        <w:pStyle w:val="Normal"/>
        <w:tabs>
          <w:tab w:val="left" w:pos="774" w:leader="none"/>
        </w:tabs>
        <w:spacing w:lineRule="auto" w:line="240" w:before="280" w:after="0"/>
        <w:ind w:left="705" w:hanging="70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  <w:tab/>
        <w:t>если управляющая организация определена для управления многоквартирным домом, как временная управляющая организация – приказ органа местного самоуправления;</w:t>
      </w:r>
    </w:p>
    <w:p>
      <w:pPr>
        <w:pStyle w:val="Normal"/>
        <w:spacing w:lineRule="auto" w:line="240" w:before="28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для товарищества или кооператива:</w:t>
      </w:r>
    </w:p>
    <w:p>
      <w:pPr>
        <w:pStyle w:val="Normal"/>
        <w:spacing w:lineRule="auto" w:line="240" w:before="280" w:after="0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  <w:tab/>
        <w:t>протокол общего собрания собственников помещений в многоквартирном доме, в котором создано товарищество, или протокол общего собрания членов кооператива, в которых зафиксировано (отражено) решение о выборе в качестве способа управления многоквартирным домом управление соответственно товариществом или кооперативом;</w:t>
      </w:r>
    </w:p>
    <w:p>
      <w:pPr>
        <w:pStyle w:val="Normal"/>
        <w:spacing w:lineRule="auto" w:line="240" w:before="28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  <w:tab/>
        <w:t>устав товарищества или кооператива;</w:t>
      </w:r>
    </w:p>
    <w:p>
      <w:pPr>
        <w:pStyle w:val="Normal"/>
        <w:spacing w:lineRule="auto" w:line="240" w:before="28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•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ab/>
        <w:t>документы, подтверждающие факт подключения (технологического присоединения) многоквартирного дома (жилого дома) в установленном порядке к централизованным сетям инженерно-технического обеспечения, по которым осуществляется подача соответствующего вида коммунального ресурса, предусмотренные нормативными правовыми актами, регулирующими отношения в сфере электроэнергетики, теплоснабжения;</w:t>
      </w:r>
    </w:p>
    <w:p>
      <w:pPr>
        <w:pStyle w:val="Normal"/>
        <w:spacing w:lineRule="auto" w:line="240" w:before="28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ab/>
        <w:t>документы об установке и приеме в эксплуатацию коллективного (общедомового) прибора учета (при наличии такого прибора учета);</w:t>
      </w:r>
    </w:p>
    <w:p>
      <w:pPr>
        <w:pStyle w:val="Normal"/>
        <w:spacing w:lineRule="auto" w:line="240" w:before="28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ab/>
        <w:t>протокол общего собрания собственников помещений в многоквартирном доме, на котором принято решение о заключении каждым собственником помещения в многоквартирном доме, действующего от своего имени, договора, содержащим положения о предоставлении коммунальных услуг (электроснабжение, теплоснабжение, горячее водоснабжение) с ресурсоснабжающей организацией в соответствии со ст. 157.2. ЖК РФ (если такое решение принято);</w:t>
      </w:r>
    </w:p>
    <w:p>
      <w:pPr>
        <w:pStyle w:val="Normal"/>
        <w:spacing w:lineRule="auto" w:line="240" w:before="28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ab/>
        <w:t>документы, содержащие сведения о размере площади каждого жилого и нежилого помещения в многоквартирном доме, а также об общей площади помещений в многоквартирном доме, включая помещения, входящие в состав общего имущества в многоквартирном доме, или о размере площади жилого дома и отапливаемых помещений надворных построек, а также размере площади земельного участка, не занятого жилым домом и надворными постройками;</w:t>
      </w:r>
    </w:p>
    <w:p>
      <w:pPr>
        <w:pStyle w:val="Normal"/>
        <w:spacing w:lineRule="auto" w:line="240" w:before="28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ab/>
        <w:t xml:space="preserve">иные документы, предусмотренные нормативными правовыми актами, регулирующими отношения в сфере электроэнергетики, теплоснабжения, водоснабжения применительно к поставке коммунальных ресурсов для целей </w:t>
      </w:r>
      <w:r>
        <w:rPr>
          <w:rFonts w:cs="Times New Roman" w:ascii="Times New Roman" w:hAnsi="Times New Roman"/>
          <w:sz w:val="28"/>
          <w:szCs w:val="28"/>
        </w:rPr>
        <w:t>оказания коммунальных услуг пользователям жилых и нежилых помещений в многоквартирных домах и жилых домов.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/>
          <w:bCs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Calibri" w:cs="" w:asciiTheme="minorHAnsi" w:cstheme="minorBidi" w:eastAsiaTheme="minorHAnsi" w:hAnsiTheme="minorHAnsi"/>
          <w:sz w:val="26"/>
          <w:szCs w:val="26"/>
        </w:rPr>
      </w:pPr>
      <w:r>
        <w:rPr>
          <w:rFonts w:eastAsia="Calibri" w:cs="" w:ascii="Times New Roman" w:hAnsi="Times New Roman" w:cstheme="minorBidi" w:eastAsiaTheme="minorHAnsi"/>
          <w:b/>
          <w:bCs/>
          <w:spacing w:val="-4"/>
          <w:sz w:val="26"/>
          <w:szCs w:val="26"/>
        </w:rPr>
        <w:t>ПЕРЕЧЕНЬ ДОПОЛНИТЕЛЬНЫХ ДОКУМЕНТОВ ДЛЯ ЗАКЛЮЧЕНИЯ ДОГОВОРА ЭНЕРГОСНАБЖЕНИЯ НА ВНОВЬ ВВОДИМЫЙ В ЭКСПЛУАТАЦИЮ МНОГОКВАРТИРНЫЙ ДОМ: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" w:cstheme="minorBidi"/>
          <w:spacing w:val="-4"/>
          <w:sz w:val="28"/>
          <w:szCs w:val="28"/>
        </w:rPr>
      </w:pPr>
      <w:r>
        <w:rPr>
          <w:rFonts w:cs="" w:cstheme="minorBidi" w:ascii="Times New Roman" w:hAnsi="Times New Roman"/>
          <w:spacing w:val="-4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•</w:t>
      </w:r>
      <w:r>
        <w:rPr>
          <w:rFonts w:cs="Times New Roman" w:ascii="Times New Roman" w:hAnsi="Times New Roman"/>
          <w:spacing w:val="-4"/>
          <w:sz w:val="28"/>
          <w:szCs w:val="28"/>
        </w:rPr>
        <w:tab/>
      </w:r>
      <w:r>
        <w:rPr>
          <w:rFonts w:eastAsia="Calibri" w:cs="" w:ascii="Times New Roman" w:hAnsi="Times New Roman" w:cstheme="minorBidi" w:eastAsiaTheme="minorHAnsi"/>
          <w:spacing w:val="-4"/>
          <w:sz w:val="28"/>
          <w:szCs w:val="28"/>
        </w:rPr>
        <w:t>разрешение на ввод в эксплуатацию объекта жилищного фонда;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•</w:t>
      </w:r>
      <w:r>
        <w:rPr>
          <w:rFonts w:cs="Times New Roman" w:ascii="Times New Roman" w:hAnsi="Times New Roman"/>
          <w:spacing w:val="-4"/>
          <w:sz w:val="28"/>
          <w:szCs w:val="28"/>
        </w:rPr>
        <w:tab/>
        <w:t>д</w:t>
      </w:r>
      <w:r>
        <w:rPr>
          <w:rFonts w:eastAsia="Calibri" w:cs="" w:ascii="Times New Roman" w:hAnsi="Times New Roman" w:cstheme="minorBidi" w:eastAsiaTheme="minorHAnsi"/>
          <w:spacing w:val="-4"/>
          <w:sz w:val="28"/>
          <w:szCs w:val="28"/>
        </w:rPr>
        <w:t>оговор управления между застройщиком и управляющей организацией;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•</w:t>
      </w:r>
      <w:r>
        <w:rPr>
          <w:rFonts w:cs="Times New Roman" w:ascii="Times New Roman" w:hAnsi="Times New Roman"/>
          <w:spacing w:val="-4"/>
          <w:sz w:val="28"/>
          <w:szCs w:val="28"/>
        </w:rPr>
        <w:tab/>
      </w:r>
      <w:r>
        <w:rPr>
          <w:rFonts w:eastAsia="Calibri" w:cs="" w:ascii="Times New Roman" w:hAnsi="Times New Roman" w:cstheme="minorBidi" w:eastAsiaTheme="minorHAnsi"/>
          <w:spacing w:val="-4"/>
          <w:sz w:val="28"/>
          <w:szCs w:val="28"/>
        </w:rPr>
        <w:t xml:space="preserve">сведения о собственниках и пользователях жилых и нежилых помещениях в МКД; </w:t>
      </w:r>
    </w:p>
    <w:p>
      <w:pPr>
        <w:pStyle w:val="Normal"/>
        <w:widowControl w:val="false"/>
        <w:spacing w:lineRule="auto" w:line="240" w:before="0" w:after="0"/>
        <w:jc w:val="both"/>
        <w:rPr>
          <w:highlight w:val="yellow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•</w:t>
      </w:r>
      <w:r>
        <w:rPr>
          <w:rFonts w:cs="Times New Roman" w:ascii="Times New Roman" w:hAnsi="Times New Roman"/>
          <w:spacing w:val="-4"/>
          <w:sz w:val="28"/>
          <w:szCs w:val="28"/>
        </w:rPr>
        <w:tab/>
      </w:r>
      <w:r>
        <w:rPr>
          <w:rFonts w:cs="" w:ascii="Times New Roman" w:hAnsi="Times New Roman" w:cstheme="minorBidi"/>
          <w:spacing w:val="-4"/>
          <w:sz w:val="28"/>
          <w:szCs w:val="28"/>
        </w:rPr>
        <w:t xml:space="preserve">акт приема-передачи либо иные передаточные документы </w:t>
      </w:r>
      <w:r>
        <w:rPr>
          <w:rFonts w:eastAsia="Calibri" w:cs="" w:ascii="Times New Roman" w:hAnsi="Times New Roman" w:cstheme="minorBidi" w:eastAsiaTheme="minorHAnsi"/>
          <w:b w:val="false"/>
          <w:i w:val="false"/>
          <w:caps w:val="false"/>
          <w:smallCaps w:val="false"/>
          <w:color w:val="00000A"/>
          <w:spacing w:val="-4"/>
          <w:sz w:val="28"/>
          <w:szCs w:val="28"/>
          <w:lang w:val="ru-RU" w:eastAsia="en-US" w:bidi="ar-SA"/>
        </w:rPr>
        <w:t>состава имущества, передаваемого управляющей компании (определяется на основании технической документации), в том числе, наружного освещения,  внутриквартальных сетей</w:t>
      </w:r>
      <w:r>
        <w:rPr>
          <w:rFonts w:eastAsia="Calibri" w:cs="" w:ascii="Times New Roman" w:hAnsi="Times New Roman" w:cstheme="minorBidi" w:eastAsiaTheme="minorHAnsi"/>
          <w:b w:val="false"/>
          <w:i w:val="false"/>
          <w:caps w:val="false"/>
          <w:smallCaps w:val="false"/>
          <w:color w:val="5A5A5A"/>
          <w:spacing w:val="0"/>
          <w:sz w:val="24"/>
          <w:szCs w:val="28"/>
          <w:lang w:val="ru-RU" w:eastAsia="en-US" w:bidi="ar-SA"/>
        </w:rPr>
        <w:t xml:space="preserve"> </w:t>
      </w:r>
      <w:r>
        <w:rPr>
          <w:rFonts w:eastAsia="Calibri" w:cs="" w:ascii="Times New Roman" w:hAnsi="Times New Roman" w:cstheme="minorBidi" w:eastAsiaTheme="minorHAnsi"/>
          <w:b w:val="false"/>
          <w:i w:val="false"/>
          <w:caps w:val="false"/>
          <w:smallCaps w:val="false"/>
          <w:color w:val="00000A"/>
          <w:spacing w:val="-4"/>
          <w:sz w:val="28"/>
          <w:szCs w:val="28"/>
          <w:lang w:val="ru-RU" w:eastAsia="en-US" w:bidi="ar-SA"/>
        </w:rPr>
        <w:t xml:space="preserve">тепло-, электро-, водоснабжения и водоотведения, расположенных между точкой подключения по договору о техприсоединении и внешней границей общедомовых сетей МКД.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Calibri" w:cs="" w:cstheme="minorBidi" w:eastAsiaTheme="minorHAnsi"/>
          <w:b w:val="false"/>
          <w:b w:val="false"/>
          <w:i w:val="false"/>
          <w:i w:val="false"/>
          <w:caps w:val="false"/>
          <w:smallCaps w:val="false"/>
          <w:color w:val="00000A"/>
          <w:spacing w:val="-4"/>
          <w:sz w:val="28"/>
          <w:szCs w:val="28"/>
          <w:highlight w:val="yellow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b w:val="false"/>
          <w:i w:val="false"/>
          <w:caps w:val="false"/>
          <w:smallCaps w:val="false"/>
          <w:color w:val="00000A"/>
          <w:spacing w:val="-4"/>
          <w:sz w:val="28"/>
          <w:szCs w:val="28"/>
          <w:highlight w:val="yellow"/>
          <w:lang w:val="ru-RU" w:eastAsia="en-US" w:bidi="ar-SA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Calibri" w:cs=""/>
      <w:b/>
      <w:sz w:val="26"/>
      <w:szCs w:val="26"/>
    </w:rPr>
  </w:style>
  <w:style w:type="character" w:styleId="ListLabel2">
    <w:name w:val="ListLabel 2"/>
    <w:qFormat/>
    <w:rPr>
      <w:b/>
      <w:sz w:val="22"/>
      <w:szCs w:val="22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eastAsia="Calibri" w:cs=""/>
      <w:b/>
      <w:sz w:val="26"/>
      <w:szCs w:val="26"/>
    </w:rPr>
  </w:style>
  <w:style w:type="character" w:styleId="ListLabel10">
    <w:name w:val="ListLabel 10"/>
    <w:qFormat/>
    <w:rPr>
      <w:b/>
      <w:sz w:val="22"/>
      <w:szCs w:val="22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b/>
      <w:sz w:val="19"/>
      <w:szCs w:val="19"/>
    </w:rPr>
  </w:style>
  <w:style w:type="character" w:styleId="ListLabel18">
    <w:name w:val="ListLabel 18"/>
    <w:qFormat/>
    <w:rPr>
      <w:b/>
      <w:sz w:val="26"/>
      <w:szCs w:val="26"/>
    </w:rPr>
  </w:style>
  <w:style w:type="character" w:styleId="ListLabel19">
    <w:name w:val="ListLabel 19"/>
    <w:qFormat/>
    <w:rPr>
      <w:b/>
      <w:sz w:val="22"/>
      <w:szCs w:val="22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Style16">
    <w:name w:val="Выделение жирным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3a48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AB0AFD2AB7AFABFB42F9C4D11E5282C83A8EBB9025A7DDECEA60370C1BF777BC68A12C872F73658D503B03CB33734D894F9D77AQ9R7A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LibreOffice/5.3.6.1$Linux_X86_64 LibreOffice_project/30$Build-1</Application>
  <Pages>3</Pages>
  <Words>706</Words>
  <Characters>5345</Characters>
  <CharactersWithSpaces>6031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2021-06-07T02:39:00Z</dcterms:created>
  <dc:creator>Крупенчик Людмила Викторовна</dc:creator>
  <dc:description/>
  <dc:language>ru-RU</dc:language>
  <cp:lastModifiedBy/>
  <dcterms:modified xsi:type="dcterms:W3CDTF">2025-07-17T11:02:57Z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