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sz w:val="28"/>
          <w:szCs w:val="28"/>
        </w:rPr>
      </w:pPr>
      <w:bookmarkStart w:id="0" w:name="__DdeLink__286_3712697077"/>
      <w:bookmarkEnd w:id="0"/>
      <w:r>
        <w:rPr>
          <w:rFonts w:cs="Times New Roman" w:ascii="Times New Roman" w:hAnsi="Times New Roman"/>
          <w:sz w:val="28"/>
          <w:szCs w:val="28"/>
        </w:rPr>
        <w:t>ПЕРЕЧЕНЬ ДОКУМЕНТОВ</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 xml:space="preserve">ДЛЯ ЗАКЛЮЧЕНИЯ ДОГОВОРА ЭНЕРГОСНАБЖЕНИЯ </w:t>
      </w:r>
    </w:p>
    <w:p>
      <w:pPr>
        <w:pStyle w:val="Normal"/>
        <w:spacing w:before="0" w:after="0"/>
        <w:jc w:val="center"/>
        <w:rPr/>
      </w:pPr>
      <w:bookmarkStart w:id="1" w:name="_GoBack"/>
      <w:bookmarkEnd w:id="1"/>
      <w:r>
        <w:rPr>
          <w:rFonts w:cs="Times New Roman" w:ascii="Times New Roman" w:hAnsi="Times New Roman"/>
          <w:sz w:val="28"/>
          <w:szCs w:val="28"/>
        </w:rPr>
        <w:t>(юридические лица)</w:t>
      </w:r>
    </w:p>
    <w:p>
      <w:pPr>
        <w:pStyle w:val="Normal"/>
        <w:spacing w:before="0" w:after="0"/>
        <w:jc w:val="center"/>
        <w:rPr>
          <w:rFonts w:ascii="Times New Roman" w:hAnsi="Times New Roman" w:cs="Times New Roman"/>
          <w:sz w:val="28"/>
          <w:szCs w:val="28"/>
        </w:rPr>
      </w:pPr>
      <w:r>
        <w:rPr/>
      </w:r>
    </w:p>
    <w:p>
      <w:pPr>
        <w:pStyle w:val="Normal"/>
        <w:ind w:firstLine="708"/>
        <w:jc w:val="both"/>
        <w:rPr/>
      </w:pPr>
      <w:r>
        <w:rPr>
          <w:rFonts w:cs="Times New Roman" w:ascii="Times New Roman" w:hAnsi="Times New Roman"/>
          <w:sz w:val="28"/>
          <w:szCs w:val="28"/>
        </w:rPr>
        <w:t>Документы подаются в виде копий, подписанных уполномоченным лицом заявителя и заверенных печатью юридического лица или индивидуального предпринимателя (при наличии печати).</w:t>
      </w:r>
    </w:p>
    <w:p>
      <w:pPr>
        <w:pStyle w:val="Normal"/>
        <w:ind w:firstLine="708"/>
        <w:jc w:val="both"/>
        <w:rPr/>
      </w:pPr>
      <w:r>
        <w:rPr>
          <w:rFonts w:cs="Times New Roman" w:ascii="Times New Roman" w:hAnsi="Times New Roman"/>
          <w:sz w:val="28"/>
          <w:szCs w:val="28"/>
        </w:rPr>
        <w:t>Заявитель вправе представить копии перечисленных документов, заверенные лицом, уполномоченным в соответствии с законодательством Российской Федерации на совершение действий по их заверению.</w:t>
      </w:r>
    </w:p>
    <w:p>
      <w:pPr>
        <w:pStyle w:val="Normal"/>
        <w:ind w:firstLine="708"/>
        <w:jc w:val="both"/>
        <w:rPr/>
      </w:pPr>
      <w:r>
        <w:rPr>
          <w:rFonts w:cs="Times New Roman" w:ascii="Times New Roman" w:hAnsi="Times New Roman"/>
          <w:sz w:val="28"/>
          <w:szCs w:val="28"/>
        </w:rPr>
        <w:t>Заявитель при подаче заявления и документов вправе представить неподписанные и незаверенные копии документов, прилагаемых к заявлению, с одновременным предъявлением оригиналов таких документов.</w:t>
      </w:r>
    </w:p>
    <w:p>
      <w:pPr>
        <w:pStyle w:val="Normal"/>
        <w:spacing w:before="0" w:after="160"/>
        <w:ind w:firstLine="708"/>
        <w:jc w:val="both"/>
        <w:rPr/>
      </w:pPr>
      <w:r>
        <w:rPr>
          <w:rFonts w:cs="Times New Roman" w:ascii="Times New Roman" w:hAnsi="Times New Roman"/>
          <w:sz w:val="28"/>
          <w:szCs w:val="28"/>
        </w:rPr>
        <w:t>Заявитель вправе предоставить подписанный проект договора энергоснабжения или протокол разногласий к проекту договора, форма которого размещена в соответствующем разделе.</w:t>
      </w:r>
    </w:p>
    <w:p>
      <w:pPr>
        <w:pStyle w:val="Normal"/>
        <w:spacing w:before="0" w:after="160"/>
        <w:ind w:firstLine="708"/>
        <w:jc w:val="both"/>
        <w:rPr/>
      </w:pPr>
      <w:r>
        <w:rPr>
          <w:rFonts w:cs="Times New Roman" w:ascii="Times New Roman" w:hAnsi="Times New Roman"/>
          <w:sz w:val="28"/>
          <w:szCs w:val="28"/>
        </w:rPr>
        <w:t>ПЕРЕЧЕНЬ ДОКУМЕНТОВ:</w:t>
      </w:r>
    </w:p>
    <w:p>
      <w:pPr>
        <w:pStyle w:val="Normal"/>
        <w:jc w:val="both"/>
        <w:rPr/>
      </w:pPr>
      <w:r>
        <w:rPr>
          <w:rFonts w:cs="Times New Roman" w:ascii="Times New Roman" w:hAnsi="Times New Roman"/>
          <w:sz w:val="28"/>
          <w:szCs w:val="28"/>
        </w:rPr>
        <w:tab/>
      </w:r>
      <w:r>
        <w:rPr>
          <w:rFonts w:cs="Times New Roman" w:ascii="Times New Roman" w:hAnsi="Times New Roman"/>
          <w:b/>
          <w:bCs/>
          <w:sz w:val="28"/>
          <w:szCs w:val="28"/>
        </w:rPr>
        <w:t>Заявление о заключении договора, содержащее реквизиты заявителя, в т.ч.:</w:t>
      </w:r>
    </w:p>
    <w:p>
      <w:pPr>
        <w:pStyle w:val="Normal"/>
        <w:jc w:val="both"/>
        <w:rPr/>
      </w:pPr>
      <w:r>
        <w:rPr>
          <w:rFonts w:cs="Times New Roman" w:ascii="Times New Roman" w:hAnsi="Times New Roman"/>
          <w:sz w:val="28"/>
          <w:szCs w:val="28"/>
        </w:rPr>
        <w:tab/>
        <w:t>• для юридических лиц — полное наименование, сокращенное наименование, основной государственный регистрационный номер (ОГРН) и идентификационный номер налогоплательщика (ИНН);</w:t>
      </w:r>
    </w:p>
    <w:p>
      <w:pPr>
        <w:pStyle w:val="Normal"/>
        <w:jc w:val="both"/>
        <w:rPr/>
      </w:pPr>
      <w:r>
        <w:rPr>
          <w:rFonts w:cs="Times New Roman" w:ascii="Times New Roman" w:hAnsi="Times New Roman"/>
          <w:sz w:val="28"/>
          <w:szCs w:val="28"/>
        </w:rPr>
        <w:tab/>
        <w:t>• для индивидуальных предпринимателей — фамилия, имя, отчество (при наличии) физического лица,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основной государственный регистрационный номер индивидуального предпринимателя и идентификационный номер налогоплательщика (ИНН) или страховой номер индивидуального лицевого счета в системе индивидуального (персонифицированного) учета (СНИЛС);</w:t>
      </w:r>
    </w:p>
    <w:p>
      <w:pPr>
        <w:pStyle w:val="Normal"/>
        <w:jc w:val="both"/>
        <w:rPr/>
      </w:pPr>
      <w:r>
        <w:rPr>
          <w:rFonts w:cs="Times New Roman" w:ascii="Times New Roman" w:hAnsi="Times New Roman"/>
          <w:sz w:val="28"/>
          <w:szCs w:val="28"/>
        </w:rPr>
        <w:tab/>
        <w:t>•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идентификационный номер налогоплательщика (ИНН) или страховой номер индивидуального лицевого счета в системе индивидуального (персонифицированного) учета (СНИЛС);</w:t>
      </w:r>
    </w:p>
    <w:p>
      <w:pPr>
        <w:pStyle w:val="Normal"/>
        <w:jc w:val="both"/>
        <w:rPr/>
      </w:pPr>
      <w:r>
        <w:rPr>
          <w:rFonts w:cs="Times New Roman" w:ascii="Times New Roman" w:hAnsi="Times New Roman"/>
          <w:sz w:val="28"/>
          <w:szCs w:val="28"/>
        </w:rPr>
        <w:tab/>
        <w:t>• местонахождение энергопринимающего устройства (объекта энергоснабжения);</w:t>
      </w:r>
    </w:p>
    <w:p>
      <w:pPr>
        <w:pStyle w:val="Normal"/>
        <w:jc w:val="both"/>
        <w:rPr/>
      </w:pPr>
      <w:r>
        <w:rPr>
          <w:rFonts w:cs="Times New Roman" w:ascii="Times New Roman" w:hAnsi="Times New Roman"/>
          <w:sz w:val="28"/>
          <w:szCs w:val="28"/>
        </w:rPr>
        <w:tab/>
        <w:t>• номер мобильного телефона;</w:t>
      </w:r>
    </w:p>
    <w:p>
      <w:pPr>
        <w:pStyle w:val="Normal"/>
        <w:jc w:val="both"/>
        <w:rPr/>
      </w:pPr>
      <w:r>
        <w:rPr>
          <w:rFonts w:cs="Times New Roman" w:ascii="Times New Roman" w:hAnsi="Times New Roman"/>
          <w:sz w:val="28"/>
          <w:szCs w:val="28"/>
        </w:rPr>
        <w:tab/>
        <w:t>• адрес электронной почты заявителя.</w:t>
      </w:r>
    </w:p>
    <w:p>
      <w:pPr>
        <w:pStyle w:val="Normal"/>
        <w:jc w:val="both"/>
        <w:rPr/>
      </w:pPr>
      <w:r>
        <w:rPr>
          <w:rFonts w:cs="Times New Roman" w:ascii="Times New Roman" w:hAnsi="Times New Roman"/>
          <w:sz w:val="28"/>
          <w:szCs w:val="28"/>
        </w:rPr>
        <w:tab/>
        <w:tab/>
      </w:r>
      <w:r>
        <w:rPr>
          <w:rFonts w:cs="Times New Roman" w:ascii="Times New Roman" w:hAnsi="Times New Roman"/>
          <w:b/>
          <w:bCs/>
          <w:sz w:val="28"/>
          <w:szCs w:val="28"/>
        </w:rPr>
        <w:t>К заявлению прикладываются:</w:t>
      </w:r>
    </w:p>
    <w:p>
      <w:pPr>
        <w:pStyle w:val="Normal"/>
        <w:jc w:val="both"/>
        <w:rPr/>
      </w:pPr>
      <w:r>
        <w:rPr>
          <w:rFonts w:cs="Times New Roman" w:ascii="Times New Roman" w:hAnsi="Times New Roman"/>
          <w:sz w:val="28"/>
          <w:szCs w:val="28"/>
        </w:rPr>
        <w:tab/>
        <w:t xml:space="preserve">1. </w:t>
      </w:r>
      <w:r>
        <w:rPr>
          <w:rFonts w:cs="Times New Roman" w:ascii="Times New Roman" w:hAnsi="Times New Roman"/>
          <w:sz w:val="28"/>
          <w:szCs w:val="28"/>
        </w:rPr>
        <w:t>Д</w:t>
      </w:r>
      <w:r>
        <w:rPr>
          <w:rFonts w:cs="Times New Roman" w:ascii="Times New Roman" w:hAnsi="Times New Roman"/>
          <w:sz w:val="28"/>
          <w:szCs w:val="28"/>
        </w:rPr>
        <w:t>окументы, подтверждающи</w:t>
      </w:r>
      <w:r>
        <w:rPr>
          <w:rFonts w:cs="Times New Roman" w:ascii="Times New Roman" w:hAnsi="Times New Roman"/>
          <w:sz w:val="28"/>
          <w:szCs w:val="28"/>
        </w:rPr>
        <w:t>е</w:t>
      </w:r>
      <w:r>
        <w:rPr>
          <w:rFonts w:cs="Times New Roman" w:ascii="Times New Roman" w:hAnsi="Times New Roman"/>
          <w:sz w:val="28"/>
          <w:szCs w:val="28"/>
        </w:rPr>
        <w:t xml:space="preserve"> полномочия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pStyle w:val="Normal"/>
        <w:jc w:val="both"/>
        <w:rPr/>
      </w:pPr>
      <w:r>
        <w:rPr>
          <w:rFonts w:cs="Times New Roman" w:ascii="Times New Roman" w:hAnsi="Times New Roman"/>
          <w:sz w:val="28"/>
          <w:szCs w:val="28"/>
        </w:rPr>
        <w:tab/>
        <w:t xml:space="preserve">2. </w:t>
      </w:r>
      <w:r>
        <w:rPr>
          <w:rFonts w:cs="Times New Roman" w:ascii="Times New Roman" w:hAnsi="Times New Roman"/>
          <w:sz w:val="28"/>
          <w:szCs w:val="28"/>
        </w:rPr>
        <w:t>Д</w:t>
      </w:r>
      <w:r>
        <w:rPr>
          <w:rFonts w:cs="Times New Roman" w:ascii="Times New Roman" w:hAnsi="Times New Roman"/>
          <w:sz w:val="28"/>
          <w:szCs w:val="28"/>
        </w:rPr>
        <w:t>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w:t>
      </w:r>
    </w:p>
    <w:p>
      <w:pPr>
        <w:pStyle w:val="Normal"/>
        <w:jc w:val="both"/>
        <w:rPr/>
      </w:pPr>
      <w:r>
        <w:rPr>
          <w:rFonts w:cs="Times New Roman" w:ascii="Times New Roman" w:hAnsi="Times New Roman"/>
          <w:sz w:val="28"/>
          <w:szCs w:val="28"/>
        </w:rPr>
        <w:tab/>
        <w:t>• выписка из Единого государственного реестра недвижимости (ЕГРН)(дата выдачи выписки должна быть не ранее 30 календарных дней до момента ее предоставления);</w:t>
      </w:r>
    </w:p>
    <w:p>
      <w:pPr>
        <w:pStyle w:val="Normal"/>
        <w:jc w:val="both"/>
        <w:rPr/>
      </w:pPr>
      <w:r>
        <w:rPr>
          <w:rFonts w:cs="Times New Roman" w:ascii="Times New Roman" w:hAnsi="Times New Roman"/>
          <w:sz w:val="28"/>
          <w:szCs w:val="28"/>
        </w:rPr>
        <w:tab/>
        <w:t>• иной документ, подтверждающий законные права владения и (или) пользования, предусмотренный действующим законодательствам РФ: договор аренды (временного пользования), договор безвозмездного пользования, акт органов государственной и муниципальной власти о передаче или закреплении имущества, земельного участка; к таким документам прикладывается акт приема-передачи соответствующего объекта, если документ не содержит условие о том, что он является одновременно актом приема-передачи;</w:t>
      </w:r>
    </w:p>
    <w:p>
      <w:pPr>
        <w:pStyle w:val="Normal"/>
        <w:jc w:val="both"/>
        <w:rPr/>
      </w:pPr>
      <w:r>
        <w:rPr>
          <w:rFonts w:cs="Times New Roman" w:ascii="Times New Roman" w:hAnsi="Times New Roman"/>
          <w:sz w:val="28"/>
          <w:szCs w:val="28"/>
        </w:rPr>
        <w:tab/>
        <w:t>• в отношении объектов строительства многоквартирных жилых домов (МКД), иных строительных объектов (реконструкция, капитальный ремонт), выполняемых застройщиком (подрядчиком): договор на выполнение работ (строительного подряда), документ, подтверждающий право собственности (владения, пользования) земельным участком, на котором осуществляется строительство, разрешение органа местного самоуправления о представлении/выделении земельного участка под строительную площадку;</w:t>
      </w:r>
    </w:p>
    <w:p>
      <w:pPr>
        <w:pStyle w:val="Normal"/>
        <w:jc w:val="both"/>
        <w:rPr/>
      </w:pPr>
      <w:r>
        <w:rPr>
          <w:rFonts w:cs="Times New Roman" w:ascii="Times New Roman" w:hAnsi="Times New Roman"/>
          <w:sz w:val="28"/>
          <w:szCs w:val="28"/>
        </w:rPr>
        <w:tab/>
        <w:t>• в отношении движимого имущества — временное (некапитальное) строение (сооружение), передвижной объект): договор аренды земельного участка для временного размещения соответствующего движимого имущес</w:t>
      </w:r>
      <w:r>
        <w:rPr>
          <w:rFonts w:cs="Times New Roman" w:ascii="Times New Roman" w:hAnsi="Times New Roman"/>
          <w:sz w:val="28"/>
          <w:szCs w:val="28"/>
        </w:rPr>
        <w:t>тва. При представлении договора аренды прикладывается акт приема-передачи соответствующего земельного участка, если договор не содержит условие о том, что он является одновременно актом приема-передачи;</w:t>
      </w:r>
    </w:p>
    <w:p>
      <w:pPr>
        <w:pStyle w:val="Normal"/>
        <w:rPr>
          <w:rFonts w:ascii="Times New Roman" w:hAnsi="Times New Roman"/>
          <w:sz w:val="28"/>
          <w:szCs w:val="28"/>
        </w:rPr>
      </w:pPr>
      <w:r>
        <w:rPr>
          <w:rFonts w:ascii="Times New Roman" w:hAnsi="Times New Roman"/>
          <w:sz w:val="28"/>
          <w:szCs w:val="28"/>
        </w:rPr>
        <w:tab/>
        <w:t>•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протокол оценки и сопоставления заявок на участие в конкурсе на право заключения договора аренды, который подтверждает, что заявитель является победителем такого конкурса, также может быть представлено концессионное соглашение, договор аренды; при представлении договора аренды прикладывается акт приема-передачи соответствующего имущества, если договор не содержит условие о том, что он является одновременно актом приема-передачи.</w:t>
      </w:r>
    </w:p>
    <w:p>
      <w:pPr>
        <w:pStyle w:val="Normal"/>
        <w:rPr>
          <w:rFonts w:ascii="Times New Roman" w:hAnsi="Times New Roman"/>
          <w:sz w:val="28"/>
          <w:szCs w:val="28"/>
        </w:rPr>
      </w:pPr>
      <w:r>
        <w:rPr>
          <w:rFonts w:ascii="Times New Roman" w:hAnsi="Times New Roman"/>
          <w:sz w:val="28"/>
          <w:szCs w:val="28"/>
        </w:rPr>
        <w:tab/>
        <w:t>3. Документ, подтверждающий технологическое присоединение (в т.ч. и опосредованно) к объектам электросетевого хозяйства сетевой организации энергопринимающего устройства (объекта энергоснабжения) или земельного участка, указанного в заявлении:</w:t>
      </w:r>
    </w:p>
    <w:p>
      <w:pPr>
        <w:pStyle w:val="Normal"/>
        <w:rPr/>
      </w:pPr>
      <w:r>
        <w:rPr>
          <w:rFonts w:cs="Times New Roman" w:ascii="Times New Roman" w:hAnsi="Times New Roman"/>
          <w:sz w:val="28"/>
          <w:szCs w:val="28"/>
        </w:rPr>
        <w:tab/>
        <w:t>• акт об осуществлении технологического присоединения, или акт разграничения балансовой принадлежности электросетей, или уведомление</w:t>
      </w:r>
      <w:r>
        <w:rPr>
          <w:rFonts w:cs="Times New Roman" w:ascii="Times New Roman" w:hAnsi="Times New Roman"/>
          <w:sz w:val="28"/>
          <w:szCs w:val="28"/>
        </w:rPr>
        <w:t xml:space="preserve"> об обеспечении сетевой организацией возможности присоединения к электрическим сетям  </w:t>
      </w:r>
      <w:r>
        <w:rPr>
          <w:rFonts w:cs="Times New Roman" w:ascii="Times New Roman" w:hAnsi="Times New Roman"/>
          <w:i/>
          <w:sz w:val="28"/>
          <w:szCs w:val="28"/>
        </w:rPr>
        <w:t>(Не требуется в случае оформления договора до завершения процедуры технологического присоединения. При оформлении договора в случае смене собственника энергопринимающего устройства предоставляются по желанию заявителя).</w:t>
      </w:r>
    </w:p>
    <w:p>
      <w:pPr>
        <w:pStyle w:val="Normal"/>
        <w:jc w:val="both"/>
        <w:rPr/>
      </w:pPr>
      <w:r>
        <w:rPr>
          <w:rFonts w:cs="Times New Roman" w:ascii="Times New Roman" w:hAnsi="Times New Roman"/>
          <w:sz w:val="28"/>
          <w:szCs w:val="28"/>
        </w:rPr>
        <w:tab/>
        <w:t xml:space="preserve">4. Акт допуска прибора учета в эксплуатацию </w:t>
      </w:r>
      <w:r>
        <w:rPr>
          <w:rFonts w:cs="Times New Roman" w:ascii="Times New Roman" w:hAnsi="Times New Roman"/>
          <w:i/>
          <w:sz w:val="28"/>
          <w:szCs w:val="28"/>
        </w:rPr>
        <w:t>(при наличии).</w:t>
      </w:r>
    </w:p>
    <w:p>
      <w:pPr>
        <w:pStyle w:val="Normal"/>
        <w:jc w:val="both"/>
        <w:rPr/>
      </w:pPr>
      <w:r>
        <w:rPr>
          <w:rFonts w:cs="Times New Roman" w:ascii="Times New Roman" w:hAnsi="Times New Roman"/>
          <w:sz w:val="28"/>
          <w:szCs w:val="28"/>
        </w:rPr>
        <w:tab/>
        <w:t xml:space="preserve">5. Акт согласования технологической и аварийной брони, составленный потребителем и сетевой организацией </w:t>
      </w:r>
      <w:r>
        <w:rPr>
          <w:rFonts w:cs="Times New Roman" w:ascii="Times New Roman" w:hAnsi="Times New Roman"/>
          <w:i/>
          <w:sz w:val="28"/>
          <w:szCs w:val="28"/>
        </w:rPr>
        <w:t>(при наличии).</w:t>
      </w:r>
    </w:p>
    <w:p>
      <w:pPr>
        <w:pStyle w:val="Normal"/>
        <w:ind w:firstLine="708"/>
        <w:jc w:val="both"/>
        <w:rPr>
          <w:rFonts w:ascii="Times New Roman" w:hAnsi="Times New Roman" w:cs="Times New Roman"/>
          <w:b/>
          <w:b/>
          <w:bCs/>
          <w:sz w:val="28"/>
          <w:szCs w:val="28"/>
        </w:rPr>
      </w:pPr>
      <w:r>
        <w:rPr/>
      </w:r>
    </w:p>
    <w:p>
      <w:pPr>
        <w:pStyle w:val="Normal"/>
        <w:ind w:firstLine="708"/>
        <w:jc w:val="both"/>
        <w:rPr/>
      </w:pPr>
      <w:r>
        <w:rPr>
          <w:rFonts w:cs="Times New Roman" w:ascii="Times New Roman" w:hAnsi="Times New Roman"/>
          <w:b/>
          <w:bCs/>
          <w:sz w:val="28"/>
          <w:szCs w:val="28"/>
        </w:rPr>
        <w:t>Потребительские кооперативы (гаражно-строительные, гаражные кооператив</w:t>
      </w:r>
      <w:r>
        <w:rPr>
          <w:rFonts w:cs="Times New Roman" w:ascii="Times New Roman" w:hAnsi="Times New Roman"/>
          <w:b/>
          <w:bCs/>
          <w:sz w:val="28"/>
          <w:szCs w:val="28"/>
        </w:rPr>
        <w:t>ы</w:t>
      </w:r>
      <w:r>
        <w:rPr>
          <w:rFonts w:cs="Times New Roman" w:ascii="Times New Roman" w:hAnsi="Times New Roman"/>
          <w:b/>
          <w:bCs/>
          <w:sz w:val="28"/>
          <w:szCs w:val="28"/>
        </w:rPr>
        <w:t>) также предоставляют:</w:t>
      </w:r>
    </w:p>
    <w:p>
      <w:pPr>
        <w:pStyle w:val="Normal"/>
        <w:jc w:val="both"/>
        <w:rPr>
          <w:rFonts w:ascii="Times New Roman" w:hAnsi="Times New Roman" w:cs="Times New Roman"/>
          <w:sz w:val="28"/>
          <w:szCs w:val="28"/>
        </w:rPr>
      </w:pPr>
      <w:r>
        <w:rPr>
          <w:rFonts w:cs="Times New Roman" w:ascii="Times New Roman" w:hAnsi="Times New Roman"/>
          <w:sz w:val="28"/>
          <w:szCs w:val="28"/>
        </w:rPr>
        <w:tab/>
        <w:t>•</w:t>
        <w:tab/>
        <w:t xml:space="preserve">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w:t>
      </w:r>
    </w:p>
    <w:p>
      <w:pPr>
        <w:pStyle w:val="Normal"/>
        <w:jc w:val="both"/>
        <w:rPr>
          <w:rFonts w:ascii="Times New Roman" w:hAnsi="Times New Roman" w:cs="Times New Roman"/>
          <w:sz w:val="28"/>
          <w:szCs w:val="28"/>
        </w:rPr>
      </w:pPr>
      <w:r>
        <w:rPr>
          <w:rFonts w:cs="Times New Roman" w:ascii="Times New Roman" w:hAnsi="Times New Roman"/>
          <w:sz w:val="28"/>
          <w:szCs w:val="28"/>
        </w:rPr>
        <w:tab/>
        <w:t>•</w:t>
        <w:tab/>
        <w:t>согласие на обработку персональных данных;</w:t>
      </w:r>
    </w:p>
    <w:p>
      <w:pPr>
        <w:pStyle w:val="Normal"/>
        <w:jc w:val="both"/>
        <w:rPr>
          <w:rFonts w:ascii="Times New Roman" w:hAnsi="Times New Roman" w:cs="Times New Roman"/>
          <w:sz w:val="28"/>
          <w:szCs w:val="28"/>
        </w:rPr>
      </w:pPr>
      <w:r>
        <w:rPr>
          <w:rFonts w:cs="Times New Roman" w:ascii="Times New Roman" w:hAnsi="Times New Roman"/>
          <w:sz w:val="28"/>
          <w:szCs w:val="28"/>
        </w:rPr>
        <w:tab/>
        <w:t>•</w:t>
        <w:tab/>
        <w:t>кадастровые номера земельных участков, расположенных в границах территории кооператива (при наличии информации);</w:t>
      </w:r>
    </w:p>
    <w:p>
      <w:pPr>
        <w:pStyle w:val="Normal"/>
        <w:jc w:val="both"/>
        <w:rPr/>
      </w:pPr>
      <w:r>
        <w:rPr>
          <w:rFonts w:cs="Times New Roman" w:ascii="Times New Roman" w:hAnsi="Times New Roman"/>
          <w:sz w:val="28"/>
          <w:szCs w:val="28"/>
        </w:rPr>
        <w:tab/>
        <w:t>•</w:t>
        <w:tab/>
        <w:t>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pPr>
        <w:pStyle w:val="Normal"/>
        <w:jc w:val="both"/>
        <w:rPr/>
      </w:pPr>
      <w:r>
        <w:rPr>
          <w:rFonts w:cs="Times New Roman" w:ascii="Times New Roman" w:hAnsi="Times New Roman"/>
          <w:sz w:val="28"/>
          <w:szCs w:val="28"/>
        </w:rPr>
        <w:tab/>
      </w:r>
      <w:r>
        <w:rPr>
          <w:rFonts w:cs="Times New Roman" w:ascii="Times New Roman" w:hAnsi="Times New Roman"/>
          <w:b/>
          <w:bCs/>
          <w:sz w:val="28"/>
          <w:szCs w:val="28"/>
        </w:rPr>
        <w:t>Садоводческие или огороднические некоммерческие товарищества также предоставляют:</w:t>
      </w:r>
    </w:p>
    <w:p>
      <w:pPr>
        <w:pStyle w:val="Normal"/>
        <w:jc w:val="both"/>
        <w:rPr>
          <w:rFonts w:ascii="Times New Roman" w:hAnsi="Times New Roman" w:cs="Times New Roman"/>
          <w:sz w:val="28"/>
          <w:szCs w:val="28"/>
        </w:rPr>
      </w:pPr>
      <w:r>
        <w:rPr>
          <w:rFonts w:cs="Times New Roman" w:ascii="Times New Roman" w:hAnsi="Times New Roman"/>
          <w:sz w:val="28"/>
          <w:szCs w:val="28"/>
        </w:rPr>
        <w:tab/>
        <w:t>• справка о количестве садовых или огородных земельных участков, расположенных в границах территории ведения гражданами садоводства или огородничества для собственных нужд.</w:t>
      </w:r>
    </w:p>
    <w:p>
      <w:pPr>
        <w:pStyle w:val="Normal"/>
        <w:jc w:val="both"/>
        <w:rPr/>
      </w:pPr>
      <w:r>
        <w:rPr>
          <w:rFonts w:cs="Times New Roman" w:ascii="Times New Roman" w:hAnsi="Times New Roman"/>
          <w:sz w:val="28"/>
          <w:szCs w:val="28"/>
        </w:rPr>
        <w:tab/>
      </w:r>
      <w:r>
        <w:rPr>
          <w:rFonts w:cs="Times New Roman" w:ascii="Times New Roman" w:hAnsi="Times New Roman"/>
          <w:b/>
          <w:bCs/>
          <w:sz w:val="28"/>
          <w:szCs w:val="28"/>
        </w:rPr>
        <w:t>Операторы связи при заключении договора в отношении энергопринимающих устройств, максимальная мощность которых составляет не более 5 кВт включительно, расположенных на объектах общего имущества в МКД,</w:t>
      </w:r>
      <w:r>
        <w:rPr>
          <w:rFonts w:cs="Times New Roman" w:ascii="Times New Roman" w:hAnsi="Times New Roman"/>
          <w:sz w:val="28"/>
          <w:szCs w:val="28"/>
        </w:rPr>
        <w:t xml:space="preserve"> при отсутствии документа, подтверждающего право собственности (владения, пользования) на энергопринимающее устройство, документа, подтверждающего технологическое присоединение энергопринимающего устройства, представляют:</w:t>
      </w:r>
    </w:p>
    <w:p>
      <w:pPr>
        <w:pStyle w:val="Normal"/>
        <w:jc w:val="both"/>
        <w:rPr/>
      </w:pPr>
      <w:r>
        <w:rPr>
          <w:rFonts w:cs="Times New Roman" w:ascii="Times New Roman" w:hAnsi="Times New Roman"/>
          <w:sz w:val="28"/>
          <w:szCs w:val="28"/>
        </w:rPr>
        <w:tab/>
        <w:t>копия акта выполненных работ по монтажу, а если монтаж сетей связи осуществлен до 06.04.2024, копия описи сетей связи с приложением копии договора об оказании услуг связи, заключенного с лицом, осуществляющим управление МКД.</w:t>
      </w:r>
    </w:p>
    <w:p>
      <w:pPr>
        <w:pStyle w:val="Normal"/>
        <w:jc w:val="both"/>
        <w:rPr/>
      </w:pPr>
      <w:r>
        <w:rPr>
          <w:rFonts w:cs="Times New Roman" w:ascii="Times New Roman" w:hAnsi="Times New Roman"/>
          <w:sz w:val="28"/>
          <w:szCs w:val="28"/>
        </w:rPr>
        <w:tab/>
        <w:t>Акт или опись должны быть подписанными, в т.ч. лицом, осуществляющим управление МКД, содержать сведения, указанные в п. 27, 31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утвержденных постановлением Правительства РФ от 06.08.2024 N1055, а именно:</w:t>
      </w:r>
    </w:p>
    <w:p>
      <w:pPr>
        <w:pStyle w:val="Normal"/>
        <w:jc w:val="both"/>
        <w:rPr>
          <w:rFonts w:ascii="Times New Roman" w:hAnsi="Times New Roman" w:cs="Times New Roman"/>
          <w:sz w:val="28"/>
          <w:szCs w:val="28"/>
        </w:rPr>
      </w:pPr>
      <w:r>
        <w:rPr>
          <w:rFonts w:cs="Times New Roman" w:ascii="Times New Roman" w:hAnsi="Times New Roman"/>
          <w:sz w:val="28"/>
          <w:szCs w:val="28"/>
        </w:rPr>
        <w:tab/>
        <w:t>• состав сетей связи, в том числе перечень средств связи и линий связи;</w:t>
      </w:r>
    </w:p>
    <w:p>
      <w:pPr>
        <w:pStyle w:val="Normal"/>
        <w:jc w:val="both"/>
        <w:rPr>
          <w:rFonts w:ascii="Times New Roman" w:hAnsi="Times New Roman" w:cs="Times New Roman"/>
          <w:sz w:val="28"/>
          <w:szCs w:val="28"/>
        </w:rPr>
      </w:pPr>
      <w:r>
        <w:rPr>
          <w:rFonts w:cs="Times New Roman" w:ascii="Times New Roman" w:hAnsi="Times New Roman"/>
          <w:sz w:val="28"/>
          <w:szCs w:val="28"/>
        </w:rPr>
        <w:tab/>
        <w:t>• места монтажа сетей связи на объектах общего имущества в МКД (перечень или схематичное отображение на поэтажном плане МКД);</w:t>
      </w:r>
    </w:p>
    <w:p>
      <w:pPr>
        <w:pStyle w:val="Normal"/>
        <w:jc w:val="both"/>
        <w:rPr>
          <w:rFonts w:ascii="Times New Roman" w:hAnsi="Times New Roman" w:cs="Times New Roman"/>
          <w:sz w:val="28"/>
          <w:szCs w:val="28"/>
        </w:rPr>
      </w:pPr>
      <w:r>
        <w:rPr>
          <w:rFonts w:cs="Times New Roman" w:ascii="Times New Roman" w:hAnsi="Times New Roman"/>
          <w:sz w:val="28"/>
          <w:szCs w:val="28"/>
        </w:rPr>
        <w:tab/>
        <w:t>• количество энергопринимающих устройств и их место установки;</w:t>
      </w:r>
    </w:p>
    <w:p>
      <w:pPr>
        <w:pStyle w:val="Normal"/>
        <w:jc w:val="both"/>
        <w:rPr>
          <w:rFonts w:ascii="Times New Roman" w:hAnsi="Times New Roman" w:cs="Times New Roman"/>
          <w:sz w:val="28"/>
          <w:szCs w:val="28"/>
        </w:rPr>
      </w:pPr>
      <w:r>
        <w:rPr>
          <w:rFonts w:cs="Times New Roman" w:ascii="Times New Roman" w:hAnsi="Times New Roman"/>
          <w:sz w:val="28"/>
          <w:szCs w:val="28"/>
        </w:rPr>
        <w:tab/>
        <w:t>• данные по потреблению электроэнергии (круглосуточно, круглогодично и т.п.);</w:t>
      </w:r>
    </w:p>
    <w:p>
      <w:pPr>
        <w:pStyle w:val="Normal"/>
        <w:jc w:val="both"/>
        <w:rPr>
          <w:rFonts w:ascii="Times New Roman" w:hAnsi="Times New Roman" w:cs="Times New Roman"/>
          <w:sz w:val="28"/>
          <w:szCs w:val="28"/>
        </w:rPr>
      </w:pPr>
      <w:r>
        <w:rPr>
          <w:rFonts w:cs="Times New Roman" w:ascii="Times New Roman" w:hAnsi="Times New Roman"/>
          <w:sz w:val="28"/>
          <w:szCs w:val="28"/>
        </w:rPr>
        <w:tab/>
        <w:t>• потребляемую мощность одного энергопринимающего устройства, максимальную потребляемую мощность (кВт);</w:t>
      </w:r>
    </w:p>
    <w:p>
      <w:pPr>
        <w:pStyle w:val="Normal"/>
        <w:jc w:val="both"/>
        <w:rPr>
          <w:rFonts w:ascii="Times New Roman" w:hAnsi="Times New Roman" w:cs="Times New Roman"/>
          <w:sz w:val="28"/>
          <w:szCs w:val="28"/>
        </w:rPr>
      </w:pPr>
      <w:r>
        <w:rPr>
          <w:rFonts w:cs="Times New Roman" w:ascii="Times New Roman" w:hAnsi="Times New Roman"/>
          <w:sz w:val="28"/>
          <w:szCs w:val="28"/>
        </w:rPr>
        <w:tab/>
        <w:t>• уровень напряжения (кВ) и категорию надежности электроснабжения;</w:t>
      </w:r>
    </w:p>
    <w:p>
      <w:pPr>
        <w:pStyle w:val="Normal"/>
        <w:jc w:val="both"/>
        <w:rPr>
          <w:rFonts w:ascii="Times New Roman" w:hAnsi="Times New Roman" w:cs="Times New Roman"/>
          <w:sz w:val="28"/>
          <w:szCs w:val="28"/>
        </w:rPr>
      </w:pPr>
      <w:r>
        <w:rPr>
          <w:rFonts w:cs="Times New Roman" w:ascii="Times New Roman" w:hAnsi="Times New Roman"/>
          <w:sz w:val="28"/>
          <w:szCs w:val="28"/>
        </w:rPr>
        <w:tab/>
        <w:t>• перечень точек присоединения;</w:t>
      </w:r>
    </w:p>
    <w:p>
      <w:pPr>
        <w:pStyle w:val="Normal"/>
        <w:jc w:val="both"/>
        <w:rPr>
          <w:rFonts w:ascii="Times New Roman" w:hAnsi="Times New Roman" w:cs="Times New Roman"/>
          <w:sz w:val="28"/>
          <w:szCs w:val="28"/>
        </w:rPr>
      </w:pPr>
      <w:r>
        <w:rPr>
          <w:rFonts w:cs="Times New Roman" w:ascii="Times New Roman" w:hAnsi="Times New Roman"/>
          <w:sz w:val="28"/>
          <w:szCs w:val="28"/>
        </w:rPr>
        <w:tab/>
        <w:t>• границы раздела балансовой принадлежности объектов и эксплуатационной ответственности сторон между лицом, осуществляющим управление МКД, и оператором связи;</w:t>
      </w:r>
    </w:p>
    <w:p>
      <w:pPr>
        <w:pStyle w:val="Normal"/>
        <w:jc w:val="both"/>
        <w:rPr>
          <w:rFonts w:ascii="Times New Roman" w:hAnsi="Times New Roman" w:cs="Times New Roman"/>
          <w:sz w:val="28"/>
          <w:szCs w:val="28"/>
        </w:rPr>
      </w:pPr>
      <w:r>
        <w:rPr>
          <w:rFonts w:cs="Times New Roman" w:ascii="Times New Roman" w:hAnsi="Times New Roman"/>
          <w:sz w:val="28"/>
          <w:szCs w:val="28"/>
        </w:rPr>
        <w:tab/>
        <w:t>• однолинейную схему присоединения энергопринимающих устройств оператора связи;</w:t>
      </w:r>
    </w:p>
    <w:p>
      <w:pPr>
        <w:pStyle w:val="Normal"/>
        <w:jc w:val="both"/>
        <w:rPr>
          <w:rFonts w:ascii="Times New Roman" w:hAnsi="Times New Roman" w:cs="Times New Roman"/>
          <w:sz w:val="28"/>
          <w:szCs w:val="28"/>
        </w:rPr>
      </w:pPr>
      <w:r>
        <w:rPr>
          <w:rFonts w:cs="Times New Roman" w:ascii="Times New Roman" w:hAnsi="Times New Roman"/>
          <w:sz w:val="28"/>
          <w:szCs w:val="28"/>
        </w:rPr>
        <w:tab/>
        <w:t>• информацию о приборе учета (при его наличии).</w:t>
      </w:r>
    </w:p>
    <w:p>
      <w:pPr>
        <w:pStyle w:val="Normal"/>
        <w:ind w:firstLine="708"/>
        <w:jc w:val="both"/>
        <w:rPr>
          <w:rFonts w:ascii="Times New Roman" w:hAnsi="Times New Roman" w:cs="Times New Roman"/>
          <w:sz w:val="28"/>
          <w:szCs w:val="28"/>
        </w:rPr>
      </w:pPr>
      <w:r>
        <w:rPr/>
      </w:r>
    </w:p>
    <w:p>
      <w:pPr>
        <w:pStyle w:val="Normal"/>
        <w:spacing w:before="0" w:after="160"/>
        <w:ind w:firstLine="708"/>
        <w:jc w:val="both"/>
        <w:rPr>
          <w:rFonts w:ascii="Times New Roman" w:hAnsi="Times New Roman" w:cs="Times New Roman"/>
          <w:sz w:val="28"/>
          <w:szCs w:val="28"/>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Times New Roman">
    <w:charset w:val="01"/>
    <w:family w:val="roman"/>
    <w:pitch w:val="default"/>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ru-RU" w:eastAsia="en-US" w:bidi="ar-SA"/>
    </w:rPr>
  </w:style>
  <w:style w:type="paragraph" w:styleId="1">
    <w:name w:val="Heading 1"/>
    <w:basedOn w:val="Style18"/>
    <w:qFormat/>
    <w:pPr/>
    <w:rPr/>
  </w:style>
  <w:style w:type="character" w:styleId="DefaultParagraphFont" w:default="1">
    <w:name w:val="Default Paragraph Font"/>
    <w:uiPriority w:val="1"/>
    <w:semiHidden/>
    <w:unhideWhenUsed/>
    <w:qFormat/>
    <w:rPr/>
  </w:style>
  <w:style w:type="character" w:styleId="Style13" w:customStyle="1">
    <w:name w:val="Текст сноски Знак"/>
    <w:basedOn w:val="DefaultParagraphFont"/>
    <w:link w:val="a3"/>
    <w:qFormat/>
    <w:rsid w:val="0069751b"/>
    <w:rPr>
      <w:sz w:val="20"/>
      <w:szCs w:val="20"/>
    </w:rPr>
  </w:style>
  <w:style w:type="character" w:styleId="Style14">
    <w:name w:val="Выделение жирным"/>
    <w:qFormat/>
    <w:rPr>
      <w:b/>
      <w:bCs/>
    </w:rPr>
  </w:style>
  <w:style w:type="character" w:styleId="Style15">
    <w:name w:val="Интернет-ссылка"/>
    <w:rPr>
      <w:color w:val="000080"/>
      <w:u w:val="single"/>
      <w:lang w:val="zxx" w:eastAsia="zxx" w:bidi="zxx"/>
    </w:rPr>
  </w:style>
  <w:style w:type="character" w:styleId="Style16">
    <w:name w:val="Маркеры списка"/>
    <w:qFormat/>
    <w:rPr>
      <w:rFonts w:ascii="OpenSymbol" w:hAnsi="OpenSymbol" w:eastAsia="OpenSymbol" w:cs="OpenSymbol"/>
    </w:rPr>
  </w:style>
  <w:style w:type="character" w:styleId="Style17">
    <w:name w:val="Выделение"/>
    <w:qFormat/>
    <w:rPr>
      <w:i/>
      <w:iCs/>
    </w:rPr>
  </w:style>
  <w:style w:type="paragraph" w:styleId="Style18">
    <w:name w:val="Заголовок"/>
    <w:basedOn w:val="Normal"/>
    <w:next w:val="Style19"/>
    <w:qFormat/>
    <w:pPr>
      <w:keepNext w:val="true"/>
      <w:spacing w:before="240" w:after="120"/>
    </w:pPr>
    <w:rPr>
      <w:rFonts w:ascii="Liberation Sans" w:hAnsi="Liberation Sans" w:eastAsia="WenQuanYi Zen Hei Sharp" w:cs="Lohit Devanagari"/>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Footnotetext">
    <w:name w:val="footnote text"/>
    <w:basedOn w:val="Normal"/>
    <w:link w:val="a4"/>
    <w:unhideWhenUsed/>
    <w:qFormat/>
    <w:rsid w:val="0069751b"/>
    <w:pPr>
      <w:spacing w:lineRule="auto" w:line="240" w:before="0" w:after="0"/>
    </w:pPr>
    <w:rPr>
      <w:sz w:val="20"/>
      <w:szCs w:val="20"/>
    </w:rPr>
  </w:style>
  <w:style w:type="paragraph" w:styleId="ConsPlusNormal" w:customStyle="1">
    <w:name w:val="ConsPlusNormal"/>
    <w:qFormat/>
    <w:rsid w:val="0069751b"/>
    <w:pPr>
      <w:widowControl w:val="false"/>
      <w:bidi w:val="0"/>
      <w:spacing w:lineRule="auto" w:line="240" w:before="0" w:after="0"/>
      <w:jc w:val="left"/>
    </w:pPr>
    <w:rPr>
      <w:rFonts w:ascii="Calibri" w:hAnsi="Calibri" w:eastAsia="Times New Roman" w:cs="Calibri" w:asciiTheme="minorHAnsi" w:hAnsiTheme="minorHAnsi"/>
      <w:color w:val="00000A"/>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Application>LibreOffice/5.3.6.1$Linux_X86_64 LibreOffice_project/30$Build-1</Application>
  <Pages>5</Pages>
  <Words>1059</Words>
  <Characters>8209</Characters>
  <CharactersWithSpaces>9267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2021-04-29T04:00:00Z</dcterms:created>
  <dc:creator>Порошина Ольга Венедиктовна</dc:creator>
  <dc:description/>
  <dc:language>ru-RU</dc:language>
  <cp:lastModifiedBy/>
  <dcterms:modified xsi:type="dcterms:W3CDTF">2025-07-17T10:57:36Z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