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odyTextIndent2"/>
        <w:spacing w:lineRule="auto" w:line="240" w:before="0" w:after="0"/>
        <w:ind w:left="0" w:hanging="0"/>
        <w:jc w:val="center"/>
        <w:rPr>
          <w:b/>
          <w:b/>
          <w:sz w:val="26"/>
          <w:szCs w:val="26"/>
        </w:rPr>
      </w:pPr>
      <w:r>
        <w:rPr/>
        <w:drawing>
          <wp:inline distT="0" distB="0" distL="0" distR="9525">
            <wp:extent cx="2695575" cy="438150"/>
            <wp:effectExtent l="0" t="0" r="0" b="0"/>
            <wp:docPr id="1" name="Рисунок 4" descr="Камчатскэнерго-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descr="Камчатскэнерго-лого"/>
                    <pic:cNvPicPr>
                      <a:picLocks noChangeAspect="1" noChangeArrowheads="1"/>
                    </pic:cNvPicPr>
                  </pic:nvPicPr>
                  <pic:blipFill>
                    <a:blip r:embed="rId2"/>
                    <a:stretch>
                      <a:fillRect/>
                    </a:stretch>
                  </pic:blipFill>
                  <pic:spPr bwMode="auto">
                    <a:xfrm>
                      <a:off x="0" y="0"/>
                      <a:ext cx="2695575" cy="438150"/>
                    </a:xfrm>
                    <a:prstGeom prst="rect">
                      <a:avLst/>
                    </a:prstGeom>
                  </pic:spPr>
                </pic:pic>
              </a:graphicData>
            </a:graphic>
          </wp:inline>
        </w:drawing>
      </w:r>
    </w:p>
    <w:p>
      <w:pPr>
        <w:pStyle w:val="BodyTextIndent2"/>
        <w:spacing w:lineRule="auto" w:line="240" w:before="0" w:after="0"/>
        <w:ind w:left="0" w:hanging="0"/>
        <w:jc w:val="center"/>
        <w:rPr>
          <w:rStyle w:val="125"/>
        </w:rPr>
      </w:pPr>
      <w:r>
        <w:rPr>
          <w:b/>
          <w:sz w:val="26"/>
          <w:szCs w:val="26"/>
        </w:rPr>
        <w:t xml:space="preserve">ДОГОВОР О ВОЗМЕЗДНОМ ОКАЗАНИИ УСЛУГ ПО ПЕРЕДАЧЕ ЭЛЕКТРИЧЕСКОЙ ЭНЕРГИИ </w:t>
      </w:r>
      <w:r>
        <w:rPr>
          <w:rStyle w:val="125"/>
          <w:rFonts w:eastAsia="Arial Unicode MS"/>
        </w:rPr>
        <w:t>№ </w:t>
      </w:r>
    </w:p>
    <w:p>
      <w:pPr>
        <w:pStyle w:val="BodyTextIndent2"/>
        <w:spacing w:lineRule="auto" w:line="240" w:before="120" w:after="0"/>
        <w:ind w:left="0" w:firstLine="357"/>
        <w:jc w:val="center"/>
        <w:rPr>
          <w:b/>
          <w:b/>
          <w:sz w:val="20"/>
        </w:rPr>
      </w:pPr>
      <w:r>
        <w:rPr>
          <w:b/>
          <w:sz w:val="20"/>
        </w:rPr>
      </w:r>
    </w:p>
    <w:p>
      <w:pPr>
        <w:pStyle w:val="BodyTextIndent2"/>
        <w:spacing w:lineRule="auto" w:line="240" w:before="120" w:after="0"/>
        <w:ind w:left="0" w:hanging="0"/>
        <w:jc w:val="center"/>
        <w:rPr>
          <w:b/>
          <w:b/>
          <w:color w:val="3107A9"/>
          <w:sz w:val="26"/>
          <w:szCs w:val="26"/>
        </w:rPr>
      </w:pPr>
      <w:r>
        <w:rPr>
          <w:b/>
          <w:sz w:val="22"/>
          <w:szCs w:val="22"/>
        </w:rPr>
        <w:t xml:space="preserve">г. Петропавловск - Камчатский                                                                      </w:t>
      </w:r>
      <w:r>
        <w:rPr>
          <w:b/>
          <w:sz w:val="26"/>
          <w:szCs w:val="26"/>
        </w:rPr>
        <w:t>«__»_________</w:t>
      </w:r>
    </w:p>
    <w:p>
      <w:pPr>
        <w:pStyle w:val="BodyTextIndent2"/>
        <w:spacing w:lineRule="auto" w:line="240" w:before="120" w:after="0"/>
        <w:ind w:left="0" w:hanging="0"/>
        <w:jc w:val="center"/>
        <w:rPr>
          <w:b/>
          <w:b/>
          <w:sz w:val="22"/>
          <w:szCs w:val="22"/>
        </w:rPr>
      </w:pPr>
      <w:r>
        <w:rPr>
          <w:b/>
          <w:sz w:val="22"/>
          <w:szCs w:val="22"/>
        </w:rPr>
      </w:r>
    </w:p>
    <w:p>
      <w:pPr>
        <w:pStyle w:val="Normal"/>
        <w:ind w:left="0" w:firstLine="357"/>
        <w:rPr>
          <w:sz w:val="22"/>
          <w:szCs w:val="22"/>
        </w:rPr>
      </w:pPr>
      <w:r>
        <w:rPr/>
        <w:tab/>
      </w:r>
      <w:r>
        <w:rPr>
          <w:b/>
          <w:sz w:val="22"/>
          <w:szCs w:val="22"/>
        </w:rPr>
        <w:t>Публичное акционерное общество энергетики и электрификации «Камчатскэнерго»</w:t>
      </w:r>
      <w:r>
        <w:rPr>
          <w:sz w:val="22"/>
          <w:szCs w:val="22"/>
        </w:rPr>
        <w:t xml:space="preserve">, именуемое в дальнейшем </w:t>
      </w:r>
      <w:r>
        <w:rPr>
          <w:b/>
          <w:sz w:val="22"/>
          <w:szCs w:val="22"/>
        </w:rPr>
        <w:t>«ГАРАНТИРУЮЩИЙ ПОСТАВЩИК»</w:t>
      </w:r>
      <w:r>
        <w:rPr>
          <w:sz w:val="22"/>
          <w:szCs w:val="22"/>
        </w:rPr>
        <w:t xml:space="preserve">, в лице </w:t>
      </w:r>
      <w:r>
        <w:rPr>
          <w:b/>
          <w:sz w:val="22"/>
          <w:szCs w:val="22"/>
        </w:rPr>
        <w:t xml:space="preserve">директора </w:t>
      </w:r>
      <w:r>
        <w:rPr>
          <w:b/>
          <w:bCs/>
          <w:sz w:val="22"/>
          <w:szCs w:val="22"/>
        </w:rPr>
        <w:t>филиала ПАО «Дальневосточная энергетическая компания» «Камчатскэнергосбыт» Жосан Александры Зайдулловны</w:t>
      </w:r>
      <w:r>
        <w:rPr>
          <w:sz w:val="22"/>
          <w:szCs w:val="22"/>
        </w:rPr>
        <w:t xml:space="preserve">, действующего на основании </w:t>
      </w:r>
      <w:r>
        <w:rPr>
          <w:b/>
          <w:bCs/>
          <w:i/>
          <w:iCs/>
          <w:sz w:val="22"/>
          <w:szCs w:val="22"/>
        </w:rPr>
        <w:t xml:space="preserve">доверенности </w:t>
      </w:r>
      <w:r>
        <w:rPr>
          <w:b/>
          <w:sz w:val="22"/>
          <w:szCs w:val="22"/>
        </w:rPr>
        <w:t xml:space="preserve">№ ___________________ от_________________, </w:t>
      </w:r>
      <w:r>
        <w:rPr>
          <w:sz w:val="22"/>
          <w:szCs w:val="22"/>
        </w:rPr>
        <w:t>с одной стороны, и</w:t>
      </w:r>
    </w:p>
    <w:p>
      <w:pPr>
        <w:pStyle w:val="Normal"/>
        <w:ind w:left="0" w:firstLine="357"/>
        <w:rPr>
          <w:sz w:val="22"/>
          <w:szCs w:val="22"/>
        </w:rPr>
      </w:pPr>
      <w:r>
        <w:rPr>
          <w:sz w:val="22"/>
          <w:szCs w:val="22"/>
        </w:rPr>
        <w:tab/>
      </w:r>
      <w:r>
        <w:rPr>
          <w:rStyle w:val="13"/>
          <w:sz w:val="22"/>
          <w:szCs w:val="22"/>
        </w:rPr>
        <w:t>___________________________________</w:t>
      </w:r>
      <w:r>
        <w:rPr>
          <w:b/>
          <w:bCs/>
          <w:sz w:val="22"/>
          <w:szCs w:val="22"/>
        </w:rPr>
        <w:t xml:space="preserve">, </w:t>
      </w:r>
      <w:r>
        <w:rPr>
          <w:sz w:val="22"/>
          <w:szCs w:val="22"/>
        </w:rPr>
        <w:t xml:space="preserve">именуемое в дальнейшем </w:t>
      </w:r>
      <w:r>
        <w:rPr>
          <w:b/>
          <w:bCs/>
          <w:sz w:val="22"/>
          <w:szCs w:val="22"/>
        </w:rPr>
        <w:t xml:space="preserve">«ТЕРРИТОРИАЛЬНАЯ СЕТЕВАЯ ОРГАНИЗАЦИЯ», </w:t>
      </w:r>
      <w:r>
        <w:rPr>
          <w:sz w:val="22"/>
          <w:szCs w:val="22"/>
        </w:rPr>
        <w:t xml:space="preserve">в лице </w:t>
      </w:r>
      <w:r>
        <w:rPr>
          <w:rStyle w:val="13"/>
          <w:sz w:val="22"/>
          <w:szCs w:val="22"/>
        </w:rPr>
        <w:t>_________________________________________</w:t>
      </w:r>
      <w:r>
        <w:rPr>
          <w:b/>
          <w:sz w:val="22"/>
          <w:szCs w:val="22"/>
        </w:rPr>
        <w:t xml:space="preserve">, </w:t>
      </w:r>
      <w:r>
        <w:rPr>
          <w:sz w:val="22"/>
          <w:szCs w:val="22"/>
        </w:rPr>
        <w:t xml:space="preserve">действующего (-ей) на основании </w:t>
      </w:r>
      <w:r>
        <w:rPr>
          <w:color w:val="0000FF"/>
          <w:sz w:val="22"/>
          <w:szCs w:val="22"/>
        </w:rPr>
        <w:t>____________________________________</w:t>
      </w:r>
      <w:r>
        <w:rPr>
          <w:sz w:val="22"/>
          <w:szCs w:val="22"/>
        </w:rPr>
        <w:t xml:space="preserve">, с другой стороны, а вместе именуемые </w:t>
      </w:r>
      <w:r>
        <w:rPr>
          <w:b/>
          <w:sz w:val="22"/>
          <w:szCs w:val="22"/>
        </w:rPr>
        <w:t>«СТОРОНЫ»</w:t>
      </w:r>
      <w:r>
        <w:rPr>
          <w:sz w:val="22"/>
          <w:szCs w:val="22"/>
        </w:rPr>
        <w:t>, заключили настоящий Договор о нижеследующем:</w:t>
      </w:r>
    </w:p>
    <w:p>
      <w:pPr>
        <w:pStyle w:val="Normal"/>
        <w:ind w:left="0" w:firstLine="357"/>
        <w:rPr>
          <w:sz w:val="22"/>
          <w:szCs w:val="22"/>
        </w:rPr>
      </w:pPr>
      <w:r>
        <w:rPr>
          <w:sz w:val="22"/>
          <w:szCs w:val="22"/>
        </w:rPr>
      </w:r>
    </w:p>
    <w:p>
      <w:pPr>
        <w:pStyle w:val="ListParagraph"/>
        <w:numPr>
          <w:ilvl w:val="0"/>
          <w:numId w:val="1"/>
        </w:numPr>
        <w:tabs>
          <w:tab w:val="left" w:pos="0" w:leader="none"/>
        </w:tabs>
        <w:suppressAutoHyphens w:val="true"/>
        <w:ind w:left="0" w:hanging="360"/>
        <w:jc w:val="center"/>
        <w:rPr>
          <w:b/>
          <w:b/>
          <w:bCs/>
          <w:sz w:val="22"/>
          <w:szCs w:val="22"/>
        </w:rPr>
      </w:pPr>
      <w:r>
        <w:rPr>
          <w:b/>
          <w:bCs/>
          <w:sz w:val="22"/>
          <w:szCs w:val="22"/>
        </w:rPr>
        <w:t>ПРЕДМЕТ ДОГОВОРА.</w:t>
      </w:r>
    </w:p>
    <w:p>
      <w:pPr>
        <w:pStyle w:val="ListParagraph"/>
        <w:tabs>
          <w:tab w:val="left" w:pos="0" w:leader="none"/>
        </w:tabs>
        <w:suppressAutoHyphens w:val="true"/>
        <w:ind w:left="0" w:hanging="0"/>
        <w:rPr>
          <w:b/>
          <w:b/>
          <w:bCs/>
          <w:sz w:val="22"/>
          <w:szCs w:val="22"/>
        </w:rPr>
      </w:pPr>
      <w:r>
        <w:rPr>
          <w:b/>
          <w:bCs/>
          <w:sz w:val="22"/>
          <w:szCs w:val="22"/>
        </w:rPr>
      </w:r>
    </w:p>
    <w:p>
      <w:pPr>
        <w:pStyle w:val="Normal"/>
        <w:tabs>
          <w:tab w:val="left" w:pos="0" w:leader="none"/>
          <w:tab w:val="left" w:pos="567" w:leader="none"/>
          <w:tab w:val="left" w:pos="1200" w:leader="none"/>
        </w:tabs>
        <w:suppressAutoHyphens w:val="true"/>
        <w:spacing w:before="0" w:after="0"/>
        <w:ind w:left="0" w:hanging="0"/>
        <w:contextualSpacing/>
        <w:rPr>
          <w:sz w:val="22"/>
          <w:szCs w:val="22"/>
        </w:rPr>
      </w:pPr>
      <w:r>
        <w:rPr>
          <w:sz w:val="22"/>
          <w:szCs w:val="22"/>
        </w:rPr>
        <w:t>1.1.</w:t>
        <w:tab/>
        <w:t>ТЕРРИТОРИАЛЬНАЯ СЕТЕВАЯ ОРГАНИЗАЦИЯ (далее по тексту-ТСО) обязуется оказывать ГАРАНТИРУЮЩЕМУ ПОСТАВЩИКУ (далее по тексту-ГП) услуги по передаче электрической энергии до точек поставки ПОТРЕБИТЕЛЕЙ, указанных в Приложении №</w:t>
      </w:r>
      <w:r>
        <w:rPr>
          <w:sz w:val="22"/>
          <w:szCs w:val="22"/>
          <w:lang w:val="en-US"/>
        </w:rPr>
        <w:t> </w:t>
      </w:r>
      <w:r>
        <w:rPr>
          <w:sz w:val="22"/>
          <w:szCs w:val="22"/>
        </w:rPr>
        <w:t xml:space="preserve">1 </w:t>
      </w:r>
      <w:r>
        <w:rPr/>
        <w:t>к</w:t>
      </w:r>
      <w:r>
        <w:rPr>
          <w:lang w:val="en-US"/>
        </w:rPr>
        <w:t> </w:t>
      </w:r>
      <w:r>
        <w:rPr/>
        <w:t>настоящему</w:t>
      </w:r>
      <w:r>
        <w:rPr>
          <w:sz w:val="22"/>
          <w:szCs w:val="22"/>
        </w:rPr>
        <w:t xml:space="preserve"> договору, посредством осуществления комплекса организационно и технологически связанных действий, обеспечивающих передачу электрической энергии через технические устройства электрических сетей, принадлежащих ТСО на праве собственности или ином установленном федеральным законом основании, а ГП обязуется оплачивать услуги ТСО в</w:t>
      </w:r>
      <w:r>
        <w:rPr>
          <w:sz w:val="22"/>
          <w:szCs w:val="22"/>
          <w:lang w:val="en-US"/>
        </w:rPr>
        <w:t> </w:t>
      </w:r>
      <w:r>
        <w:rPr>
          <w:sz w:val="22"/>
          <w:szCs w:val="22"/>
        </w:rPr>
        <w:t xml:space="preserve">порядке, установленном настоящим договором. </w:t>
      </w:r>
    </w:p>
    <w:p>
      <w:pPr>
        <w:pStyle w:val="Normal"/>
        <w:tabs>
          <w:tab w:val="left" w:pos="0" w:leader="none"/>
          <w:tab w:val="left" w:pos="567" w:leader="none"/>
        </w:tabs>
        <w:spacing w:before="0" w:after="0"/>
        <w:ind w:left="0" w:hanging="0"/>
        <w:contextualSpacing/>
        <w:rPr>
          <w:sz w:val="22"/>
          <w:szCs w:val="22"/>
        </w:rPr>
      </w:pPr>
      <w:r>
        <w:rPr>
          <w:sz w:val="22"/>
          <w:szCs w:val="22"/>
        </w:rPr>
        <w:t>1.2.</w:t>
        <w:tab/>
        <w:t>СТОРОНЫ согласовали следующие существенные условия настоящего договора:</w:t>
      </w:r>
    </w:p>
    <w:p>
      <w:pPr>
        <w:pStyle w:val="Normal"/>
        <w:widowControl w:val="false"/>
        <w:tabs>
          <w:tab w:val="left" w:pos="0" w:leader="none"/>
          <w:tab w:val="left" w:pos="567" w:leader="none"/>
        </w:tabs>
        <w:spacing w:before="0" w:after="0"/>
        <w:ind w:left="0" w:hanging="0"/>
        <w:contextualSpacing/>
        <w:rPr>
          <w:sz w:val="22"/>
          <w:szCs w:val="22"/>
        </w:rPr>
      </w:pPr>
      <w:r>
        <w:rPr>
          <w:sz w:val="22"/>
          <w:szCs w:val="22"/>
        </w:rPr>
        <w:t>1.2.1.</w:t>
        <w:tab/>
      </w:r>
      <w:r>
        <w:rPr>
          <w:color w:val="000000"/>
          <w:sz w:val="22"/>
          <w:szCs w:val="22"/>
        </w:rPr>
        <w:t xml:space="preserve">Величина максимальной мощности энергопринимающих устройств, технологически присоединенных в установленном законодательством РФ порядке к электрической сети ТСО, </w:t>
      </w:r>
      <w:r>
        <w:rPr/>
        <w:t>с</w:t>
      </w:r>
      <w:r>
        <w:rPr>
          <w:lang w:val="en-US"/>
        </w:rPr>
        <w:t> </w:t>
      </w:r>
      <w:r>
        <w:rPr/>
        <w:t>распределением</w:t>
      </w:r>
      <w:r>
        <w:rPr>
          <w:color w:val="000000"/>
          <w:sz w:val="22"/>
          <w:szCs w:val="22"/>
        </w:rPr>
        <w:t xml:space="preserve"> указанной величины по каждой точке присоединения указана </w:t>
      </w:r>
      <w:r>
        <w:rPr>
          <w:sz w:val="22"/>
          <w:szCs w:val="22"/>
        </w:rPr>
        <w:t>в Приложении №</w:t>
      </w:r>
      <w:r>
        <w:rPr>
          <w:sz w:val="22"/>
          <w:szCs w:val="22"/>
          <w:lang w:val="en-US"/>
        </w:rPr>
        <w:t> </w:t>
      </w:r>
      <w:r>
        <w:rPr>
          <w:sz w:val="22"/>
          <w:szCs w:val="22"/>
        </w:rPr>
        <w:t>2.</w:t>
      </w:r>
    </w:p>
    <w:p>
      <w:pPr>
        <w:pStyle w:val="Normal"/>
        <w:widowControl w:val="false"/>
        <w:tabs>
          <w:tab w:val="left" w:pos="0" w:leader="none"/>
          <w:tab w:val="left" w:pos="567" w:leader="none"/>
        </w:tabs>
        <w:spacing w:before="0" w:after="0"/>
        <w:ind w:left="0" w:hanging="0"/>
        <w:contextualSpacing/>
        <w:rPr>
          <w:sz w:val="22"/>
          <w:szCs w:val="22"/>
        </w:rPr>
      </w:pPr>
      <w:r>
        <w:rPr>
          <w:sz w:val="22"/>
          <w:szCs w:val="22"/>
        </w:rPr>
        <w:t>1.2.2.</w:t>
        <w:tab/>
        <w:t>Порядок определения размера обязательств ГП по оплате услуг по передаче электрической энергии, включающий:</w:t>
      </w:r>
    </w:p>
    <w:p>
      <w:pPr>
        <w:pStyle w:val="Normal"/>
        <w:widowControl w:val="false"/>
        <w:tabs>
          <w:tab w:val="left" w:pos="0" w:leader="none"/>
          <w:tab w:val="left" w:pos="567" w:leader="none"/>
        </w:tabs>
        <w:spacing w:before="0" w:after="0"/>
        <w:ind w:left="0" w:firstLine="567"/>
        <w:contextualSpacing/>
        <w:rPr>
          <w:sz w:val="22"/>
          <w:szCs w:val="22"/>
        </w:rPr>
      </w:pPr>
      <w:r>
        <w:rPr>
          <w:sz w:val="22"/>
          <w:szCs w:val="22"/>
        </w:rPr>
        <w:t>- сведения об объеме электрической энергии (мощности), используемом для определения размера обязательств, или порядок определения такого объема,</w:t>
      </w:r>
    </w:p>
    <w:p>
      <w:pPr>
        <w:pStyle w:val="Normal"/>
        <w:widowControl w:val="false"/>
        <w:tabs>
          <w:tab w:val="left" w:pos="0" w:leader="none"/>
          <w:tab w:val="left" w:pos="567" w:leader="none"/>
        </w:tabs>
        <w:spacing w:before="0" w:after="0"/>
        <w:ind w:left="0" w:firstLine="567"/>
        <w:contextualSpacing/>
        <w:rPr>
          <w:sz w:val="22"/>
          <w:szCs w:val="22"/>
        </w:rPr>
      </w:pPr>
      <w:r>
        <w:rPr>
          <w:sz w:val="22"/>
          <w:szCs w:val="22"/>
        </w:rPr>
        <w:t xml:space="preserve">- </w:t>
      </w:r>
      <w:r>
        <w:rPr>
          <w:bCs/>
          <w:sz w:val="22"/>
          <w:szCs w:val="22"/>
        </w:rPr>
        <w:t xml:space="preserve">порядок расчета стоимости услуг ТСО по передаче электрической энергии </w:t>
      </w:r>
      <w:r>
        <w:rPr>
          <w:sz w:val="22"/>
          <w:szCs w:val="22"/>
        </w:rPr>
        <w:t>(раздел 5 настоящего договора),</w:t>
      </w:r>
    </w:p>
    <w:p>
      <w:pPr>
        <w:pStyle w:val="Normal"/>
        <w:widowControl w:val="false"/>
        <w:tabs>
          <w:tab w:val="left" w:pos="0" w:leader="none"/>
          <w:tab w:val="left" w:pos="567" w:leader="none"/>
        </w:tabs>
        <w:spacing w:before="0" w:after="0"/>
        <w:ind w:left="0" w:hanging="0"/>
        <w:contextualSpacing/>
        <w:rPr>
          <w:sz w:val="22"/>
          <w:szCs w:val="22"/>
        </w:rPr>
      </w:pPr>
      <w:r>
        <w:rPr>
          <w:sz w:val="22"/>
          <w:szCs w:val="22"/>
        </w:rPr>
        <w:t>1.2.3.</w:t>
        <w:tab/>
      </w:r>
      <w:r>
        <w:rPr>
          <w:color w:val="000000"/>
          <w:sz w:val="22"/>
          <w:szCs w:val="22"/>
        </w:rPr>
        <w:t>Ответственность СТОРОН за состояние и обслуживание объектов электросетевого хозяйства определяется границей балансовой принадлежности, которая фиксируется в актах разграничения балансовой принадлежности электросетей и эксплуатационной ответственности сторон, подписанных ТСО и ПОТРЕБИТЕЛЯМИ ГП, а до составления в установленном порядке акта разграничения балансовой принадлежности электросетей - в точках присоединения энергопринимающего устройства ПОТРЕБИТЕЛЕЙ, в интересах которых заключается настоящий договор, к электрическим сетям ТСО</w:t>
      </w:r>
      <w:r>
        <w:rPr>
          <w:sz w:val="22"/>
          <w:szCs w:val="22"/>
        </w:rPr>
        <w:t>.</w:t>
      </w:r>
    </w:p>
    <w:p>
      <w:pPr>
        <w:pStyle w:val="Normal"/>
        <w:widowControl w:val="false"/>
        <w:tabs>
          <w:tab w:val="left" w:pos="0" w:leader="none"/>
          <w:tab w:val="left" w:pos="567" w:leader="none"/>
        </w:tabs>
        <w:spacing w:before="0" w:after="0"/>
        <w:ind w:left="0" w:hanging="0"/>
        <w:contextualSpacing/>
        <w:rPr>
          <w:sz w:val="22"/>
          <w:szCs w:val="22"/>
        </w:rPr>
      </w:pPr>
      <w:r>
        <w:rPr>
          <w:sz w:val="22"/>
          <w:szCs w:val="22"/>
        </w:rPr>
        <w:t>1.2.4.</w:t>
        <w:tab/>
      </w:r>
      <w:r>
        <w:rPr>
          <w:bCs/>
          <w:sz w:val="22"/>
          <w:szCs w:val="22"/>
        </w:rPr>
        <w:t>Сведения о приборах учета электрической энергии (мощности), установленных на дату заключения договора в отношении энергопринимающих устройств, объектов электроэнергетики и используемых для расчетов по договору, с указанием мест их установки, заводских номеров, даты предыдущей и очередной поверки, межповерочного интервала</w:t>
      </w:r>
      <w:r>
        <w:rPr>
          <w:sz w:val="22"/>
          <w:szCs w:val="22"/>
        </w:rPr>
        <w:t xml:space="preserve"> (Приложение №1),</w:t>
      </w:r>
    </w:p>
    <w:p>
      <w:pPr>
        <w:pStyle w:val="Normal"/>
        <w:widowControl w:val="false"/>
        <w:tabs>
          <w:tab w:val="left" w:pos="0" w:leader="none"/>
          <w:tab w:val="left" w:pos="567" w:leader="none"/>
        </w:tabs>
        <w:spacing w:before="0" w:after="0"/>
        <w:ind w:left="0" w:hanging="0"/>
        <w:contextualSpacing/>
        <w:rPr>
          <w:sz w:val="22"/>
          <w:szCs w:val="22"/>
        </w:rPr>
      </w:pPr>
      <w:r>
        <w:rPr>
          <w:sz w:val="22"/>
          <w:szCs w:val="22"/>
        </w:rPr>
        <w:t>1.2.5.</w:t>
        <w:tab/>
      </w:r>
      <w:r>
        <w:rPr>
          <w:bCs/>
          <w:sz w:val="22"/>
          <w:szCs w:val="22"/>
        </w:rPr>
        <w:t>Обязанность ГП по обеспечению установки и допуску в эксплуатацию приборов учета, соответствующих установленным законодательством РФ требованиям (в отношении энергопринимающих устройств (объектов электроэнергетики), которые на дату заключения договора не оборудованы приборами учета, либо в случае если установленные приборы учета не соответствуют требованиям законодательства Российской Федерации</w:t>
      </w:r>
      <w:r>
        <w:rPr>
          <w:sz w:val="22"/>
          <w:szCs w:val="22"/>
        </w:rPr>
        <w:t xml:space="preserve"> </w:t>
      </w:r>
    </w:p>
    <w:p>
      <w:pPr>
        <w:pStyle w:val="Normal"/>
        <w:widowControl w:val="false"/>
        <w:tabs>
          <w:tab w:val="left" w:pos="0" w:leader="none"/>
          <w:tab w:val="left" w:pos="567" w:leader="none"/>
        </w:tabs>
        <w:spacing w:before="0" w:after="0"/>
        <w:ind w:left="0" w:hanging="0"/>
        <w:contextualSpacing/>
        <w:rPr>
          <w:bCs/>
          <w:sz w:val="22"/>
          <w:szCs w:val="22"/>
        </w:rPr>
      </w:pPr>
      <w:r>
        <w:rPr>
          <w:sz w:val="22"/>
          <w:szCs w:val="22"/>
        </w:rPr>
        <w:t>1.2.6.</w:t>
        <w:tab/>
      </w:r>
      <w:r>
        <w:rPr>
          <w:bCs/>
          <w:sz w:val="22"/>
          <w:szCs w:val="22"/>
        </w:rPr>
        <w:t>Обязанность ГП, энергопринимающие устройства которого подключены к системам противоаварийной и режимной автоматики, по обеспечению эксплуатации принадлежащих ему на праве собственности или ином законном основании систем противоаварийной и режимной автоматики, а также по обеспечению возможности реализации такого воздействия систем противоаварийной и режимной автоматики.</w:t>
      </w:r>
    </w:p>
    <w:p>
      <w:pPr>
        <w:pStyle w:val="Normal"/>
        <w:widowControl w:val="false"/>
        <w:tabs>
          <w:tab w:val="left" w:pos="0" w:leader="none"/>
          <w:tab w:val="left" w:pos="567" w:leader="none"/>
        </w:tabs>
        <w:ind w:left="0" w:hanging="0"/>
        <w:rPr>
          <w:sz w:val="22"/>
          <w:szCs w:val="22"/>
        </w:rPr>
      </w:pPr>
      <w:r>
        <w:rPr>
          <w:sz w:val="22"/>
          <w:szCs w:val="22"/>
        </w:rPr>
        <w:t>1.3.</w:t>
        <w:tab/>
        <w:t>Величина аварийной и технологической брони в отношении отдельных объектов ПОТРЕБИТЕЛЕЙ фиксируется в Актах аварийной и технологической брони.</w:t>
      </w:r>
    </w:p>
    <w:p>
      <w:pPr>
        <w:pStyle w:val="Normal"/>
        <w:widowControl w:val="false"/>
        <w:tabs>
          <w:tab w:val="left" w:pos="0" w:leader="none"/>
          <w:tab w:val="left" w:pos="567" w:leader="none"/>
        </w:tabs>
        <w:ind w:left="0" w:firstLine="567"/>
        <w:rPr>
          <w:sz w:val="22"/>
          <w:szCs w:val="22"/>
        </w:rPr>
      </w:pPr>
      <w:r>
        <w:rPr>
          <w:sz w:val="22"/>
          <w:szCs w:val="22"/>
        </w:rPr>
      </w:r>
    </w:p>
    <w:p>
      <w:pPr>
        <w:pStyle w:val="ListParagraph"/>
        <w:numPr>
          <w:ilvl w:val="0"/>
          <w:numId w:val="1"/>
        </w:numPr>
        <w:tabs>
          <w:tab w:val="left" w:pos="0" w:leader="none"/>
          <w:tab w:val="left" w:pos="567" w:leader="none"/>
          <w:tab w:val="left" w:pos="1200" w:leader="none"/>
        </w:tabs>
        <w:suppressAutoHyphens w:val="true"/>
        <w:jc w:val="center"/>
        <w:rPr>
          <w:b/>
          <w:b/>
          <w:bCs/>
          <w:sz w:val="22"/>
          <w:szCs w:val="22"/>
        </w:rPr>
      </w:pPr>
      <w:r>
        <w:rPr>
          <w:b/>
          <w:bCs/>
          <w:sz w:val="22"/>
          <w:szCs w:val="22"/>
        </w:rPr>
        <w:t>ОБЯЗАННОСТИ И ПРАВА ГАРАНТИРУЮЩЕГО ПОСТАВЩИКА.</w:t>
      </w:r>
    </w:p>
    <w:p>
      <w:pPr>
        <w:pStyle w:val="ListParagraph"/>
        <w:tabs>
          <w:tab w:val="left" w:pos="0" w:leader="none"/>
          <w:tab w:val="left" w:pos="567" w:leader="none"/>
          <w:tab w:val="left" w:pos="1200" w:leader="none"/>
        </w:tabs>
        <w:suppressAutoHyphens w:val="true"/>
        <w:ind w:left="360" w:hanging="0"/>
        <w:rPr>
          <w:b/>
          <w:b/>
          <w:bCs/>
          <w:sz w:val="22"/>
          <w:szCs w:val="22"/>
        </w:rPr>
      </w:pPr>
      <w:r>
        <w:rPr>
          <w:b/>
          <w:bCs/>
          <w:sz w:val="22"/>
          <w:szCs w:val="22"/>
        </w:rPr>
      </w:r>
    </w:p>
    <w:p>
      <w:pPr>
        <w:pStyle w:val="Normal"/>
        <w:tabs>
          <w:tab w:val="left" w:pos="0" w:leader="none"/>
          <w:tab w:val="left" w:pos="567" w:leader="none"/>
        </w:tabs>
        <w:suppressAutoHyphens w:val="true"/>
        <w:ind w:left="0" w:hanging="0"/>
        <w:rPr>
          <w:b/>
          <w:b/>
          <w:bCs/>
          <w:sz w:val="22"/>
          <w:szCs w:val="22"/>
        </w:rPr>
      </w:pPr>
      <w:r>
        <w:rPr>
          <w:b/>
          <w:bCs/>
          <w:sz w:val="22"/>
          <w:szCs w:val="22"/>
        </w:rPr>
        <w:t>2.1.</w:t>
        <w:tab/>
        <w:t>ГАРАНТИРУЮЩИЙ ПОСТАВЩИК обязуется:</w:t>
      </w:r>
    </w:p>
    <w:p>
      <w:pPr>
        <w:pStyle w:val="Normal"/>
        <w:tabs>
          <w:tab w:val="left" w:pos="0" w:leader="none"/>
          <w:tab w:val="left" w:pos="567" w:leader="none"/>
        </w:tabs>
        <w:ind w:left="0" w:hanging="0"/>
        <w:rPr>
          <w:sz w:val="22"/>
          <w:szCs w:val="22"/>
        </w:rPr>
      </w:pPr>
      <w:r>
        <w:rPr>
          <w:sz w:val="22"/>
          <w:szCs w:val="22"/>
        </w:rPr>
        <w:t>2.1.1.</w:t>
        <w:tab/>
        <w:t>Оплачивать услуги ТСО по передаче электрической энергии в размере и сроки, установленные настоящим договором.</w:t>
      </w:r>
    </w:p>
    <w:p>
      <w:pPr>
        <w:pStyle w:val="Normal"/>
        <w:tabs>
          <w:tab w:val="left" w:pos="0" w:leader="none"/>
          <w:tab w:val="left" w:pos="567" w:leader="none"/>
        </w:tabs>
        <w:ind w:left="0" w:hanging="0"/>
        <w:rPr>
          <w:sz w:val="22"/>
          <w:szCs w:val="22"/>
        </w:rPr>
      </w:pPr>
      <w:r>
        <w:rPr>
          <w:sz w:val="22"/>
          <w:szCs w:val="22"/>
        </w:rPr>
        <w:t>2.1.2.</w:t>
        <w:tab/>
        <w:t>Обеспечить исполнение ПОТРЕБИТЕЛЯМИ, в интересах которых заключен настоящий договор, следующих условий:</w:t>
      </w:r>
    </w:p>
    <w:p>
      <w:pPr>
        <w:pStyle w:val="Normal"/>
        <w:tabs>
          <w:tab w:val="left" w:pos="0" w:leader="none"/>
          <w:tab w:val="left" w:pos="567" w:leader="none"/>
        </w:tabs>
        <w:ind w:left="0" w:firstLine="567"/>
        <w:rPr>
          <w:sz w:val="22"/>
          <w:szCs w:val="22"/>
        </w:rPr>
      </w:pPr>
      <w:r>
        <w:rPr>
          <w:color w:val="000000"/>
          <w:sz w:val="22"/>
          <w:szCs w:val="22"/>
        </w:rPr>
        <w:t>а) соблюдать предусмотренный договорами и документами о технологическом присоединении режим потребления электрической энергии (мощности),</w:t>
      </w:r>
    </w:p>
    <w:p>
      <w:pPr>
        <w:pStyle w:val="Normal"/>
        <w:tabs>
          <w:tab w:val="left" w:pos="0" w:leader="none"/>
          <w:tab w:val="left" w:pos="567" w:leader="none"/>
        </w:tabs>
        <w:ind w:left="0" w:firstLine="567"/>
        <w:rPr>
          <w:color w:val="000000"/>
          <w:sz w:val="22"/>
          <w:szCs w:val="22"/>
        </w:rPr>
      </w:pPr>
      <w:bookmarkStart w:id="0" w:name="dst100419"/>
      <w:bookmarkEnd w:id="0"/>
      <w:r>
        <w:rPr>
          <w:color w:val="000000"/>
          <w:sz w:val="22"/>
          <w:szCs w:val="22"/>
        </w:rPr>
        <w:t xml:space="preserve">б) поддерживать в надлежащем техническом состоянии принадлежащие ПОТРЕБИТЕЛЯМ средства релейной защиты и противоаварийной автоматики, приборы учета электрической энергии 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w:t>
      </w:r>
    </w:p>
    <w:p>
      <w:pPr>
        <w:pStyle w:val="Normal"/>
        <w:tabs>
          <w:tab w:val="left" w:pos="0" w:leader="none"/>
          <w:tab w:val="left" w:pos="567" w:leader="none"/>
        </w:tabs>
        <w:ind w:left="0" w:firstLine="567"/>
        <w:rPr>
          <w:color w:val="000000"/>
          <w:sz w:val="22"/>
          <w:szCs w:val="22"/>
        </w:rPr>
      </w:pPr>
      <w:r>
        <w:rPr>
          <w:color w:val="000000"/>
          <w:sz w:val="22"/>
          <w:szCs w:val="22"/>
        </w:rPr>
        <w:t>в) осуществлять эксплуатацию принадлежащих  ПОТРЕБИТЕЛЯМ энергопринимающих устройств в соответствии с правилами технической эксплуатации, техники безопасности и оперативно-диспетчерского управления;</w:t>
      </w:r>
    </w:p>
    <w:p>
      <w:pPr>
        <w:pStyle w:val="Normal"/>
        <w:tabs>
          <w:tab w:val="left" w:pos="0" w:leader="none"/>
          <w:tab w:val="left" w:pos="567" w:leader="none"/>
        </w:tabs>
        <w:ind w:left="0" w:firstLine="567"/>
        <w:rPr>
          <w:color w:val="000000"/>
          <w:sz w:val="22"/>
          <w:szCs w:val="22"/>
        </w:rPr>
      </w:pPr>
      <w:bookmarkStart w:id="1" w:name="dst100420"/>
      <w:bookmarkEnd w:id="1"/>
      <w:r>
        <w:rPr>
          <w:color w:val="000000"/>
          <w:sz w:val="22"/>
          <w:szCs w:val="22"/>
        </w:rPr>
        <w:t>г) соблюдать заданные в установленном порядке ТСО,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pPr>
        <w:pStyle w:val="Normal"/>
        <w:tabs>
          <w:tab w:val="left" w:pos="0" w:leader="none"/>
          <w:tab w:val="left" w:pos="567" w:leader="none"/>
        </w:tabs>
        <w:ind w:left="0" w:firstLine="567"/>
        <w:rPr>
          <w:color w:val="000000"/>
          <w:sz w:val="22"/>
          <w:szCs w:val="22"/>
        </w:rPr>
      </w:pPr>
      <w:bookmarkStart w:id="2" w:name="dst100421"/>
      <w:bookmarkEnd w:id="2"/>
      <w:r>
        <w:rPr>
          <w:color w:val="000000"/>
          <w:sz w:val="22"/>
          <w:szCs w:val="22"/>
        </w:rPr>
        <w:t>д) 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соответствующие техническим регламентам и иным обязательным требованиям, в том числе соблюдать установленные договором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pPr>
        <w:pStyle w:val="Normal"/>
        <w:tabs>
          <w:tab w:val="left" w:pos="0" w:leader="none"/>
          <w:tab w:val="left" w:pos="567" w:leader="none"/>
        </w:tabs>
        <w:ind w:left="0" w:firstLine="567"/>
        <w:rPr>
          <w:color w:val="000000"/>
          <w:sz w:val="22"/>
          <w:szCs w:val="22"/>
        </w:rPr>
      </w:pPr>
      <w:bookmarkStart w:id="3" w:name="dst100988"/>
      <w:bookmarkEnd w:id="3"/>
      <w:r>
        <w:rPr>
          <w:color w:val="000000"/>
          <w:sz w:val="22"/>
          <w:szCs w:val="22"/>
        </w:rPr>
        <w:t>е) выполнять требования ТСО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РФ в качестве основания для введения полного или частичного ограничения режима потребления;</w:t>
      </w:r>
    </w:p>
    <w:p>
      <w:pPr>
        <w:pStyle w:val="Normal"/>
        <w:tabs>
          <w:tab w:val="left" w:pos="0" w:leader="none"/>
          <w:tab w:val="left" w:pos="567" w:leader="none"/>
        </w:tabs>
        <w:ind w:left="0" w:firstLine="567"/>
        <w:rPr>
          <w:color w:val="000000"/>
          <w:sz w:val="22"/>
          <w:szCs w:val="22"/>
        </w:rPr>
      </w:pPr>
      <w:bookmarkStart w:id="4" w:name="dst100423"/>
      <w:bookmarkEnd w:id="4"/>
      <w:r>
        <w:rPr>
          <w:color w:val="000000"/>
          <w:sz w:val="22"/>
          <w:szCs w:val="22"/>
        </w:rPr>
        <w:t>ж) представлять ТСО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p>
    <w:p>
      <w:pPr>
        <w:pStyle w:val="Normal"/>
        <w:tabs>
          <w:tab w:val="left" w:pos="0" w:leader="none"/>
          <w:tab w:val="left" w:pos="567" w:leader="none"/>
        </w:tabs>
        <w:ind w:left="0" w:firstLine="567"/>
        <w:rPr>
          <w:color w:val="000000"/>
          <w:sz w:val="22"/>
          <w:szCs w:val="22"/>
        </w:rPr>
      </w:pPr>
      <w:bookmarkStart w:id="5" w:name="dst100424"/>
      <w:bookmarkEnd w:id="5"/>
      <w:r>
        <w:rPr>
          <w:color w:val="000000"/>
          <w:sz w:val="22"/>
          <w:szCs w:val="22"/>
        </w:rPr>
        <w:t>з) информировать ТСО в установленные договором сроки об аварийных ситуациях на энергетических объектах, плановом, текущем и капитальном ремонте на них;</w:t>
      </w:r>
    </w:p>
    <w:p>
      <w:pPr>
        <w:pStyle w:val="Normal"/>
        <w:tabs>
          <w:tab w:val="left" w:pos="0" w:leader="none"/>
          <w:tab w:val="left" w:pos="567" w:leader="none"/>
        </w:tabs>
        <w:ind w:left="0" w:firstLine="567"/>
        <w:rPr>
          <w:color w:val="000000"/>
          <w:sz w:val="22"/>
          <w:szCs w:val="22"/>
        </w:rPr>
      </w:pPr>
      <w:bookmarkStart w:id="6" w:name="dst100425"/>
      <w:bookmarkEnd w:id="6"/>
      <w:r>
        <w:rPr>
          <w:color w:val="000000"/>
          <w:sz w:val="22"/>
          <w:szCs w:val="22"/>
        </w:rPr>
        <w:t>и) информировать ТСО об объеме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токоприемников ГП, которые могут быть отключены устройствами противоаварийной автоматики;</w:t>
      </w:r>
    </w:p>
    <w:p>
      <w:pPr>
        <w:pStyle w:val="Normal"/>
        <w:tabs>
          <w:tab w:val="left" w:pos="0" w:leader="none"/>
          <w:tab w:val="left" w:pos="567" w:leader="none"/>
        </w:tabs>
        <w:ind w:left="0" w:firstLine="567"/>
        <w:rPr>
          <w:color w:val="000000"/>
          <w:sz w:val="22"/>
          <w:szCs w:val="22"/>
        </w:rPr>
      </w:pPr>
      <w:bookmarkStart w:id="7" w:name="dst100426"/>
      <w:bookmarkEnd w:id="7"/>
      <w:r>
        <w:rPr>
          <w:color w:val="000000"/>
          <w:sz w:val="22"/>
          <w:szCs w:val="22"/>
        </w:rPr>
        <w:t>к) беспрепятственно допускать уполномоченных представителей ТСО в пункты контроля и учета количества и качества переданной электрической энергии в порядке и случаях, установленных договором;</w:t>
      </w:r>
    </w:p>
    <w:p>
      <w:pPr>
        <w:pStyle w:val="Normal"/>
        <w:tabs>
          <w:tab w:val="left" w:pos="0" w:leader="none"/>
          <w:tab w:val="left" w:pos="567" w:leader="none"/>
        </w:tabs>
        <w:ind w:left="0" w:firstLine="567"/>
        <w:rPr>
          <w:color w:val="000000"/>
          <w:sz w:val="22"/>
          <w:szCs w:val="22"/>
        </w:rPr>
      </w:pPr>
      <w:bookmarkStart w:id="8" w:name="dst100989"/>
      <w:bookmarkEnd w:id="8"/>
      <w:r>
        <w:rPr>
          <w:color w:val="000000"/>
          <w:sz w:val="22"/>
          <w:szCs w:val="22"/>
        </w:rPr>
        <w:t>л) обеспечивать соблюдение установленного в договоре в соответствии с законодательством РФ порядка взаимодействия сторон договора в процессе учета электрической энергии (мощности) с использованием приборов учета, в том числе в части:</w:t>
      </w:r>
    </w:p>
    <w:p>
      <w:pPr>
        <w:pStyle w:val="Normal"/>
        <w:tabs>
          <w:tab w:val="left" w:pos="0" w:leader="none"/>
          <w:tab w:val="left" w:pos="567" w:leader="none"/>
        </w:tabs>
        <w:ind w:left="0" w:firstLine="567"/>
        <w:rPr>
          <w:color w:val="000000"/>
          <w:sz w:val="22"/>
          <w:szCs w:val="22"/>
        </w:rPr>
      </w:pPr>
      <w:bookmarkStart w:id="9" w:name="dst100990"/>
      <w:bookmarkEnd w:id="9"/>
      <w:r>
        <w:rPr>
          <w:color w:val="000000"/>
          <w:sz w:val="22"/>
          <w:szCs w:val="22"/>
        </w:rPr>
        <w:t>допуска установленного прибора учета в эксплуатацию;</w:t>
      </w:r>
    </w:p>
    <w:p>
      <w:pPr>
        <w:pStyle w:val="Normal"/>
        <w:tabs>
          <w:tab w:val="left" w:pos="0" w:leader="none"/>
          <w:tab w:val="left" w:pos="567" w:leader="none"/>
        </w:tabs>
        <w:ind w:left="0" w:firstLine="567"/>
        <w:rPr>
          <w:color w:val="000000"/>
          <w:sz w:val="22"/>
          <w:szCs w:val="22"/>
        </w:rPr>
      </w:pPr>
      <w:bookmarkStart w:id="10" w:name="dst100991"/>
      <w:bookmarkEnd w:id="10"/>
      <w:r>
        <w:rPr>
          <w:color w:val="000000"/>
          <w:sz w:val="22"/>
          <w:szCs w:val="22"/>
        </w:rPr>
        <w:t>определения прибора учета, по которому осуществляются расчеты за оказанные услуги по передаче электрической энергии;</w:t>
      </w:r>
    </w:p>
    <w:p>
      <w:pPr>
        <w:pStyle w:val="Normal"/>
        <w:tabs>
          <w:tab w:val="left" w:pos="0" w:leader="none"/>
          <w:tab w:val="left" w:pos="567" w:leader="none"/>
        </w:tabs>
        <w:ind w:left="0" w:firstLine="567"/>
        <w:rPr>
          <w:color w:val="000000"/>
          <w:sz w:val="22"/>
          <w:szCs w:val="22"/>
        </w:rPr>
      </w:pPr>
      <w:bookmarkStart w:id="11" w:name="dst100992"/>
      <w:bookmarkEnd w:id="11"/>
      <w:r>
        <w:rPr>
          <w:color w:val="000000"/>
          <w:sz w:val="22"/>
          <w:szCs w:val="22"/>
        </w:rPr>
        <w:t>эксплуатации прибора учета, в том числе обеспечение поверки прибора учета по истечении установленного для него межповерочного интервала;</w:t>
      </w:r>
    </w:p>
    <w:p>
      <w:pPr>
        <w:pStyle w:val="Normal"/>
        <w:tabs>
          <w:tab w:val="left" w:pos="0" w:leader="none"/>
          <w:tab w:val="left" w:pos="567" w:leader="none"/>
        </w:tabs>
        <w:ind w:left="0" w:firstLine="567"/>
        <w:rPr>
          <w:color w:val="000000"/>
          <w:sz w:val="22"/>
          <w:szCs w:val="22"/>
        </w:rPr>
      </w:pPr>
      <w:bookmarkStart w:id="12" w:name="dst100993"/>
      <w:bookmarkEnd w:id="12"/>
      <w:r>
        <w:rPr>
          <w:color w:val="000000"/>
          <w:sz w:val="22"/>
          <w:szCs w:val="22"/>
        </w:rPr>
        <w:t>восстановления учета в случае выхода из строя или утраты прибора учета, срок которого не может быть более 2 месяцев;</w:t>
      </w:r>
    </w:p>
    <w:p>
      <w:pPr>
        <w:pStyle w:val="Normal"/>
        <w:tabs>
          <w:tab w:val="left" w:pos="0" w:leader="none"/>
          <w:tab w:val="left" w:pos="567" w:leader="none"/>
        </w:tabs>
        <w:ind w:left="0" w:firstLine="567"/>
        <w:rPr>
          <w:color w:val="000000"/>
          <w:sz w:val="22"/>
          <w:szCs w:val="22"/>
        </w:rPr>
      </w:pPr>
      <w:bookmarkStart w:id="13" w:name="dst100994"/>
      <w:bookmarkEnd w:id="13"/>
      <w:r>
        <w:rPr>
          <w:color w:val="000000"/>
          <w:sz w:val="22"/>
          <w:szCs w:val="22"/>
        </w:rPr>
        <w:t>передачи данных приборов учета;</w:t>
      </w:r>
    </w:p>
    <w:p>
      <w:pPr>
        <w:pStyle w:val="Normal"/>
        <w:tabs>
          <w:tab w:val="left" w:pos="0" w:leader="none"/>
          <w:tab w:val="left" w:pos="567" w:leader="none"/>
        </w:tabs>
        <w:ind w:left="0" w:firstLine="567"/>
        <w:rPr>
          <w:color w:val="000000"/>
          <w:sz w:val="22"/>
          <w:szCs w:val="22"/>
        </w:rPr>
      </w:pPr>
      <w:bookmarkStart w:id="14" w:name="dst100995"/>
      <w:bookmarkEnd w:id="14"/>
      <w:r>
        <w:rPr>
          <w:color w:val="000000"/>
          <w:sz w:val="22"/>
          <w:szCs w:val="22"/>
        </w:rPr>
        <w:t>сообщения о выходе прибора учета из эксплуатации;</w:t>
      </w:r>
    </w:p>
    <w:p>
      <w:pPr>
        <w:pStyle w:val="Normal"/>
        <w:tabs>
          <w:tab w:val="left" w:pos="0" w:leader="none"/>
          <w:tab w:val="left" w:pos="567" w:leader="none"/>
        </w:tabs>
        <w:ind w:left="0" w:firstLine="567"/>
        <w:rPr>
          <w:color w:val="000000"/>
          <w:sz w:val="22"/>
          <w:szCs w:val="22"/>
        </w:rPr>
      </w:pPr>
      <w:bookmarkStart w:id="15" w:name="dst100996"/>
      <w:bookmarkEnd w:id="15"/>
      <w:r>
        <w:rPr>
          <w:color w:val="000000"/>
          <w:sz w:val="22"/>
          <w:szCs w:val="22"/>
        </w:rPr>
        <w:t>м)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pPr>
        <w:pStyle w:val="Normal"/>
        <w:tabs>
          <w:tab w:val="left" w:pos="0" w:leader="none"/>
          <w:tab w:val="left" w:pos="567" w:leader="none"/>
        </w:tabs>
        <w:ind w:left="0" w:firstLine="567"/>
        <w:rPr>
          <w:color w:val="000000"/>
          <w:sz w:val="22"/>
          <w:szCs w:val="22"/>
        </w:rPr>
      </w:pPr>
      <w:bookmarkStart w:id="16" w:name="dst100997"/>
      <w:bookmarkEnd w:id="16"/>
      <w:r>
        <w:rPr>
          <w:color w:val="000000"/>
          <w:sz w:val="22"/>
          <w:szCs w:val="22"/>
        </w:rPr>
        <w:t>н) обеспечивать проведение замеров на энергопринимающих устройствах (объектах электроэнергетики), в отношении которых заключен договор, и предоставлять ТСО информацию о результатах проведенных замеров в течение 3 рабочих дней с даты проведения соответствующего замера, кроме случаев наличия у ПОТРЕБИТЕЛЯ системы учета, удаленный доступ к данным которой предоставлен ТСО, при получении от ТСО требования о проведении контрольных или внеочередных замеров с учетом периодичности таких замеров, установленной законодательством РФ об электроэнергетике, в том числе в соответствии с заданием субъекта оперативно-диспетчерского управления в электроэнергетике;</w:t>
      </w:r>
    </w:p>
    <w:p>
      <w:pPr>
        <w:pStyle w:val="Normal"/>
        <w:tabs>
          <w:tab w:val="left" w:pos="0" w:leader="none"/>
          <w:tab w:val="left" w:pos="567" w:leader="none"/>
        </w:tabs>
        <w:ind w:left="0" w:firstLine="567"/>
        <w:rPr>
          <w:color w:val="000000"/>
          <w:sz w:val="22"/>
          <w:szCs w:val="22"/>
        </w:rPr>
      </w:pPr>
      <w:bookmarkStart w:id="17" w:name="dst100998"/>
      <w:bookmarkEnd w:id="17"/>
      <w:r>
        <w:rPr>
          <w:color w:val="000000"/>
          <w:sz w:val="22"/>
          <w:szCs w:val="22"/>
        </w:rPr>
        <w:t>о) обеспечить предоставление проекта акта согласования технологической и (или) аварийной брони в адрес ТСО в течение 30 дней с даты заключения договора, если на эту дату у ПОТРЕБИТЕЛЯ, ограничение режима потребления электрической энергии (мощности) которого может привести к экономическим, экологическим, социальным последствиям отсутствовал акт согласования технологической и (или) аварийной брони, или в течение 30 дней с даты возникновения оснований для изменения такого акта.</w:t>
      </w:r>
    </w:p>
    <w:p>
      <w:pPr>
        <w:pStyle w:val="Normal"/>
        <w:tabs>
          <w:tab w:val="left" w:pos="0" w:leader="none"/>
          <w:tab w:val="left" w:pos="567" w:leader="none"/>
        </w:tabs>
        <w:suppressAutoHyphens w:val="true"/>
        <w:ind w:left="0" w:hanging="0"/>
        <w:rPr>
          <w:bCs/>
          <w:sz w:val="22"/>
          <w:szCs w:val="22"/>
        </w:rPr>
      </w:pPr>
      <w:r>
        <w:rPr>
          <w:bCs/>
          <w:sz w:val="22"/>
          <w:szCs w:val="22"/>
        </w:rPr>
        <w:t>2.1.3. Направлять ТСО копии поступающих ГП жалоб и заявлений ПОТРЕБИТЕЛЕЙ, либо запросов государственных и иных уполномоченных органов по вопросам надежности и качества снабжения электроэнергией ПОТРЕБИТЕЛЕЙ.</w:t>
      </w:r>
    </w:p>
    <w:p>
      <w:pPr>
        <w:pStyle w:val="Normal"/>
        <w:tabs>
          <w:tab w:val="left" w:pos="0" w:leader="none"/>
          <w:tab w:val="left" w:pos="567" w:leader="none"/>
        </w:tabs>
        <w:suppressAutoHyphens w:val="true"/>
        <w:ind w:left="0" w:hanging="0"/>
        <w:rPr>
          <w:bCs/>
          <w:sz w:val="22"/>
          <w:szCs w:val="22"/>
        </w:rPr>
      </w:pPr>
      <w:r>
        <w:rPr>
          <w:bCs/>
          <w:sz w:val="22"/>
          <w:szCs w:val="22"/>
        </w:rPr>
      </w:r>
    </w:p>
    <w:p>
      <w:pPr>
        <w:pStyle w:val="Normal"/>
        <w:tabs>
          <w:tab w:val="left" w:pos="0" w:leader="none"/>
          <w:tab w:val="left" w:pos="567" w:leader="none"/>
        </w:tabs>
        <w:suppressAutoHyphens w:val="true"/>
        <w:ind w:left="0" w:hanging="0"/>
        <w:rPr>
          <w:b/>
          <w:b/>
          <w:bCs/>
          <w:sz w:val="22"/>
          <w:szCs w:val="22"/>
        </w:rPr>
      </w:pPr>
      <w:r>
        <w:rPr>
          <w:b/>
          <w:bCs/>
          <w:sz w:val="22"/>
          <w:szCs w:val="22"/>
        </w:rPr>
        <w:t>2.2.</w:t>
        <w:tab/>
        <w:t>ГАРАНТИРУЮЩИЙ ПОСТАВЩИК имеет право:</w:t>
      </w:r>
    </w:p>
    <w:p>
      <w:pPr>
        <w:pStyle w:val="Normal"/>
        <w:tabs>
          <w:tab w:val="left" w:pos="0" w:leader="none"/>
          <w:tab w:val="left" w:pos="567" w:leader="none"/>
        </w:tabs>
        <w:ind w:left="0" w:hanging="0"/>
        <w:rPr>
          <w:sz w:val="22"/>
          <w:szCs w:val="22"/>
        </w:rPr>
      </w:pPr>
      <w:r>
        <w:rPr>
          <w:sz w:val="22"/>
          <w:szCs w:val="22"/>
        </w:rPr>
        <w:t>2.2.1.</w:t>
        <w:tab/>
        <w:t xml:space="preserve"> Доступа к измерительному комплексу ПОТРЕБИТЕЛЯ, находящегося на территории ТСО, в целях проверки условий его эксплуатации, сохранности и снятия контрольных показаний.</w:t>
      </w:r>
    </w:p>
    <w:p>
      <w:pPr>
        <w:pStyle w:val="Normal"/>
        <w:tabs>
          <w:tab w:val="left" w:pos="0" w:leader="none"/>
          <w:tab w:val="left" w:pos="567" w:leader="none"/>
        </w:tabs>
        <w:ind w:left="0" w:hanging="0"/>
        <w:rPr>
          <w:b/>
          <w:b/>
          <w:sz w:val="22"/>
          <w:szCs w:val="22"/>
        </w:rPr>
      </w:pPr>
      <w:r>
        <w:rPr>
          <w:sz w:val="22"/>
          <w:szCs w:val="22"/>
        </w:rPr>
        <w:t>2.2.2.</w:t>
        <w:tab/>
        <w:t>Беспрепятственного доступа к средствам расчетного учета ТСО в целях проверки их эксплуатации и сохранности не чаще одного раза в месяц, для снятия контрольных показаний.</w:t>
      </w:r>
    </w:p>
    <w:p>
      <w:pPr>
        <w:pStyle w:val="Normal"/>
        <w:tabs>
          <w:tab w:val="left" w:pos="0" w:leader="none"/>
          <w:tab w:val="left" w:pos="567" w:leader="none"/>
        </w:tabs>
        <w:suppressAutoHyphens w:val="true"/>
        <w:ind w:left="0" w:firstLine="567"/>
        <w:jc w:val="center"/>
        <w:rPr>
          <w:b/>
          <w:b/>
          <w:bCs/>
          <w:sz w:val="22"/>
          <w:szCs w:val="22"/>
        </w:rPr>
      </w:pPr>
      <w:r>
        <w:rPr>
          <w:b/>
          <w:bCs/>
          <w:sz w:val="22"/>
          <w:szCs w:val="22"/>
        </w:rPr>
      </w:r>
    </w:p>
    <w:p>
      <w:pPr>
        <w:pStyle w:val="ListParagraph"/>
        <w:numPr>
          <w:ilvl w:val="0"/>
          <w:numId w:val="4"/>
        </w:numPr>
        <w:tabs>
          <w:tab w:val="left" w:pos="0" w:leader="none"/>
          <w:tab w:val="left" w:pos="567" w:leader="none"/>
        </w:tabs>
        <w:suppressAutoHyphens w:val="true"/>
        <w:ind w:left="0" w:hanging="360"/>
        <w:jc w:val="center"/>
        <w:rPr>
          <w:b/>
          <w:b/>
          <w:bCs/>
          <w:sz w:val="22"/>
          <w:szCs w:val="22"/>
        </w:rPr>
      </w:pPr>
      <w:r>
        <w:rPr>
          <w:b/>
          <w:bCs/>
          <w:sz w:val="22"/>
          <w:szCs w:val="22"/>
        </w:rPr>
        <w:t>ОБЯЗАННОСТИ И ПРАВА ТЕРРИТОРИАЛЬНОЙ СЕТЕВОЙ ОРГАНИЗАЦИИ.</w:t>
      </w:r>
    </w:p>
    <w:p>
      <w:pPr>
        <w:pStyle w:val="ListParagraph"/>
        <w:tabs>
          <w:tab w:val="left" w:pos="0" w:leader="none"/>
          <w:tab w:val="left" w:pos="567" w:leader="none"/>
        </w:tabs>
        <w:suppressAutoHyphens w:val="true"/>
        <w:ind w:left="0" w:hanging="0"/>
        <w:rPr>
          <w:b/>
          <w:b/>
          <w:bCs/>
          <w:sz w:val="22"/>
          <w:szCs w:val="22"/>
        </w:rPr>
      </w:pPr>
      <w:r>
        <w:rPr>
          <w:b/>
          <w:bCs/>
          <w:sz w:val="22"/>
          <w:szCs w:val="22"/>
        </w:rPr>
      </w:r>
    </w:p>
    <w:p>
      <w:pPr>
        <w:pStyle w:val="Normal"/>
        <w:tabs>
          <w:tab w:val="left" w:pos="0" w:leader="none"/>
          <w:tab w:val="left" w:pos="567" w:leader="none"/>
        </w:tabs>
        <w:suppressAutoHyphens w:val="true"/>
        <w:ind w:left="0" w:hanging="0"/>
        <w:jc w:val="left"/>
        <w:rPr>
          <w:b/>
          <w:b/>
          <w:bCs/>
          <w:sz w:val="22"/>
          <w:szCs w:val="22"/>
        </w:rPr>
      </w:pPr>
      <w:r>
        <w:rPr>
          <w:b/>
          <w:bCs/>
          <w:sz w:val="22"/>
          <w:szCs w:val="22"/>
        </w:rPr>
        <w:t>3.1.</w:t>
        <w:tab/>
        <w:t>ТСО обязуется:</w:t>
      </w:r>
    </w:p>
    <w:p>
      <w:pPr>
        <w:pStyle w:val="Normal"/>
        <w:tabs>
          <w:tab w:val="left" w:pos="0" w:leader="none"/>
          <w:tab w:val="left" w:pos="567" w:leader="none"/>
        </w:tabs>
        <w:ind w:left="0" w:hanging="0"/>
        <w:rPr>
          <w:color w:val="FF0000"/>
          <w:sz w:val="22"/>
          <w:szCs w:val="22"/>
        </w:rPr>
      </w:pPr>
      <w:r>
        <w:rPr>
          <w:color w:val="000000"/>
          <w:sz w:val="22"/>
          <w:szCs w:val="22"/>
        </w:rPr>
        <w:t>3.1.1.</w:t>
        <w:tab/>
        <w:t>Обеспечить передачу электрической энергии в точке присоединения (поставки) энергопринимающих устройств ПОТРЕБИТЕЛЕЙ, в интересах которого заключен настоящий договор, качество и параметры которой должны соответствовать техническим регламентам с соблюдением величин аварийной и технологической брони.</w:t>
      </w:r>
    </w:p>
    <w:p>
      <w:pPr>
        <w:pStyle w:val="Normal"/>
        <w:tabs>
          <w:tab w:val="left" w:pos="0" w:leader="none"/>
          <w:tab w:val="left" w:pos="567" w:leader="none"/>
        </w:tabs>
        <w:ind w:left="0" w:hanging="0"/>
        <w:rPr>
          <w:color w:val="000000"/>
          <w:sz w:val="22"/>
          <w:szCs w:val="22"/>
        </w:rPr>
      </w:pPr>
      <w:bookmarkStart w:id="18" w:name="dst100429"/>
      <w:bookmarkStart w:id="19" w:name="dst101000"/>
      <w:bookmarkEnd w:id="18"/>
      <w:bookmarkEnd w:id="19"/>
      <w:r>
        <w:rPr>
          <w:color w:val="000000"/>
          <w:sz w:val="22"/>
          <w:szCs w:val="22"/>
        </w:rPr>
        <w:t>3.1.2.</w:t>
        <w:tab/>
        <w:t xml:space="preserve">Осуществлять передачу электрической энергии в соответствии с согласованной категорией надежности энергопринимающих устройств ПОТРЕБИТЕЛЕЙ, в интересах которых заключен настоящий договор, зафиксированной в актах разграничения балансовой принадлежности электросетей и эксплуатационной ответственности сторон. </w:t>
      </w:r>
    </w:p>
    <w:p>
      <w:pPr>
        <w:pStyle w:val="Normal"/>
        <w:tabs>
          <w:tab w:val="left" w:pos="0" w:leader="none"/>
          <w:tab w:val="left" w:pos="567" w:leader="none"/>
        </w:tabs>
        <w:ind w:left="0" w:hanging="0"/>
        <w:rPr/>
      </w:pPr>
      <w:r>
        <w:rPr>
          <w:color w:val="000000"/>
          <w:sz w:val="22"/>
          <w:szCs w:val="22"/>
        </w:rPr>
        <w:t>3.1.3.</w:t>
        <w:tab/>
      </w:r>
      <w:r>
        <w:rPr>
          <w:sz w:val="22"/>
          <w:szCs w:val="22"/>
        </w:rPr>
        <w:t xml:space="preserve">Определять в </w:t>
      </w:r>
      <w:r>
        <w:fldChar w:fldCharType="begin"/>
      </w:r>
      <w:r>
        <w:instrText> HYPERLINK "http://www.consultant.ru/document/cons_doc_LAW_183610/506efdf4eaaad34c0d082ce111d3da12fa893c1c/" \l "dst100010"</w:instrText>
      </w:r>
      <w:r>
        <w:fldChar w:fldCharType="separate"/>
      </w:r>
      <w:r>
        <w:rPr>
          <w:rStyle w:val="Style9"/>
          <w:sz w:val="22"/>
          <w:szCs w:val="22"/>
        </w:rPr>
        <w:t>порядке</w:t>
      </w:r>
      <w:r>
        <w:fldChar w:fldCharType="end"/>
      </w:r>
      <w:r>
        <w:rPr>
          <w:sz w:val="22"/>
          <w:szCs w:val="22"/>
        </w:rPr>
        <w:t>, определяемом Министерством энергетики РФ, значения соотношения потребления активной и реактивной мощности для отдельных энергопринимающих устройств (групп энергопринимающих устройств) ГП. При этом указанные характеристики при присоединении к электрическим сетям напряжением 35 кВ и ниже, устанавливаются ТСО, а при присоединеннии к электрическим сетям напряжением выше 35 кВ, - ТСО совместно с соответствующим субъектом оперативно-диспетчерского управления.</w:t>
      </w:r>
    </w:p>
    <w:p>
      <w:pPr>
        <w:pStyle w:val="Normal"/>
        <w:tabs>
          <w:tab w:val="left" w:pos="0" w:leader="none"/>
          <w:tab w:val="left" w:pos="567" w:leader="none"/>
        </w:tabs>
        <w:ind w:left="0" w:hanging="0"/>
        <w:rPr>
          <w:color w:val="000000"/>
          <w:sz w:val="22"/>
          <w:szCs w:val="22"/>
        </w:rPr>
      </w:pPr>
      <w:bookmarkStart w:id="20" w:name="dst100431"/>
      <w:bookmarkEnd w:id="20"/>
      <w:r>
        <w:rPr>
          <w:color w:val="000000"/>
          <w:sz w:val="22"/>
          <w:szCs w:val="22"/>
        </w:rPr>
        <w:t>3.1.4.</w:t>
        <w:tab/>
        <w:t>В порядке и сроки, установленные договором, информировать ПОТРЕБИТЕЛЕЙ, в интересах которых заключен настоящий договор об аварийных ситуациях в электрических сетях, ремонтных и профилактических работах, влияющих на исполнение обязательств по договору</w:t>
      </w:r>
      <w:r>
        <w:rPr>
          <w:sz w:val="22"/>
          <w:szCs w:val="22"/>
        </w:rPr>
        <w:t xml:space="preserve"> через диспетчерскую службу по телефону 8-800-234-2939</w:t>
      </w:r>
      <w:r>
        <w:rPr>
          <w:color w:val="000000"/>
          <w:sz w:val="22"/>
          <w:szCs w:val="22"/>
        </w:rPr>
        <w:t>.</w:t>
      </w:r>
    </w:p>
    <w:p>
      <w:pPr>
        <w:pStyle w:val="Normal"/>
        <w:tabs>
          <w:tab w:val="left" w:pos="0" w:leader="none"/>
          <w:tab w:val="left" w:pos="567" w:leader="none"/>
        </w:tabs>
        <w:ind w:left="0" w:hanging="0"/>
        <w:rPr>
          <w:color w:val="000000"/>
          <w:sz w:val="22"/>
          <w:szCs w:val="22"/>
        </w:rPr>
      </w:pPr>
      <w:bookmarkStart w:id="21" w:name="dst100432"/>
      <w:bookmarkEnd w:id="21"/>
      <w:r>
        <w:rPr>
          <w:color w:val="000000"/>
          <w:sz w:val="22"/>
          <w:szCs w:val="22"/>
        </w:rPr>
        <w:t>3.1.5.</w:t>
        <w:tab/>
        <w:t>Беспрепятственно допускать уполномоченных представителей ГП и ПОТРЕБИТЕЛЕЙ, в интересах которых заключен настоящий договор, в пункты контроля и учета количества и качества электрической энергии, переданной данным ПОТРЕБИТЕЛЯМ, в порядке и случаях установленным настоящим договором.</w:t>
      </w:r>
    </w:p>
    <w:p>
      <w:pPr>
        <w:pStyle w:val="Normal"/>
        <w:tabs>
          <w:tab w:val="left" w:pos="0" w:leader="none"/>
          <w:tab w:val="left" w:pos="567" w:leader="none"/>
        </w:tabs>
        <w:ind w:left="0" w:firstLine="567"/>
        <w:jc w:val="center"/>
        <w:rPr>
          <w:b/>
          <w:b/>
          <w:sz w:val="22"/>
          <w:szCs w:val="22"/>
        </w:rPr>
      </w:pPr>
      <w:r>
        <w:rPr>
          <w:b/>
          <w:sz w:val="22"/>
          <w:szCs w:val="22"/>
        </w:rPr>
      </w:r>
    </w:p>
    <w:p>
      <w:pPr>
        <w:pStyle w:val="ListParagraph"/>
        <w:numPr>
          <w:ilvl w:val="0"/>
          <w:numId w:val="4"/>
        </w:numPr>
        <w:tabs>
          <w:tab w:val="left" w:pos="0" w:leader="none"/>
          <w:tab w:val="left" w:pos="567" w:leader="none"/>
        </w:tabs>
        <w:jc w:val="center"/>
        <w:rPr>
          <w:b/>
          <w:b/>
          <w:sz w:val="22"/>
          <w:szCs w:val="22"/>
        </w:rPr>
      </w:pPr>
      <w:r>
        <w:rPr>
          <w:b/>
          <w:sz w:val="22"/>
          <w:szCs w:val="22"/>
        </w:rPr>
        <w:t>УЧЕТ ПЕРЕДАННОЙ ЭЛЕКТРОЭНЕРГИИ</w:t>
      </w:r>
    </w:p>
    <w:p>
      <w:pPr>
        <w:pStyle w:val="ListParagraph"/>
        <w:tabs>
          <w:tab w:val="left" w:pos="0" w:leader="none"/>
          <w:tab w:val="left" w:pos="567" w:leader="none"/>
        </w:tabs>
        <w:ind w:left="357" w:hanging="0"/>
        <w:rPr>
          <w:b/>
          <w:b/>
          <w:sz w:val="22"/>
          <w:szCs w:val="22"/>
        </w:rPr>
      </w:pPr>
      <w:r>
        <w:rPr>
          <w:b/>
          <w:sz w:val="22"/>
          <w:szCs w:val="22"/>
        </w:rPr>
      </w:r>
    </w:p>
    <w:p>
      <w:pPr>
        <w:pStyle w:val="Normal"/>
        <w:tabs>
          <w:tab w:val="left" w:pos="0" w:leader="none"/>
          <w:tab w:val="left" w:pos="567" w:leader="none"/>
        </w:tabs>
        <w:ind w:left="0" w:hanging="0"/>
        <w:rPr>
          <w:sz w:val="22"/>
          <w:szCs w:val="22"/>
        </w:rPr>
      </w:pPr>
      <w:r>
        <w:rPr>
          <w:sz w:val="22"/>
          <w:szCs w:val="22"/>
        </w:rPr>
        <w:t>4.1. Объем оказанных услуг определяется на основании:</w:t>
      </w:r>
    </w:p>
    <w:p>
      <w:pPr>
        <w:pStyle w:val="Normal"/>
        <w:tabs>
          <w:tab w:val="left" w:pos="0" w:leader="none"/>
          <w:tab w:val="left" w:pos="567" w:leader="none"/>
        </w:tabs>
        <w:ind w:left="0" w:firstLine="567"/>
        <w:rPr>
          <w:sz w:val="22"/>
          <w:szCs w:val="22"/>
        </w:rPr>
      </w:pPr>
      <w:r>
        <w:rPr>
          <w:sz w:val="22"/>
          <w:szCs w:val="22"/>
        </w:rPr>
        <w:t>- показаний приборов учета, установленных на границе раздела балансовой принадлежности электросетей между ТСО и ПОТРЕБИТЕЛЯМИ ГП,</w:t>
      </w:r>
    </w:p>
    <w:p>
      <w:pPr>
        <w:pStyle w:val="Normal"/>
        <w:tabs>
          <w:tab w:val="left" w:pos="0" w:leader="none"/>
          <w:tab w:val="left" w:pos="567" w:leader="none"/>
        </w:tabs>
        <w:ind w:left="0" w:firstLine="567"/>
        <w:rPr>
          <w:sz w:val="22"/>
          <w:szCs w:val="22"/>
        </w:rPr>
      </w:pPr>
      <w:r>
        <w:rPr>
          <w:sz w:val="22"/>
          <w:szCs w:val="22"/>
        </w:rPr>
        <w:t>- расчетных способов, применяемых в случаях отсутствия у ПОТРЕБИТЕЛЕЙ прибора учета, выхода из строя расчетного прибора учета, недопуска к приборам учета или непредоставления показаний прибора учета,</w:t>
      </w:r>
    </w:p>
    <w:p>
      <w:pPr>
        <w:pStyle w:val="Normal"/>
        <w:tabs>
          <w:tab w:val="left" w:pos="0" w:leader="none"/>
          <w:tab w:val="left" w:pos="567" w:leader="none"/>
        </w:tabs>
        <w:ind w:left="0" w:firstLine="567"/>
        <w:rPr>
          <w:sz w:val="22"/>
          <w:szCs w:val="22"/>
        </w:rPr>
      </w:pPr>
      <w:r>
        <w:rPr>
          <w:sz w:val="22"/>
          <w:szCs w:val="22"/>
        </w:rPr>
        <w:t>- объемов электроэнергии, рассчитанных на основании актов о безучетном потреблении.</w:t>
      </w:r>
    </w:p>
    <w:p>
      <w:pPr>
        <w:pStyle w:val="Normal"/>
        <w:tabs>
          <w:tab w:val="left" w:pos="0" w:leader="none"/>
          <w:tab w:val="left" w:pos="567" w:leader="none"/>
        </w:tabs>
        <w:ind w:left="0" w:firstLine="567"/>
        <w:rPr>
          <w:sz w:val="22"/>
          <w:szCs w:val="22"/>
        </w:rPr>
      </w:pPr>
      <w:r>
        <w:rPr>
          <w:sz w:val="22"/>
          <w:szCs w:val="22"/>
        </w:rPr>
        <w:t xml:space="preserve"> </w:t>
      </w:r>
      <w:r>
        <w:rPr>
          <w:sz w:val="22"/>
          <w:szCs w:val="22"/>
        </w:rPr>
        <w:t>Данные об объемах переданной по настоящему договору электроэнергии ТСО отражает в Акте оказанных услуг по передаче электрической энергии (Приложение№6).</w:t>
      </w:r>
    </w:p>
    <w:p>
      <w:pPr>
        <w:pStyle w:val="Normal"/>
        <w:tabs>
          <w:tab w:val="left" w:pos="0" w:leader="none"/>
          <w:tab w:val="left" w:pos="567" w:leader="none"/>
        </w:tabs>
        <w:ind w:left="0" w:hanging="0"/>
        <w:rPr>
          <w:sz w:val="22"/>
          <w:szCs w:val="22"/>
        </w:rPr>
      </w:pPr>
      <w:r>
        <w:rPr>
          <w:sz w:val="22"/>
          <w:szCs w:val="22"/>
        </w:rPr>
        <w:t>4.2.</w:t>
      </w:r>
      <w:bookmarkStart w:id="22" w:name="dst100771"/>
      <w:bookmarkEnd w:id="22"/>
      <w:r>
        <w:rPr>
          <w:sz w:val="22"/>
          <w:szCs w:val="22"/>
        </w:rPr>
        <w:tab/>
      </w:r>
      <w:r>
        <w:rPr>
          <w:color w:val="000000"/>
          <w:sz w:val="22"/>
          <w:szCs w:val="22"/>
        </w:rPr>
        <w:t xml:space="preserve">В случае если прибор учета расположен не на границе балансовой принадлежности, то объем потребления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до места установки прибора учета. </w:t>
      </w:r>
      <w:r>
        <w:rPr>
          <w:sz w:val="22"/>
          <w:szCs w:val="22"/>
        </w:rPr>
        <w:t>Величина потерь определяется расчетным путем в соответствии с утвержденными методиками.</w:t>
      </w:r>
    </w:p>
    <w:p>
      <w:pPr>
        <w:pStyle w:val="Normal"/>
        <w:tabs>
          <w:tab w:val="left" w:pos="0" w:leader="none"/>
          <w:tab w:val="left" w:pos="567" w:leader="none"/>
        </w:tabs>
        <w:ind w:left="0" w:hanging="0"/>
        <w:rPr>
          <w:color w:val="000000"/>
          <w:sz w:val="22"/>
          <w:szCs w:val="22"/>
        </w:rPr>
      </w:pPr>
      <w:r>
        <w:rPr>
          <w:sz w:val="22"/>
          <w:szCs w:val="22"/>
        </w:rPr>
        <w:t>4.3.</w:t>
      </w:r>
      <w:r>
        <w:rPr>
          <w:color w:val="000000"/>
          <w:sz w:val="22"/>
          <w:szCs w:val="22"/>
        </w:rPr>
        <w:tab/>
        <w:t xml:space="preserve">Учет количества электрической энергии, отпускаемой в сети ПОТРЕБИТЕЛЕЙ производится ежемесячно не позднее последнего числа текущего месяца. </w:t>
      </w:r>
    </w:p>
    <w:p>
      <w:pPr>
        <w:pStyle w:val="Normal"/>
        <w:tabs>
          <w:tab w:val="left" w:pos="0" w:leader="none"/>
          <w:tab w:val="left" w:pos="567" w:leader="none"/>
        </w:tabs>
        <w:ind w:left="0" w:firstLine="567"/>
        <w:rPr>
          <w:sz w:val="22"/>
          <w:szCs w:val="22"/>
        </w:rPr>
      </w:pPr>
      <w:r>
        <w:rPr>
          <w:color w:val="000000"/>
          <w:sz w:val="22"/>
          <w:szCs w:val="22"/>
        </w:rPr>
        <w:t xml:space="preserve">Не позднее 2 (числа) месяца, следующего за расчетным ГП предоставляет в адрес ТСО "Реестр снятия показаний приборов учета" </w:t>
      </w:r>
      <w:r>
        <w:rPr>
          <w:sz w:val="22"/>
          <w:szCs w:val="22"/>
        </w:rPr>
        <w:t xml:space="preserve">(Приложение № 5), расположенных в границах балансовой принадлежности ПОТРЕБИТЕЛЕЙ, который подписывается уполномоченными представителями сторон. </w:t>
      </w:r>
    </w:p>
    <w:p>
      <w:pPr>
        <w:pStyle w:val="Normal"/>
        <w:tabs>
          <w:tab w:val="left" w:pos="0" w:leader="none"/>
          <w:tab w:val="left" w:pos="567" w:leader="none"/>
        </w:tabs>
        <w:ind w:left="0" w:firstLine="567"/>
        <w:rPr>
          <w:color w:val="000000"/>
          <w:sz w:val="22"/>
          <w:szCs w:val="22"/>
        </w:rPr>
      </w:pPr>
      <w:r>
        <w:rPr>
          <w:color w:val="000000"/>
          <w:sz w:val="22"/>
          <w:szCs w:val="22"/>
        </w:rPr>
        <w:t>Перечень приборов учета, принятых в качестве расчетных для учета электроэнергии согласован СТОРОНАМИ в Приложении №1.</w:t>
      </w:r>
    </w:p>
    <w:p>
      <w:pPr>
        <w:pStyle w:val="Normal"/>
        <w:tabs>
          <w:tab w:val="left" w:pos="0" w:leader="none"/>
          <w:tab w:val="left" w:pos="567" w:leader="none"/>
        </w:tabs>
        <w:ind w:left="0" w:firstLine="567"/>
        <w:rPr>
          <w:color w:val="000000"/>
          <w:sz w:val="22"/>
          <w:szCs w:val="22"/>
        </w:rPr>
      </w:pPr>
      <w:r>
        <w:rPr>
          <w:color w:val="000000"/>
          <w:sz w:val="22"/>
          <w:szCs w:val="22"/>
        </w:rPr>
        <w:t xml:space="preserve">При не предоставлении в установленные сроки ГП реестра снятия показаний, ТСО определяет объем оказанных услуг по передаче электрической энергии в отношении тех точек поставки, по которым не представлены копии указанных актов с применением </w:t>
      </w:r>
      <w:r>
        <w:rPr>
          <w:sz w:val="22"/>
          <w:szCs w:val="22"/>
        </w:rPr>
        <w:t>расчетных способов</w:t>
      </w:r>
      <w:r>
        <w:rPr>
          <w:color w:val="000000"/>
          <w:sz w:val="22"/>
          <w:szCs w:val="22"/>
        </w:rPr>
        <w:t>. В отношении многоквартирных домов, не оборудованных коллективными (общедомовыми) приборами учета, ГП передает в ТСО до 5-го числа месяца, следующего за расчетным, в электронном виде и до 10-го числа месяца, следующего за расчетным, в бумажном виде реестр, содержащий данные об объеме потребления электрической энергии в жилых и нежилых помещениях в таких многоквартирных домах и в жилых домах, с разбивкой по каждому жилому и многоквартирному дому.</w:t>
      </w:r>
    </w:p>
    <w:p>
      <w:pPr>
        <w:pStyle w:val="Normal"/>
        <w:tabs>
          <w:tab w:val="left" w:pos="0" w:leader="none"/>
          <w:tab w:val="left" w:pos="567" w:leader="none"/>
        </w:tabs>
        <w:ind w:left="0" w:firstLine="567"/>
        <w:rPr>
          <w:sz w:val="22"/>
          <w:szCs w:val="22"/>
        </w:rPr>
      </w:pPr>
      <w:r>
        <w:rPr>
          <w:sz w:val="22"/>
          <w:szCs w:val="22"/>
        </w:rPr>
      </w:r>
    </w:p>
    <w:p>
      <w:pPr>
        <w:pStyle w:val="ListParagraph"/>
        <w:numPr>
          <w:ilvl w:val="0"/>
          <w:numId w:val="4"/>
        </w:numPr>
        <w:tabs>
          <w:tab w:val="left" w:pos="0" w:leader="none"/>
          <w:tab w:val="left" w:pos="567" w:leader="none"/>
        </w:tabs>
        <w:jc w:val="center"/>
        <w:rPr>
          <w:b/>
          <w:b/>
          <w:sz w:val="22"/>
          <w:szCs w:val="22"/>
        </w:rPr>
      </w:pPr>
      <w:r>
        <w:rPr>
          <w:b/>
          <w:sz w:val="22"/>
          <w:szCs w:val="22"/>
        </w:rPr>
        <w:t>СТОИМОСТЬ И ПОРЯДОК РАСЧЕТОВ ЗА УСЛУГИ ПО ПЕРЕДАЧЕ ЭЛЕКТРИЧЕСКОЙ ЭНЕРГИИ</w:t>
      </w:r>
    </w:p>
    <w:p>
      <w:pPr>
        <w:pStyle w:val="ListParagraph"/>
        <w:tabs>
          <w:tab w:val="left" w:pos="0" w:leader="none"/>
          <w:tab w:val="left" w:pos="567" w:leader="none"/>
        </w:tabs>
        <w:ind w:left="357" w:hanging="0"/>
        <w:rPr>
          <w:b/>
          <w:b/>
          <w:sz w:val="22"/>
          <w:szCs w:val="22"/>
        </w:rPr>
      </w:pPr>
      <w:r>
        <w:rPr>
          <w:b/>
          <w:sz w:val="22"/>
          <w:szCs w:val="22"/>
        </w:rPr>
      </w:r>
    </w:p>
    <w:p>
      <w:pPr>
        <w:pStyle w:val="Normal"/>
        <w:tabs>
          <w:tab w:val="left" w:pos="0" w:leader="none"/>
          <w:tab w:val="left" w:pos="567" w:leader="none"/>
        </w:tabs>
        <w:ind w:left="0" w:hanging="0"/>
        <w:rPr>
          <w:sz w:val="22"/>
          <w:szCs w:val="22"/>
        </w:rPr>
      </w:pPr>
      <w:r>
        <w:rPr>
          <w:sz w:val="22"/>
          <w:szCs w:val="22"/>
        </w:rPr>
        <w:t>5.1.</w:t>
        <w:tab/>
        <w:t>Стоимость услуг по передаче электрической энергии определяется на основании тарифов, устанавливаемых органом государственной власти субъектов РФ в области государственного регулирования тарифов и объема оказанных услуг по передаче электрической энергии.</w:t>
      </w:r>
    </w:p>
    <w:p>
      <w:pPr>
        <w:pStyle w:val="Normal"/>
        <w:tabs>
          <w:tab w:val="left" w:pos="0" w:leader="none"/>
          <w:tab w:val="left" w:pos="567" w:leader="none"/>
        </w:tabs>
        <w:ind w:left="0" w:hanging="0"/>
        <w:rPr>
          <w:sz w:val="22"/>
          <w:szCs w:val="22"/>
        </w:rPr>
      </w:pPr>
      <w:r>
        <w:rPr>
          <w:sz w:val="22"/>
          <w:szCs w:val="22"/>
        </w:rPr>
        <w:t>5.2.</w:t>
        <w:tab/>
        <w:t xml:space="preserve">Изменение тарифов в период действия настоящего договора не требует внесения изменений в договор и вводится в действие со дня вступления в силу соответствующего решения органом государственной власти в области государственного регулирования тарифов. </w:t>
      </w:r>
    </w:p>
    <w:p>
      <w:pPr>
        <w:pStyle w:val="Normal"/>
        <w:tabs>
          <w:tab w:val="left" w:pos="0" w:leader="none"/>
          <w:tab w:val="left" w:pos="567" w:leader="none"/>
        </w:tabs>
        <w:ind w:left="0" w:hanging="0"/>
        <w:rPr>
          <w:sz w:val="22"/>
          <w:szCs w:val="22"/>
        </w:rPr>
      </w:pPr>
      <w:r>
        <w:rPr>
          <w:sz w:val="22"/>
          <w:szCs w:val="22"/>
        </w:rPr>
        <w:t>5.3.</w:t>
        <w:tab/>
        <w:t>Расчетный период по договору устанавливается равный календарному месяцу.</w:t>
      </w:r>
    </w:p>
    <w:p>
      <w:pPr>
        <w:pStyle w:val="Normal"/>
        <w:tabs>
          <w:tab w:val="left" w:pos="0" w:leader="none"/>
          <w:tab w:val="left" w:pos="567" w:leader="none"/>
        </w:tabs>
        <w:ind w:left="0" w:hanging="0"/>
        <w:rPr>
          <w:color w:val="000000"/>
          <w:sz w:val="22"/>
          <w:szCs w:val="22"/>
        </w:rPr>
      </w:pPr>
      <w:r>
        <w:rPr>
          <w:sz w:val="22"/>
          <w:szCs w:val="22"/>
        </w:rPr>
        <w:t>5.4.</w:t>
        <w:tab/>
      </w:r>
      <w:r>
        <w:rPr>
          <w:color w:val="000000"/>
          <w:sz w:val="22"/>
          <w:szCs w:val="22"/>
        </w:rPr>
        <w:t>Оплата услуги по передаче электрической энергии, оказываемой в интересах населения и приравненных к нему категорий потребителей, за исключением исполнителей коммунальной услуги, производится</w:t>
      </w:r>
      <w:bookmarkStart w:id="23" w:name="dst101262"/>
      <w:bookmarkEnd w:id="23"/>
      <w:r>
        <w:rPr>
          <w:color w:val="000000"/>
          <w:sz w:val="22"/>
          <w:szCs w:val="22"/>
        </w:rPr>
        <w:t xml:space="preserve"> до 12-го числа месяца, следующего за расчетным периодом. </w:t>
      </w:r>
    </w:p>
    <w:p>
      <w:pPr>
        <w:pStyle w:val="Normal"/>
        <w:tabs>
          <w:tab w:val="left" w:pos="0" w:leader="none"/>
          <w:tab w:val="left" w:pos="567" w:leader="none"/>
        </w:tabs>
        <w:ind w:left="0" w:firstLine="567"/>
        <w:rPr>
          <w:color w:val="000000"/>
          <w:sz w:val="22"/>
          <w:szCs w:val="22"/>
        </w:rPr>
      </w:pPr>
      <w:r>
        <w:rPr>
          <w:sz w:val="22"/>
          <w:szCs w:val="22"/>
        </w:rPr>
        <w:t xml:space="preserve"> </w:t>
      </w:r>
      <w:r>
        <w:rPr>
          <w:color w:val="000000"/>
          <w:sz w:val="22"/>
          <w:szCs w:val="22"/>
        </w:rPr>
        <w:t>Оплата услуги по передаче электрической энергии, оказываемой в интересах исполнителей коммунальной услуги, производится до 17-го числа месяца, следующего за расчетным периодом.</w:t>
      </w:r>
    </w:p>
    <w:p>
      <w:pPr>
        <w:pStyle w:val="Normal"/>
        <w:tabs>
          <w:tab w:val="left" w:pos="0" w:leader="none"/>
          <w:tab w:val="left" w:pos="567" w:leader="none"/>
        </w:tabs>
        <w:ind w:left="0" w:firstLine="567"/>
        <w:rPr>
          <w:color w:val="000000"/>
          <w:sz w:val="22"/>
          <w:szCs w:val="22"/>
        </w:rPr>
      </w:pPr>
      <w:r>
        <w:rPr>
          <w:color w:val="000000"/>
          <w:sz w:val="22"/>
          <w:szCs w:val="22"/>
        </w:rPr>
        <w:t>Оплата услуги по передаче электрической энергии, оказываемой в интересах прочих потребителей, осуществляется в следующем порядке:</w:t>
      </w:r>
    </w:p>
    <w:p>
      <w:pPr>
        <w:pStyle w:val="Normal"/>
        <w:tabs>
          <w:tab w:val="left" w:pos="0" w:leader="none"/>
          <w:tab w:val="left" w:pos="567" w:leader="none"/>
        </w:tabs>
        <w:ind w:left="0" w:firstLine="567"/>
        <w:rPr>
          <w:color w:val="000000"/>
          <w:sz w:val="22"/>
          <w:szCs w:val="22"/>
        </w:rPr>
      </w:pPr>
      <w:r>
        <w:rPr>
          <w:color w:val="000000"/>
          <w:sz w:val="22"/>
          <w:szCs w:val="22"/>
        </w:rPr>
        <w:t>- 30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12-го числа этого месяца;</w:t>
      </w:r>
    </w:p>
    <w:p>
      <w:pPr>
        <w:pStyle w:val="Normal"/>
        <w:tabs>
          <w:tab w:val="left" w:pos="0" w:leader="none"/>
          <w:tab w:val="left" w:pos="567" w:leader="none"/>
        </w:tabs>
        <w:ind w:left="0" w:firstLine="567"/>
        <w:rPr>
          <w:color w:val="000000"/>
          <w:sz w:val="22"/>
          <w:szCs w:val="22"/>
        </w:rPr>
      </w:pPr>
      <w:r>
        <w:rPr>
          <w:color w:val="000000"/>
          <w:sz w:val="22"/>
          <w:szCs w:val="22"/>
        </w:rPr>
        <w:t>- 40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27-го числа этого месяца.</w:t>
      </w:r>
    </w:p>
    <w:p>
      <w:pPr>
        <w:pStyle w:val="Normal"/>
        <w:tabs>
          <w:tab w:val="left" w:pos="0" w:leader="none"/>
          <w:tab w:val="left" w:pos="567" w:leader="none"/>
        </w:tabs>
        <w:ind w:left="0" w:firstLine="567"/>
        <w:rPr>
          <w:color w:val="000000"/>
          <w:sz w:val="22"/>
          <w:szCs w:val="22"/>
        </w:rPr>
      </w:pPr>
      <w:r>
        <w:rPr>
          <w:color w:val="000000"/>
          <w:sz w:val="22"/>
          <w:szCs w:val="22"/>
        </w:rPr>
        <w:t>Подлежащий оплате объем услуг по передаче электрической энергии в месяце, за который осуществляется оплата, принимается равным объему услуг по передаче электрической энергии за предшествующий расчетный период.</w:t>
      </w:r>
    </w:p>
    <w:p>
      <w:pPr>
        <w:pStyle w:val="Normal"/>
        <w:ind w:left="0" w:firstLine="567"/>
        <w:rPr>
          <w:color w:val="000000"/>
          <w:sz w:val="22"/>
          <w:szCs w:val="22"/>
        </w:rPr>
      </w:pPr>
      <w:r>
        <w:rPr>
          <w:color w:val="000000"/>
          <w:sz w:val="22"/>
          <w:szCs w:val="22"/>
        </w:rPr>
        <w:t>Стоимость объема услуг по передаче электрической энергии, оказываемых в интересах потребителей электрической энергии (мощности) (за исключением населения и приравненных к нему категорий потребителей, включая исполнителей коммунальной услуги), за расчетный период, уменьшенная на величину средств, внесенных в качестве оплаты оказанных услуг по передаче электрической энергии в месяце, за который осуществляется оплата, либо на условиях предоплаты, оплачивается до 20-го числа месяца, следующего за расчетным периодом.</w:t>
      </w:r>
    </w:p>
    <w:p>
      <w:pPr>
        <w:pStyle w:val="Normal"/>
        <w:ind w:left="0" w:firstLine="567"/>
        <w:rPr>
          <w:color w:val="000000"/>
          <w:sz w:val="22"/>
          <w:szCs w:val="22"/>
        </w:rPr>
      </w:pPr>
      <w:bookmarkStart w:id="24" w:name="dst101363"/>
      <w:bookmarkEnd w:id="24"/>
      <w:r>
        <w:rPr>
          <w:color w:val="000000"/>
          <w:sz w:val="22"/>
          <w:szCs w:val="22"/>
        </w:rPr>
        <w:t>Излишне уплаченная за услуги по передаче электрической энергии сумма засчитывается в</w:t>
      </w:r>
      <w:r>
        <w:rPr>
          <w:color w:val="000000"/>
          <w:sz w:val="22"/>
          <w:szCs w:val="22"/>
          <w:lang w:val="en-US"/>
        </w:rPr>
        <w:t> </w:t>
      </w:r>
      <w:r>
        <w:rPr>
          <w:color w:val="000000"/>
          <w:sz w:val="22"/>
          <w:szCs w:val="22"/>
        </w:rPr>
        <w:t>счет платежа, подлежащего уплате за следующий месяц.</w:t>
      </w:r>
    </w:p>
    <w:p>
      <w:pPr>
        <w:pStyle w:val="Normal"/>
        <w:tabs>
          <w:tab w:val="left" w:pos="0" w:leader="none"/>
          <w:tab w:val="left" w:pos="567" w:leader="none"/>
        </w:tabs>
        <w:ind w:left="0" w:firstLine="567"/>
        <w:rPr>
          <w:sz w:val="22"/>
          <w:szCs w:val="22"/>
        </w:rPr>
      </w:pPr>
      <w:r>
        <w:rPr>
          <w:sz w:val="22"/>
          <w:szCs w:val="22"/>
        </w:rPr>
      </w:r>
    </w:p>
    <w:p>
      <w:pPr>
        <w:pStyle w:val="Normal"/>
        <w:keepNext w:val="true"/>
        <w:numPr>
          <w:ilvl w:val="0"/>
          <w:numId w:val="0"/>
        </w:numPr>
        <w:tabs>
          <w:tab w:val="left" w:pos="0" w:leader="none"/>
          <w:tab w:val="left" w:pos="567" w:leader="none"/>
        </w:tabs>
        <w:ind w:left="0" w:firstLine="567"/>
        <w:jc w:val="center"/>
        <w:outlineLvl w:val="1"/>
        <w:rPr>
          <w:b/>
          <w:b/>
          <w:bCs/>
          <w:iCs/>
          <w:sz w:val="22"/>
          <w:szCs w:val="22"/>
        </w:rPr>
      </w:pPr>
      <w:bookmarkStart w:id="25" w:name="_Toc145231905"/>
      <w:bookmarkEnd w:id="25"/>
      <w:r>
        <w:rPr>
          <w:b/>
          <w:bCs/>
          <w:iCs/>
          <w:sz w:val="22"/>
          <w:szCs w:val="22"/>
        </w:rPr>
        <w:t>6.СРОК ДЕЙСТВИЯ ДОГОВОРА</w:t>
      </w:r>
    </w:p>
    <w:p>
      <w:pPr>
        <w:pStyle w:val="Normal"/>
        <w:keepNext w:val="true"/>
        <w:numPr>
          <w:ilvl w:val="0"/>
          <w:numId w:val="0"/>
        </w:numPr>
        <w:tabs>
          <w:tab w:val="left" w:pos="0" w:leader="none"/>
          <w:tab w:val="left" w:pos="567" w:leader="none"/>
        </w:tabs>
        <w:ind w:left="0" w:hanging="0"/>
        <w:outlineLvl w:val="1"/>
        <w:rPr>
          <w:b/>
          <w:b/>
          <w:bCs/>
          <w:iCs/>
          <w:sz w:val="22"/>
          <w:szCs w:val="22"/>
        </w:rPr>
      </w:pPr>
      <w:r>
        <w:rPr>
          <w:b/>
          <w:bCs/>
          <w:iCs/>
          <w:sz w:val="22"/>
          <w:szCs w:val="22"/>
        </w:rPr>
      </w:r>
    </w:p>
    <w:p>
      <w:pPr>
        <w:pStyle w:val="Normal"/>
        <w:keepNext w:val="true"/>
        <w:numPr>
          <w:ilvl w:val="0"/>
          <w:numId w:val="0"/>
        </w:numPr>
        <w:tabs>
          <w:tab w:val="left" w:pos="0" w:leader="none"/>
          <w:tab w:val="left" w:pos="567" w:leader="none"/>
        </w:tabs>
        <w:ind w:left="0" w:hanging="0"/>
        <w:outlineLvl w:val="1"/>
        <w:rPr>
          <w:bCs/>
          <w:iCs/>
          <w:sz w:val="22"/>
          <w:szCs w:val="22"/>
        </w:rPr>
      </w:pPr>
      <w:r>
        <w:rPr>
          <w:bCs/>
          <w:iCs/>
          <w:sz w:val="22"/>
          <w:szCs w:val="22"/>
        </w:rPr>
        <w:t>6.1.</w:t>
        <w:tab/>
        <w:t>Договор вступает в силу с момента его подписания, распространяет свое действия на</w:t>
      </w:r>
      <w:r>
        <w:rPr>
          <w:bCs/>
          <w:iCs/>
          <w:sz w:val="22"/>
          <w:szCs w:val="22"/>
          <w:lang w:val="en-US"/>
        </w:rPr>
        <w:t> </w:t>
      </w:r>
      <w:r>
        <w:rPr>
          <w:bCs/>
          <w:iCs/>
          <w:sz w:val="22"/>
          <w:szCs w:val="22"/>
        </w:rPr>
        <w:t>правоотношения, возникшие с ________ 20__ г. (с момента __________), действует до 31 декабря 20__ г. и считается ежегодно продленным на один календарный год и на тех же условиях, если до окончания срока его действия ни одна из сторон не заявит о его прекращении или</w:t>
      </w:r>
      <w:r>
        <w:rPr>
          <w:bCs/>
          <w:iCs/>
          <w:sz w:val="22"/>
          <w:szCs w:val="22"/>
          <w:lang w:val="en-US"/>
        </w:rPr>
        <w:t> </w:t>
      </w:r>
      <w:r>
        <w:rPr>
          <w:bCs/>
          <w:iCs/>
          <w:sz w:val="22"/>
          <w:szCs w:val="22"/>
        </w:rPr>
        <w:t xml:space="preserve">изменении, либо о заключении нового договора.  </w:t>
      </w:r>
    </w:p>
    <w:p>
      <w:pPr>
        <w:pStyle w:val="Normal"/>
        <w:tabs>
          <w:tab w:val="left" w:pos="0" w:leader="none"/>
          <w:tab w:val="left" w:pos="567" w:leader="none"/>
        </w:tabs>
        <w:ind w:left="0" w:hanging="0"/>
        <w:rPr>
          <w:sz w:val="22"/>
          <w:szCs w:val="22"/>
        </w:rPr>
      </w:pPr>
      <w:r>
        <w:rPr>
          <w:sz w:val="22"/>
          <w:szCs w:val="22"/>
        </w:rPr>
        <w:t>6.2.</w:t>
      </w:r>
      <w:r>
        <w:rPr>
          <w:b/>
          <w:sz w:val="22"/>
          <w:szCs w:val="22"/>
        </w:rPr>
        <w:tab/>
      </w:r>
      <w:r>
        <w:rPr>
          <w:bCs/>
          <w:sz w:val="22"/>
          <w:szCs w:val="22"/>
        </w:rPr>
        <w:t>Предложение об изменении, расторжении настоящего договора, а также о заключении нового договора может быть заявлено СТОРОНОЙ договора не менее чем за тридцать дней до</w:t>
      </w:r>
      <w:r>
        <w:rPr>
          <w:bCs/>
          <w:sz w:val="22"/>
          <w:szCs w:val="22"/>
          <w:lang w:val="en-US"/>
        </w:rPr>
        <w:t> </w:t>
      </w:r>
      <w:r>
        <w:rPr>
          <w:bCs/>
          <w:sz w:val="22"/>
          <w:szCs w:val="22"/>
        </w:rPr>
        <w:t>предлагаемой даты изменения, расторжения или заключения нового договора.</w:t>
      </w:r>
    </w:p>
    <w:p>
      <w:pPr>
        <w:pStyle w:val="Normal"/>
        <w:tabs>
          <w:tab w:val="left" w:pos="0" w:leader="none"/>
          <w:tab w:val="left" w:pos="567" w:leader="none"/>
        </w:tabs>
        <w:ind w:left="0" w:firstLine="567"/>
        <w:rPr>
          <w:sz w:val="22"/>
          <w:szCs w:val="22"/>
        </w:rPr>
      </w:pPr>
      <w:r>
        <w:rPr>
          <w:sz w:val="22"/>
          <w:szCs w:val="22"/>
        </w:rPr>
      </w:r>
    </w:p>
    <w:p>
      <w:pPr>
        <w:pStyle w:val="ListParagraph"/>
        <w:numPr>
          <w:ilvl w:val="0"/>
          <w:numId w:val="4"/>
        </w:numPr>
        <w:tabs>
          <w:tab w:val="left" w:pos="0" w:leader="none"/>
          <w:tab w:val="left" w:pos="567" w:leader="none"/>
        </w:tabs>
        <w:jc w:val="center"/>
        <w:rPr>
          <w:b/>
          <w:b/>
          <w:sz w:val="22"/>
          <w:szCs w:val="22"/>
        </w:rPr>
      </w:pPr>
      <w:bookmarkStart w:id="26" w:name="_Toc145231901"/>
      <w:r>
        <w:rPr>
          <w:b/>
          <w:sz w:val="22"/>
          <w:szCs w:val="22"/>
        </w:rPr>
        <w:t>ПОРЯДОК ПРИОСТАНОВЛЕНИЯ И ВОЗОБНОВЛЕНИЯ ОКАЗАНИЯ УСЛУГ</w:t>
      </w:r>
    </w:p>
    <w:p>
      <w:pPr>
        <w:pStyle w:val="ListParagraph"/>
        <w:tabs>
          <w:tab w:val="left" w:pos="0" w:leader="none"/>
          <w:tab w:val="left" w:pos="567" w:leader="none"/>
        </w:tabs>
        <w:ind w:left="357" w:hanging="0"/>
        <w:rPr>
          <w:b/>
          <w:b/>
          <w:sz w:val="22"/>
          <w:szCs w:val="22"/>
        </w:rPr>
      </w:pPr>
      <w:r>
        <w:rPr>
          <w:b/>
          <w:sz w:val="22"/>
          <w:szCs w:val="22"/>
        </w:rPr>
      </w:r>
    </w:p>
    <w:p>
      <w:pPr>
        <w:pStyle w:val="Normal"/>
        <w:tabs>
          <w:tab w:val="left" w:pos="0" w:leader="none"/>
          <w:tab w:val="left" w:pos="567" w:leader="none"/>
        </w:tabs>
        <w:ind w:left="0" w:hanging="0"/>
        <w:rPr>
          <w:sz w:val="22"/>
          <w:szCs w:val="22"/>
        </w:rPr>
      </w:pPr>
      <w:r>
        <w:rPr>
          <w:sz w:val="22"/>
          <w:szCs w:val="22"/>
        </w:rPr>
        <w:t>7.1.</w:t>
        <w:tab/>
        <w:t>Порядок полного и (или) частичного ограничения режима потребления электрической энергии устанавливается положениями действующего законодательства РФ в сфере электроэнергетики.</w:t>
      </w:r>
    </w:p>
    <w:p>
      <w:pPr>
        <w:pStyle w:val="Normal"/>
        <w:tabs>
          <w:tab w:val="left" w:pos="0" w:leader="none"/>
          <w:tab w:val="left" w:pos="567" w:leader="none"/>
        </w:tabs>
        <w:ind w:left="0" w:hanging="0"/>
        <w:rPr>
          <w:sz w:val="22"/>
          <w:szCs w:val="22"/>
        </w:rPr>
      </w:pPr>
      <w:r>
        <w:rPr>
          <w:sz w:val="22"/>
          <w:szCs w:val="22"/>
        </w:rPr>
        <w:t>7.2.</w:t>
        <w:tab/>
        <w:t>Взаимодействие ГП и ТСО по вопросам введения полного/частичного ограничения и</w:t>
      </w:r>
      <w:r>
        <w:rPr>
          <w:sz w:val="22"/>
          <w:szCs w:val="22"/>
          <w:lang w:val="en-US"/>
        </w:rPr>
        <w:t> </w:t>
      </w:r>
      <w:r>
        <w:rPr>
          <w:sz w:val="22"/>
          <w:szCs w:val="22"/>
        </w:rPr>
        <w:t>возобновления режима потребления электрической энергии осуществляется в соответствии с</w:t>
      </w:r>
      <w:r>
        <w:rPr>
          <w:sz w:val="22"/>
          <w:szCs w:val="22"/>
          <w:lang w:val="en-US"/>
        </w:rPr>
        <w:t> </w:t>
      </w:r>
      <w:r>
        <w:rPr>
          <w:sz w:val="22"/>
          <w:szCs w:val="22"/>
        </w:rPr>
        <w:t>Приложением №</w:t>
      </w:r>
      <w:r>
        <w:rPr>
          <w:sz w:val="22"/>
          <w:szCs w:val="22"/>
          <w:lang w:val="en-US"/>
        </w:rPr>
        <w:t> </w:t>
      </w:r>
      <w:r>
        <w:rPr>
          <w:sz w:val="22"/>
          <w:szCs w:val="22"/>
        </w:rPr>
        <w:t>5 к настоящему договору.</w:t>
      </w:r>
    </w:p>
    <w:p>
      <w:pPr>
        <w:pStyle w:val="Normal"/>
        <w:tabs>
          <w:tab w:val="left" w:pos="0" w:leader="none"/>
          <w:tab w:val="left" w:pos="567" w:leader="none"/>
        </w:tabs>
        <w:ind w:left="0" w:hanging="0"/>
        <w:rPr>
          <w:sz w:val="22"/>
          <w:szCs w:val="22"/>
        </w:rPr>
      </w:pPr>
      <w:r>
        <w:rPr>
          <w:sz w:val="22"/>
          <w:szCs w:val="22"/>
        </w:rPr>
        <w:t>7.3.</w:t>
        <w:tab/>
        <w:t>ТСО приостанавливает оказание услуг по передаче электрической энергии с учетом актов согласования аварийной и технологической брони.</w:t>
      </w:r>
    </w:p>
    <w:p>
      <w:pPr>
        <w:pStyle w:val="Normal"/>
        <w:tabs>
          <w:tab w:val="left" w:pos="0" w:leader="none"/>
          <w:tab w:val="left" w:pos="567" w:leader="none"/>
        </w:tabs>
        <w:ind w:left="0" w:hanging="0"/>
        <w:rPr>
          <w:sz w:val="22"/>
          <w:szCs w:val="22"/>
        </w:rPr>
      </w:pPr>
      <w:r>
        <w:rPr>
          <w:sz w:val="22"/>
          <w:szCs w:val="22"/>
        </w:rPr>
        <w:t>7.4.</w:t>
        <w:tab/>
        <w:t>При ведении в действие графиков аварийного ограничения, в соответствии с которыми ПОТРЕБИТЕЛИ самостоятельно выполняют технические (технологические) мероприятия, обеспечивающие снижение потребления, ТСО не позднее 14 часов суток, предшествующих введению ограничения, уведомляет ПОТРЕБИТЕЛЕЙ  и ГП об объемах и периодах ограничения режима потребления.</w:t>
      </w:r>
    </w:p>
    <w:p>
      <w:pPr>
        <w:pStyle w:val="Normal"/>
        <w:tabs>
          <w:tab w:val="left" w:pos="0" w:leader="none"/>
          <w:tab w:val="left" w:pos="567" w:leader="none"/>
        </w:tabs>
        <w:ind w:left="0" w:firstLine="567"/>
        <w:jc w:val="center"/>
        <w:rPr>
          <w:b/>
          <w:b/>
          <w:sz w:val="22"/>
          <w:szCs w:val="22"/>
        </w:rPr>
      </w:pPr>
      <w:r>
        <w:rPr>
          <w:b/>
          <w:sz w:val="22"/>
          <w:szCs w:val="22"/>
        </w:rPr>
      </w:r>
    </w:p>
    <w:p>
      <w:pPr>
        <w:pStyle w:val="Normal"/>
        <w:tabs>
          <w:tab w:val="left" w:pos="0" w:leader="none"/>
          <w:tab w:val="left" w:pos="567" w:leader="none"/>
        </w:tabs>
        <w:ind w:left="0" w:firstLine="567"/>
        <w:jc w:val="center"/>
        <w:rPr>
          <w:b/>
          <w:b/>
          <w:sz w:val="22"/>
          <w:szCs w:val="22"/>
        </w:rPr>
      </w:pPr>
      <w:bookmarkStart w:id="27" w:name="_Toc145231901"/>
      <w:bookmarkEnd w:id="27"/>
      <w:r>
        <w:rPr>
          <w:b/>
          <w:sz w:val="22"/>
          <w:szCs w:val="22"/>
        </w:rPr>
        <w:t>8.ОТВЕТСТВЕННОСТЬ СТОРОН</w:t>
      </w:r>
    </w:p>
    <w:p>
      <w:pPr>
        <w:pStyle w:val="Normal"/>
        <w:tabs>
          <w:tab w:val="left" w:pos="0" w:leader="none"/>
          <w:tab w:val="left" w:pos="567" w:leader="none"/>
        </w:tabs>
        <w:ind w:left="0" w:hanging="0"/>
        <w:rPr>
          <w:sz w:val="22"/>
          <w:szCs w:val="22"/>
        </w:rPr>
      </w:pPr>
      <w:r>
        <w:rPr>
          <w:sz w:val="22"/>
          <w:szCs w:val="22"/>
        </w:rPr>
        <w:t>8.1.</w:t>
        <w:tab/>
        <w:t>Каждая из СТОРОН при не исполнении или ненадлежащем исполнении обязательств по</w:t>
      </w:r>
      <w:r>
        <w:rPr>
          <w:sz w:val="22"/>
          <w:szCs w:val="22"/>
          <w:lang w:val="en-US"/>
        </w:rPr>
        <w:t> </w:t>
      </w:r>
      <w:r>
        <w:rPr>
          <w:sz w:val="22"/>
          <w:szCs w:val="22"/>
        </w:rPr>
        <w:t>настоящему договору, отвечает за свои действия в соответствии с законодательством РФ.</w:t>
      </w:r>
    </w:p>
    <w:p>
      <w:pPr>
        <w:pStyle w:val="Normal"/>
        <w:tabs>
          <w:tab w:val="left" w:pos="0" w:leader="none"/>
          <w:tab w:val="left" w:pos="567" w:leader="none"/>
        </w:tabs>
        <w:ind w:left="0" w:hanging="0"/>
        <w:rPr>
          <w:sz w:val="22"/>
          <w:szCs w:val="22"/>
        </w:rPr>
      </w:pPr>
      <w:r>
        <w:rPr>
          <w:sz w:val="22"/>
          <w:szCs w:val="22"/>
        </w:rPr>
        <w:t>8.2.</w:t>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w:t>
      </w:r>
      <w:r>
        <w:rPr>
          <w:sz w:val="22"/>
          <w:szCs w:val="22"/>
          <w:lang w:val="en-US"/>
        </w:rPr>
        <w:t> </w:t>
      </w:r>
      <w:r>
        <w:rPr>
          <w:sz w:val="22"/>
          <w:szCs w:val="22"/>
        </w:rPr>
        <w:t>предотвратить.</w:t>
      </w:r>
    </w:p>
    <w:p>
      <w:pPr>
        <w:pStyle w:val="Normal"/>
        <w:tabs>
          <w:tab w:val="left" w:pos="0" w:leader="none"/>
          <w:tab w:val="left" w:pos="567" w:leader="none"/>
        </w:tabs>
        <w:ind w:left="0" w:hanging="0"/>
        <w:rPr>
          <w:sz w:val="22"/>
          <w:szCs w:val="22"/>
        </w:rPr>
      </w:pPr>
      <w:r>
        <w:rPr>
          <w:sz w:val="22"/>
          <w:szCs w:val="22"/>
        </w:rPr>
        <w:t>8.3.</w:t>
        <w:tab/>
        <w:t>При наступлении обстоятельств, указанных в п.8.2. каждая из СТОРОН без промедления в</w:t>
      </w:r>
      <w:r>
        <w:rPr>
          <w:sz w:val="22"/>
          <w:szCs w:val="22"/>
          <w:lang w:val="en-US"/>
        </w:rPr>
        <w:t> </w:t>
      </w:r>
      <w:r>
        <w:rPr>
          <w:sz w:val="22"/>
          <w:szCs w:val="22"/>
        </w:rPr>
        <w:t>течение 10 дней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данному договору.</w:t>
      </w:r>
    </w:p>
    <w:p>
      <w:pPr>
        <w:pStyle w:val="Normal"/>
        <w:tabs>
          <w:tab w:val="left" w:pos="0" w:leader="none"/>
          <w:tab w:val="left" w:pos="567" w:leader="none"/>
        </w:tabs>
        <w:ind w:left="0" w:hanging="0"/>
        <w:rPr>
          <w:i/>
          <w:i/>
          <w:iCs/>
          <w:sz w:val="22"/>
          <w:szCs w:val="22"/>
        </w:rPr>
      </w:pPr>
      <w:r>
        <w:rPr>
          <w:sz w:val="22"/>
          <w:szCs w:val="22"/>
        </w:rPr>
        <w:t>8.4.</w:t>
        <w:tab/>
        <w:t>В случае наступления обстоятельств, предусмотренных п.8.2., срок исполнения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pPr>
        <w:pStyle w:val="Normal"/>
        <w:tabs>
          <w:tab w:val="left" w:pos="0" w:leader="none"/>
          <w:tab w:val="left" w:pos="567" w:leader="none"/>
        </w:tabs>
        <w:ind w:left="0" w:hanging="0"/>
        <w:rPr>
          <w:sz w:val="22"/>
          <w:szCs w:val="22"/>
        </w:rPr>
      </w:pPr>
      <w:r>
        <w:rPr>
          <w:sz w:val="22"/>
          <w:szCs w:val="22"/>
        </w:rPr>
        <w:t>8.5.</w:t>
        <w:tab/>
        <w:t>Все споры и разногласия, возникающие из настоящего договора или в связи с ним, в</w:t>
      </w:r>
      <w:r>
        <w:rPr>
          <w:sz w:val="22"/>
          <w:szCs w:val="22"/>
          <w:lang w:val="en-US"/>
        </w:rPr>
        <w:t> </w:t>
      </w:r>
      <w:r>
        <w:rPr>
          <w:sz w:val="22"/>
          <w:szCs w:val="22"/>
        </w:rPr>
        <w:t>том</w:t>
      </w:r>
      <w:r>
        <w:rPr>
          <w:sz w:val="22"/>
          <w:szCs w:val="22"/>
          <w:lang w:val="en-US"/>
        </w:rPr>
        <w:t> </w:t>
      </w:r>
      <w:r>
        <w:rPr>
          <w:sz w:val="22"/>
          <w:szCs w:val="22"/>
        </w:rPr>
        <w:t>числе касающиеся его заключения, выполнения, нарушения, прекращения разрешаются путем переговоров, а в случае не достижения СТОРОНАМИ соглашения подлежат разрешению в</w:t>
      </w:r>
      <w:r>
        <w:rPr>
          <w:sz w:val="22"/>
          <w:szCs w:val="22"/>
          <w:lang w:val="en-US"/>
        </w:rPr>
        <w:t> </w:t>
      </w:r>
      <w:r>
        <w:rPr>
          <w:sz w:val="22"/>
          <w:szCs w:val="22"/>
        </w:rPr>
        <w:t>Арбитражном суде Камчатского края.</w:t>
      </w:r>
    </w:p>
    <w:p>
      <w:pPr>
        <w:pStyle w:val="Normal"/>
        <w:tabs>
          <w:tab w:val="left" w:pos="0" w:leader="none"/>
          <w:tab w:val="left" w:pos="567" w:leader="none"/>
        </w:tabs>
        <w:ind w:left="0" w:firstLine="567"/>
        <w:rPr>
          <w:sz w:val="22"/>
          <w:szCs w:val="22"/>
        </w:rPr>
      </w:pPr>
      <w:r>
        <w:rPr>
          <w:sz w:val="22"/>
          <w:szCs w:val="22"/>
        </w:rPr>
      </w:r>
    </w:p>
    <w:p>
      <w:pPr>
        <w:pStyle w:val="Normal"/>
        <w:ind w:left="0" w:hanging="0"/>
        <w:jc w:val="center"/>
        <w:rPr>
          <w:b/>
          <w:b/>
          <w:sz w:val="22"/>
          <w:szCs w:val="22"/>
          <w:u w:val="single"/>
        </w:rPr>
      </w:pPr>
      <w:r>
        <w:rPr>
          <w:b/>
          <w:sz w:val="22"/>
          <w:szCs w:val="22"/>
        </w:rPr>
        <w:t xml:space="preserve">9.ПРИЛОЖЕНИЯ К ДОГОВОРУ </w:t>
      </w:r>
      <w:r>
        <w:rPr>
          <w:rStyle w:val="12"/>
          <w:sz w:val="22"/>
          <w:szCs w:val="22"/>
        </w:rPr>
        <w:t xml:space="preserve">№ _________от </w:t>
      </w:r>
      <w:r>
        <w:rPr>
          <w:b/>
          <w:color w:val="3107A9"/>
          <w:sz w:val="22"/>
          <w:szCs w:val="22"/>
        </w:rPr>
        <w:t>_____________</w:t>
      </w:r>
    </w:p>
    <w:p>
      <w:pPr>
        <w:pStyle w:val="Normal"/>
        <w:ind w:left="0" w:hanging="0"/>
        <w:jc w:val="center"/>
        <w:rPr>
          <w:b/>
          <w:b/>
          <w:sz w:val="22"/>
          <w:szCs w:val="22"/>
        </w:rPr>
      </w:pPr>
      <w:r>
        <w:rPr>
          <w:b/>
          <w:sz w:val="22"/>
          <w:szCs w:val="22"/>
        </w:rPr>
      </w:r>
    </w:p>
    <w:p>
      <w:pPr>
        <w:pStyle w:val="Normal"/>
        <w:ind w:left="2160" w:hanging="2160"/>
        <w:jc w:val="left"/>
        <w:rPr>
          <w:iCs/>
          <w:sz w:val="22"/>
          <w:szCs w:val="22"/>
        </w:rPr>
      </w:pPr>
      <w:r>
        <w:rPr>
          <w:b/>
          <w:iCs/>
          <w:sz w:val="22"/>
          <w:szCs w:val="22"/>
        </w:rPr>
        <w:t>Приложение № 1</w:t>
        <w:tab/>
        <w:t xml:space="preserve"> «</w:t>
      </w:r>
      <w:r>
        <w:rPr>
          <w:bCs/>
          <w:sz w:val="22"/>
          <w:szCs w:val="22"/>
        </w:rPr>
        <w:t>Перечень объектов потребления, расположенных на границе балансовой принадлежности (эксплуатационной ответственности) электроустановок и сетей электроснабжения между ТСО и потребителями Гарантирующего поставщика»;</w:t>
      </w:r>
    </w:p>
    <w:p>
      <w:pPr>
        <w:pStyle w:val="Normal"/>
        <w:ind w:left="2160" w:hanging="2160"/>
        <w:rPr>
          <w:iCs/>
          <w:sz w:val="22"/>
          <w:szCs w:val="22"/>
        </w:rPr>
      </w:pPr>
      <w:r>
        <w:rPr>
          <w:b/>
          <w:iCs/>
          <w:sz w:val="22"/>
          <w:szCs w:val="22"/>
        </w:rPr>
        <w:t xml:space="preserve">Приложение № 2 </w:t>
        <w:tab/>
      </w:r>
      <w:r>
        <w:rPr>
          <w:iCs/>
          <w:sz w:val="22"/>
          <w:szCs w:val="22"/>
        </w:rPr>
        <w:t>«</w:t>
      </w:r>
      <w:r>
        <w:rPr>
          <w:bCs/>
          <w:sz w:val="22"/>
          <w:szCs w:val="22"/>
        </w:rPr>
        <w:t>Реестр актов раздела границ балансовой принадлежности и</w:t>
      </w:r>
      <w:r>
        <w:rPr>
          <w:bCs/>
          <w:sz w:val="22"/>
          <w:szCs w:val="22"/>
          <w:lang w:val="en-US"/>
        </w:rPr>
        <w:t> </w:t>
      </w:r>
      <w:r>
        <w:rPr>
          <w:bCs/>
          <w:sz w:val="22"/>
          <w:szCs w:val="22"/>
        </w:rPr>
        <w:t>эксплуатационной ответственности сторон с указанием величины максимальной мощности энергопринимающих устройств</w:t>
      </w:r>
      <w:r>
        <w:rPr>
          <w:sz w:val="22"/>
          <w:szCs w:val="22"/>
        </w:rPr>
        <w:t>»</w:t>
      </w:r>
      <w:r>
        <w:rPr>
          <w:iCs/>
          <w:sz w:val="22"/>
          <w:szCs w:val="22"/>
        </w:rPr>
        <w:t>;</w:t>
      </w:r>
    </w:p>
    <w:p>
      <w:pPr>
        <w:pStyle w:val="Normal"/>
        <w:ind w:left="0" w:hanging="0"/>
        <w:jc w:val="left"/>
        <w:rPr>
          <w:iCs/>
          <w:sz w:val="22"/>
          <w:szCs w:val="22"/>
        </w:rPr>
      </w:pPr>
      <w:r>
        <w:rPr>
          <w:b/>
          <w:iCs/>
          <w:sz w:val="22"/>
          <w:szCs w:val="22"/>
        </w:rPr>
        <w:t>Приложение №</w:t>
      </w:r>
      <w:r>
        <w:rPr>
          <w:b/>
          <w:iCs/>
          <w:sz w:val="22"/>
          <w:szCs w:val="22"/>
          <w:lang w:val="en-US"/>
        </w:rPr>
        <w:t> </w:t>
      </w:r>
      <w:r>
        <w:rPr>
          <w:b/>
          <w:iCs/>
          <w:sz w:val="22"/>
          <w:szCs w:val="22"/>
        </w:rPr>
        <w:t xml:space="preserve">3 </w:t>
        <w:tab/>
      </w:r>
      <w:r>
        <w:rPr>
          <w:bCs/>
          <w:sz w:val="22"/>
          <w:szCs w:val="22"/>
        </w:rPr>
        <w:t xml:space="preserve">«Плановые объемы электрической энергии»; </w:t>
      </w:r>
      <w:r>
        <w:rPr>
          <w:iCs/>
          <w:sz w:val="22"/>
          <w:szCs w:val="22"/>
        </w:rPr>
        <w:t xml:space="preserve"> </w:t>
      </w:r>
    </w:p>
    <w:p>
      <w:pPr>
        <w:pStyle w:val="Normal"/>
        <w:ind w:left="2160" w:hanging="2160"/>
        <w:rPr>
          <w:iCs/>
          <w:sz w:val="22"/>
          <w:szCs w:val="22"/>
        </w:rPr>
      </w:pPr>
      <w:r>
        <w:rPr>
          <w:b/>
          <w:iCs/>
          <w:sz w:val="22"/>
          <w:szCs w:val="22"/>
        </w:rPr>
        <w:t>Приложение № 4</w:t>
      </w:r>
      <w:r>
        <w:rPr>
          <w:iCs/>
          <w:sz w:val="22"/>
          <w:szCs w:val="22"/>
        </w:rPr>
        <w:t xml:space="preserve"> </w:t>
        <w:tab/>
        <w:t>«Регламент взаимодействия ТСО  и ГП по введению полного и (или) частичного ограничения и возобновлению режима потребления электрической энергии»;</w:t>
      </w:r>
    </w:p>
    <w:p>
      <w:pPr>
        <w:pStyle w:val="Normal"/>
        <w:ind w:left="0" w:hanging="0"/>
        <w:rPr>
          <w:iCs/>
          <w:sz w:val="22"/>
          <w:szCs w:val="22"/>
        </w:rPr>
      </w:pPr>
      <w:r>
        <w:rPr>
          <w:b/>
          <w:iCs/>
          <w:sz w:val="22"/>
          <w:szCs w:val="22"/>
        </w:rPr>
        <w:t>Приложение № 5</w:t>
        <w:tab/>
      </w:r>
      <w:r>
        <w:rPr>
          <w:iCs/>
          <w:sz w:val="22"/>
          <w:szCs w:val="22"/>
        </w:rPr>
        <w:t xml:space="preserve"> Форма «Реестр снятия приборов учета»; </w:t>
      </w:r>
    </w:p>
    <w:p>
      <w:pPr>
        <w:pStyle w:val="Normal"/>
        <w:ind w:left="0" w:hanging="0"/>
        <w:rPr>
          <w:iCs/>
          <w:sz w:val="22"/>
          <w:szCs w:val="22"/>
        </w:rPr>
      </w:pPr>
      <w:r>
        <w:rPr>
          <w:b/>
          <w:iCs/>
          <w:sz w:val="22"/>
          <w:szCs w:val="22"/>
        </w:rPr>
        <w:t>Приложение № 6</w:t>
      </w:r>
      <w:r>
        <w:rPr>
          <w:iCs/>
          <w:sz w:val="22"/>
          <w:szCs w:val="22"/>
        </w:rPr>
        <w:t xml:space="preserve"> </w:t>
        <w:tab/>
        <w:t xml:space="preserve">Форма «Акта оказанных услуг»; </w:t>
      </w:r>
    </w:p>
    <w:p>
      <w:pPr>
        <w:pStyle w:val="Normal"/>
        <w:ind w:left="2160" w:hanging="2160"/>
        <w:rPr>
          <w:b/>
          <w:b/>
          <w:iCs/>
          <w:sz w:val="22"/>
          <w:szCs w:val="22"/>
        </w:rPr>
      </w:pPr>
      <w:r>
        <w:rPr>
          <w:b/>
          <w:iCs/>
          <w:sz w:val="22"/>
          <w:szCs w:val="22"/>
        </w:rPr>
        <w:t>Приложение № 7</w:t>
      </w:r>
      <w:r>
        <w:rPr>
          <w:iCs/>
          <w:sz w:val="22"/>
          <w:szCs w:val="22"/>
        </w:rPr>
        <w:t xml:space="preserve"> </w:t>
        <w:tab/>
        <w:t>«Список лиц, ответственных за электрохозяйство, эксплуатацию ПУ, имеющих право ведения оперативных переговоров, принятия претензий, подписания документов».</w:t>
      </w:r>
    </w:p>
    <w:p>
      <w:pPr>
        <w:pStyle w:val="Normal"/>
        <w:spacing w:before="120" w:after="120"/>
        <w:ind w:left="0" w:hanging="0"/>
        <w:jc w:val="center"/>
        <w:rPr>
          <w:b/>
          <w:b/>
          <w:bCs/>
          <w:sz w:val="22"/>
          <w:szCs w:val="22"/>
        </w:rPr>
      </w:pPr>
      <w:r>
        <w:rPr>
          <w:b/>
          <w:bCs/>
          <w:sz w:val="22"/>
          <w:szCs w:val="22"/>
        </w:rPr>
        <w:t xml:space="preserve">10.РЕКВИЗИТЫ СТОРОН ПО ДОГОВОРУ </w:t>
      </w:r>
      <w:r>
        <w:rPr>
          <w:rStyle w:val="12"/>
          <w:color w:val="00000A"/>
          <w:sz w:val="22"/>
          <w:szCs w:val="22"/>
        </w:rPr>
        <w:t xml:space="preserve">№ ____________от </w:t>
      </w:r>
      <w:r>
        <w:rPr>
          <w:b/>
          <w:sz w:val="22"/>
          <w:szCs w:val="22"/>
        </w:rPr>
        <w:t>__________</w:t>
      </w:r>
    </w:p>
    <w:tbl>
      <w:tblPr>
        <w:tblW w:w="9468" w:type="dxa"/>
        <w:jc w:val="left"/>
        <w:tblInd w:w="0" w:type="dxa"/>
        <w:tblBorders/>
        <w:tblCellMar>
          <w:top w:w="0" w:type="dxa"/>
          <w:left w:w="108" w:type="dxa"/>
          <w:bottom w:w="0" w:type="dxa"/>
          <w:right w:w="108" w:type="dxa"/>
        </w:tblCellMar>
        <w:tblLook w:val="01e0" w:noVBand="0" w:noHBand="0" w:lastColumn="1" w:firstColumn="1" w:lastRow="1" w:firstRow="1"/>
      </w:tblPr>
      <w:tblGrid>
        <w:gridCol w:w="4608"/>
        <w:gridCol w:w="4859"/>
      </w:tblGrid>
      <w:tr>
        <w:trPr>
          <w:trHeight w:val="3745" w:hRule="atLeast"/>
        </w:trPr>
        <w:tc>
          <w:tcPr>
            <w:tcW w:w="4608" w:type="dxa"/>
            <w:tcBorders/>
            <w:shd w:fill="auto" w:val="clear"/>
          </w:tcPr>
          <w:p>
            <w:pPr>
              <w:pStyle w:val="Normal"/>
              <w:ind w:left="357" w:right="255" w:firstLine="357"/>
              <w:jc w:val="center"/>
              <w:rPr>
                <w:b/>
                <w:b/>
                <w:sz w:val="22"/>
                <w:szCs w:val="22"/>
              </w:rPr>
            </w:pPr>
            <w:r>
              <w:rPr>
                <w:b/>
                <w:sz w:val="22"/>
                <w:szCs w:val="22"/>
              </w:rPr>
              <w:t>ГАРАНТИРУЮЩИЙ ПОСТАВЩИК</w:t>
            </w:r>
          </w:p>
          <w:p>
            <w:pPr>
              <w:pStyle w:val="Style17"/>
              <w:bidi w:val="0"/>
              <w:spacing w:lineRule="auto" w:line="240"/>
              <w:ind w:left="0" w:right="0" w:hanging="0"/>
              <w:rPr/>
            </w:pPr>
            <w:r>
              <w:rPr>
                <w:b/>
                <w:sz w:val="22"/>
                <w:szCs w:val="22"/>
              </w:rPr>
              <w:t>Публичное акционерное общество энергетики и электрификации «Камчатскэнерго»</w:t>
            </w:r>
          </w:p>
          <w:p>
            <w:pPr>
              <w:pStyle w:val="Style17"/>
              <w:bidi w:val="0"/>
              <w:spacing w:lineRule="auto" w:line="240"/>
              <w:ind w:left="0" w:right="0" w:hanging="0"/>
              <w:rPr/>
            </w:pPr>
            <w:r>
              <w:rPr>
                <w:color w:val="000000"/>
                <w:sz w:val="22"/>
                <w:szCs w:val="22"/>
              </w:rPr>
              <w:t>683000, Камчатский край,</w:t>
            </w:r>
          </w:p>
          <w:p>
            <w:pPr>
              <w:pStyle w:val="Style17"/>
              <w:bidi w:val="0"/>
              <w:spacing w:lineRule="auto" w:line="240"/>
              <w:ind w:left="0" w:right="0" w:hanging="0"/>
              <w:rPr/>
            </w:pPr>
            <w:r>
              <w:rPr>
                <w:color w:val="000000"/>
                <w:sz w:val="22"/>
                <w:szCs w:val="22"/>
              </w:rPr>
              <w:t>г. Петропавловск-Камчатский,</w:t>
            </w:r>
          </w:p>
          <w:p>
            <w:pPr>
              <w:pStyle w:val="Style17"/>
              <w:bidi w:val="0"/>
              <w:spacing w:lineRule="auto" w:line="240"/>
              <w:ind w:left="0" w:right="0" w:hanging="0"/>
              <w:rPr/>
            </w:pPr>
            <w:r>
              <w:rPr>
                <w:color w:val="000000"/>
                <w:sz w:val="22"/>
                <w:szCs w:val="22"/>
              </w:rPr>
              <w:t xml:space="preserve">ул. Набережная, д. 10 </w:t>
            </w:r>
          </w:p>
          <w:p>
            <w:pPr>
              <w:pStyle w:val="Style17"/>
              <w:bidi w:val="0"/>
              <w:spacing w:lineRule="auto" w:line="240"/>
              <w:ind w:left="0" w:right="0" w:hanging="0"/>
              <w:rPr/>
            </w:pPr>
            <w:r>
              <w:rPr>
                <w:color w:val="000000"/>
                <w:sz w:val="22"/>
                <w:szCs w:val="22"/>
              </w:rPr>
              <w:t>ИНН 4100000668</w:t>
            </w:r>
          </w:p>
          <w:p>
            <w:pPr>
              <w:pStyle w:val="Style17"/>
              <w:bidi w:val="0"/>
              <w:spacing w:lineRule="auto" w:line="240"/>
              <w:ind w:left="0" w:right="0" w:hanging="0"/>
              <w:rPr/>
            </w:pPr>
            <w:r>
              <w:rPr>
                <w:color w:val="000000"/>
                <w:sz w:val="22"/>
                <w:szCs w:val="22"/>
              </w:rPr>
              <w:t xml:space="preserve">КПП 410101001 </w:t>
            </w:r>
          </w:p>
          <w:p>
            <w:pPr>
              <w:pStyle w:val="Style17"/>
              <w:bidi w:val="0"/>
              <w:spacing w:lineRule="auto" w:line="240"/>
              <w:ind w:left="0" w:right="0" w:hanging="0"/>
              <w:rPr/>
            </w:pPr>
            <w:r>
              <w:rPr>
                <w:color w:val="000000"/>
                <w:sz w:val="22"/>
                <w:szCs w:val="22"/>
              </w:rPr>
              <w:t>КПП 775050001 поставлено на учет в качестве крупнейшего налогоплательщика с 08.02.2019</w:t>
            </w:r>
          </w:p>
          <w:p>
            <w:pPr>
              <w:pStyle w:val="Style17"/>
              <w:bidi w:val="0"/>
              <w:spacing w:lineRule="auto" w:line="240"/>
              <w:ind w:left="0" w:right="0" w:hanging="0"/>
              <w:rPr/>
            </w:pPr>
            <w:r>
              <w:rPr>
                <w:color w:val="000000"/>
                <w:sz w:val="22"/>
                <w:szCs w:val="22"/>
              </w:rPr>
              <w:t>Код ОКТМО 30701000001</w:t>
            </w:r>
          </w:p>
          <w:p>
            <w:pPr>
              <w:pStyle w:val="Style17"/>
              <w:bidi w:val="0"/>
              <w:spacing w:lineRule="auto" w:line="240"/>
              <w:ind w:left="0" w:right="0" w:hanging="0"/>
              <w:rPr/>
            </w:pPr>
            <w:r>
              <w:rPr>
                <w:color w:val="000000"/>
                <w:sz w:val="22"/>
                <w:szCs w:val="22"/>
              </w:rPr>
              <w:t>ОКПО 00106106</w:t>
            </w:r>
          </w:p>
          <w:p>
            <w:pPr>
              <w:pStyle w:val="Style17"/>
              <w:bidi w:val="0"/>
              <w:spacing w:lineRule="auto" w:line="240"/>
              <w:ind w:left="0" w:right="0" w:hanging="0"/>
              <w:rPr/>
            </w:pPr>
            <w:r>
              <w:rPr>
                <w:color w:val="000000"/>
                <w:sz w:val="22"/>
                <w:szCs w:val="22"/>
              </w:rPr>
              <w:t>дата постановки на учет в ИФНС: 18.01.1994</w:t>
            </w:r>
          </w:p>
          <w:p>
            <w:pPr>
              <w:pStyle w:val="Style17"/>
              <w:bidi w:val="0"/>
              <w:spacing w:lineRule="auto" w:line="240"/>
              <w:ind w:left="0" w:right="0" w:hanging="0"/>
              <w:rPr/>
            </w:pPr>
            <w:r>
              <w:rPr>
                <w:color w:val="000000"/>
                <w:sz w:val="22"/>
                <w:szCs w:val="22"/>
              </w:rPr>
              <w:t>ОО «Дальневосточный» в ФИЛИАЛ «ХАБАРОВСКИЙ»</w:t>
            </w:r>
          </w:p>
          <w:p>
            <w:pPr>
              <w:pStyle w:val="Style17"/>
              <w:bidi w:val="0"/>
              <w:spacing w:lineRule="auto" w:line="240"/>
              <w:ind w:left="0" w:right="0" w:hanging="0"/>
              <w:rPr/>
            </w:pPr>
            <w:r>
              <w:rPr>
                <w:color w:val="000000"/>
                <w:sz w:val="22"/>
                <w:szCs w:val="22"/>
              </w:rPr>
              <w:t>АО «АЛЬФА-БАНК»</w:t>
            </w:r>
          </w:p>
          <w:p>
            <w:pPr>
              <w:pStyle w:val="Style17"/>
              <w:bidi w:val="0"/>
              <w:spacing w:lineRule="auto" w:line="240"/>
              <w:ind w:left="0" w:right="0" w:hanging="0"/>
              <w:rPr/>
            </w:pPr>
            <w:r>
              <w:rPr>
                <w:color w:val="000000"/>
                <w:sz w:val="22"/>
                <w:szCs w:val="22"/>
              </w:rPr>
              <w:t>Р/счет  40702810020020005559</w:t>
              <w:tab/>
            </w:r>
          </w:p>
          <w:p>
            <w:pPr>
              <w:pStyle w:val="Style17"/>
              <w:bidi w:val="0"/>
              <w:spacing w:lineRule="auto" w:line="240"/>
              <w:ind w:left="0" w:right="0" w:hanging="0"/>
              <w:rPr/>
            </w:pPr>
            <w:r>
              <w:rPr>
                <w:color w:val="000000"/>
                <w:sz w:val="22"/>
                <w:szCs w:val="22"/>
              </w:rPr>
              <w:t>К/счет  30101810800000000770</w:t>
            </w:r>
          </w:p>
          <w:p>
            <w:pPr>
              <w:pStyle w:val="Style17"/>
              <w:bidi w:val="0"/>
              <w:spacing w:lineRule="auto" w:line="240"/>
              <w:ind w:left="0" w:right="0" w:hanging="0"/>
              <w:rPr/>
            </w:pPr>
            <w:r>
              <w:rPr>
                <w:color w:val="000000"/>
                <w:sz w:val="22"/>
                <w:szCs w:val="22"/>
              </w:rPr>
              <w:t>БИК  040813770</w:t>
            </w:r>
          </w:p>
          <w:p>
            <w:pPr>
              <w:pStyle w:val="Style17"/>
              <w:bidi w:val="0"/>
              <w:spacing w:lineRule="auto" w:line="240"/>
              <w:ind w:left="0" w:right="0" w:hanging="0"/>
              <w:rPr/>
            </w:pPr>
            <w:r>
              <w:rPr>
                <w:color w:val="000000"/>
                <w:sz w:val="22"/>
                <w:szCs w:val="22"/>
              </w:rPr>
              <w:t xml:space="preserve">E-mail: </w:t>
            </w:r>
            <w:r>
              <w:rPr>
                <w:rStyle w:val="Style9"/>
                <w:sz w:val="22"/>
                <w:szCs w:val="22"/>
              </w:rPr>
              <w:t>kamenergo@rushydro.ru</w:t>
            </w:r>
          </w:p>
          <w:p>
            <w:pPr>
              <w:pStyle w:val="Style17"/>
              <w:bidi w:val="0"/>
              <w:spacing w:lineRule="auto" w:line="240"/>
              <w:ind w:left="0" w:right="0" w:hanging="0"/>
              <w:jc w:val="left"/>
              <w:rPr/>
            </w:pPr>
            <w:bookmarkStart w:id="28" w:name="__DdeLink__1218_587274678"/>
            <w:bookmarkStart w:id="29" w:name="_GoBack"/>
            <w:bookmarkEnd w:id="29"/>
            <w:r>
              <w:rPr>
                <w:rStyle w:val="Style9"/>
                <w:b/>
                <w:iCs/>
                <w:color w:val="000000"/>
                <w:sz w:val="22"/>
                <w:szCs w:val="22"/>
              </w:rPr>
              <w:t xml:space="preserve">Официальный сайт ПАО «Камчатскэнерго»: </w:t>
            </w:r>
            <w:hyperlink r:id="rId3">
              <w:bookmarkEnd w:id="28"/>
              <w:r>
                <w:rPr>
                  <w:rStyle w:val="Style9"/>
                  <w:b/>
                  <w:iCs/>
                  <w:sz w:val="22"/>
                  <w:szCs w:val="22"/>
                </w:rPr>
                <w:t>www.kamenergo.ru</w:t>
              </w:r>
            </w:hyperlink>
          </w:p>
          <w:p>
            <w:pPr>
              <w:pStyle w:val="Normal"/>
              <w:ind w:left="284" w:right="255" w:hanging="0"/>
              <w:rPr/>
            </w:pPr>
            <w:r>
              <w:rPr/>
            </w:r>
          </w:p>
          <w:p>
            <w:pPr>
              <w:pStyle w:val="Normal"/>
              <w:ind w:left="357" w:right="255" w:firstLine="357"/>
              <w:rPr>
                <w:b/>
                <w:b/>
              </w:rPr>
            </w:pPr>
            <w:r>
              <w:rPr>
                <w:b/>
              </w:rPr>
            </w:r>
          </w:p>
        </w:tc>
        <w:tc>
          <w:tcPr>
            <w:tcW w:w="4859" w:type="dxa"/>
            <w:tcBorders/>
            <w:shd w:fill="auto" w:val="clear"/>
          </w:tcPr>
          <w:p>
            <w:pPr>
              <w:pStyle w:val="Normal"/>
              <w:jc w:val="center"/>
              <w:rPr>
                <w:b/>
                <w:b/>
                <w:sz w:val="22"/>
                <w:szCs w:val="22"/>
              </w:rPr>
            </w:pPr>
            <w:r>
              <w:rPr>
                <w:b/>
                <w:sz w:val="22"/>
                <w:szCs w:val="22"/>
              </w:rPr>
              <w:t>ТЕРРИТОРИАЛЬНАЯ СЕТЕВАЯ ОРГАНИЗАЦИЯ</w:t>
            </w:r>
          </w:p>
          <w:p>
            <w:pPr>
              <w:pStyle w:val="Normal"/>
              <w:pBdr>
                <w:bottom w:val="single" w:sz="12" w:space="1" w:color="00000A"/>
              </w:pBdr>
              <w:jc w:val="center"/>
              <w:rPr>
                <w:b/>
                <w:b/>
                <w:sz w:val="24"/>
                <w:szCs w:val="24"/>
              </w:rPr>
            </w:pPr>
            <w:r>
              <w:rPr>
                <w:b/>
                <w:sz w:val="24"/>
                <w:szCs w:val="24"/>
              </w:rPr>
            </w:r>
          </w:p>
          <w:p>
            <w:pPr>
              <w:pStyle w:val="103"/>
              <w:rPr>
                <w:color w:val="00000A"/>
              </w:rPr>
            </w:pPr>
            <w:r>
              <w:rPr>
                <w:color w:val="00000A"/>
              </w:rPr>
              <w:t xml:space="preserve"> </w:t>
            </w:r>
            <w:r>
              <w:rPr>
                <w:color w:val="00000A"/>
              </w:rPr>
              <w:t>(Полное наименование)</w:t>
            </w:r>
          </w:p>
          <w:p>
            <w:pPr>
              <w:pStyle w:val="104"/>
              <w:rPr>
                <w:b/>
                <w:b/>
                <w:color w:val="00000A"/>
              </w:rPr>
            </w:pPr>
            <w:r>
              <w:rPr>
                <w:b/>
                <w:color w:val="00000A"/>
              </w:rPr>
              <w:t>______________________________________________(Краткое наименование потребителя</w:t>
            </w:r>
          </w:p>
          <w:p>
            <w:pPr>
              <w:pStyle w:val="104"/>
              <w:rPr>
                <w:b/>
                <w:b/>
                <w:color w:val="00000A"/>
              </w:rPr>
            </w:pPr>
            <w:r>
              <w:rPr>
                <w:b/>
                <w:color w:val="00000A"/>
              </w:rPr>
              <w:t>______________________________________________ (Юридический адрес)</w:t>
            </w:r>
          </w:p>
          <w:p>
            <w:pPr>
              <w:pStyle w:val="Normal"/>
              <w:ind w:left="0" w:hanging="0"/>
              <w:rPr>
                <w:b/>
                <w:b/>
              </w:rPr>
            </w:pPr>
            <w:r>
              <w:rPr>
                <w:b/>
              </w:rPr>
              <w:t>Фактический адрес</w:t>
            </w:r>
          </w:p>
          <w:p>
            <w:pPr>
              <w:pStyle w:val="Normal"/>
              <w:ind w:left="0" w:hanging="0"/>
              <w:rPr/>
            </w:pPr>
            <w:r>
              <w:rPr/>
              <w:t>Телефон____________________________________</w:t>
            </w:r>
          </w:p>
          <w:p>
            <w:pPr>
              <w:pStyle w:val="Normal"/>
              <w:ind w:left="0" w:hanging="0"/>
              <w:rPr/>
            </w:pPr>
            <w:r>
              <w:rPr/>
              <w:t>Факс_______________________________________</w:t>
            </w:r>
          </w:p>
          <w:p>
            <w:pPr>
              <w:pStyle w:val="Normal"/>
              <w:ind w:left="0" w:hanging="0"/>
              <w:jc w:val="left"/>
              <w:rPr/>
            </w:pPr>
            <w:r>
              <w:rPr/>
              <w:t>ИНН/КПП____________________________________</w:t>
            </w:r>
          </w:p>
          <w:p>
            <w:pPr>
              <w:pStyle w:val="Normal"/>
              <w:ind w:left="0" w:hanging="0"/>
              <w:jc w:val="left"/>
              <w:rPr/>
            </w:pPr>
            <w:r>
              <w:rPr/>
              <w:t>ОКВЭД_______________________________________</w:t>
            </w:r>
          </w:p>
          <w:p>
            <w:pPr>
              <w:pStyle w:val="Normal"/>
              <w:ind w:left="0" w:hanging="0"/>
              <w:jc w:val="left"/>
              <w:rPr/>
            </w:pPr>
            <w:r>
              <w:rPr/>
              <w:t>ОГРН_______________________________________</w:t>
            </w:r>
          </w:p>
          <w:p>
            <w:pPr>
              <w:pStyle w:val="Normal"/>
              <w:ind w:left="0" w:hanging="0"/>
              <w:jc w:val="left"/>
              <w:rPr/>
            </w:pPr>
            <w:r>
              <w:rPr/>
              <w:t>Банк ________________________________________</w:t>
            </w:r>
          </w:p>
          <w:p>
            <w:pPr>
              <w:pStyle w:val="Normal"/>
              <w:ind w:left="0" w:hanging="0"/>
              <w:jc w:val="left"/>
              <w:rPr/>
            </w:pPr>
            <w:r>
              <w:rPr/>
              <w:t>_____________________________________________</w:t>
            </w:r>
          </w:p>
          <w:p>
            <w:pPr>
              <w:pStyle w:val="Normal"/>
              <w:ind w:left="0" w:hanging="0"/>
              <w:jc w:val="left"/>
              <w:rPr/>
            </w:pPr>
            <w:r>
              <w:rPr/>
              <w:t>Р/счет _______________________________________</w:t>
            </w:r>
          </w:p>
          <w:p>
            <w:pPr>
              <w:pStyle w:val="Normal"/>
              <w:ind w:left="0" w:hanging="0"/>
              <w:jc w:val="left"/>
              <w:rPr/>
            </w:pPr>
            <w:r>
              <w:rPr/>
              <w:t>БИК ________________________________________</w:t>
            </w:r>
          </w:p>
          <w:p>
            <w:pPr>
              <w:pStyle w:val="Normal"/>
              <w:ind w:left="0" w:hanging="0"/>
              <w:jc w:val="left"/>
              <w:rPr/>
            </w:pPr>
            <w:r>
              <w:rPr/>
              <w:t>Режим системы налогообложения_______________</w:t>
            </w:r>
          </w:p>
          <w:p>
            <w:pPr>
              <w:pStyle w:val="Normal"/>
              <w:rPr>
                <w:b/>
                <w:b/>
              </w:rPr>
            </w:pPr>
            <w:r>
              <w:rPr>
                <w:b/>
              </w:rPr>
            </w:r>
          </w:p>
        </w:tc>
      </w:tr>
      <w:tr>
        <w:trPr>
          <w:trHeight w:val="675" w:hRule="atLeast"/>
        </w:trPr>
        <w:tc>
          <w:tcPr>
            <w:tcW w:w="4608" w:type="dxa"/>
            <w:tcBorders/>
            <w:shd w:fill="auto" w:val="clear"/>
          </w:tcPr>
          <w:p>
            <w:pPr>
              <w:pStyle w:val="Normal"/>
              <w:ind w:left="0" w:right="255" w:hanging="0"/>
              <w:rPr>
                <w:b/>
                <w:b/>
                <w:sz w:val="24"/>
                <w:szCs w:val="24"/>
              </w:rPr>
            </w:pPr>
            <w:r>
              <w:rPr>
                <w:b/>
                <w:sz w:val="24"/>
                <w:szCs w:val="24"/>
              </w:rPr>
              <w:t>_______________________А. З. Жосан</w:t>
            </w:r>
          </w:p>
          <w:p>
            <w:pPr>
              <w:pStyle w:val="Normal"/>
              <w:ind w:left="0" w:right="255" w:hanging="0"/>
              <w:rPr>
                <w:b/>
                <w:b/>
                <w:sz w:val="24"/>
                <w:szCs w:val="24"/>
              </w:rPr>
            </w:pPr>
            <w:r>
              <w:rPr>
                <w:b/>
                <w:sz w:val="24"/>
                <w:szCs w:val="24"/>
              </w:rPr>
              <w:t>м.п.</w:t>
            </w:r>
          </w:p>
          <w:p>
            <w:pPr>
              <w:pStyle w:val="Normal"/>
              <w:ind w:left="0" w:right="255" w:firstLine="357"/>
              <w:jc w:val="center"/>
              <w:rPr>
                <w:b/>
                <w:b/>
                <w:bCs/>
                <w:sz w:val="24"/>
                <w:szCs w:val="24"/>
              </w:rPr>
            </w:pPr>
            <w:r>
              <w:rPr>
                <w:b/>
                <w:bCs/>
                <w:sz w:val="24"/>
                <w:szCs w:val="24"/>
              </w:rPr>
            </w:r>
          </w:p>
          <w:p>
            <w:pPr>
              <w:pStyle w:val="Normal"/>
              <w:ind w:left="0" w:right="255" w:hanging="0"/>
              <w:rPr>
                <w:b/>
                <w:b/>
                <w:sz w:val="24"/>
                <w:szCs w:val="24"/>
              </w:rPr>
            </w:pPr>
            <w:r>
              <w:rPr>
                <w:b/>
                <w:bCs/>
                <w:sz w:val="24"/>
                <w:szCs w:val="24"/>
              </w:rPr>
              <w:t>«___»______________20____ года</w:t>
            </w:r>
          </w:p>
        </w:tc>
        <w:tc>
          <w:tcPr>
            <w:tcW w:w="4859" w:type="dxa"/>
            <w:tcBorders/>
            <w:shd w:fill="auto" w:val="clear"/>
          </w:tcPr>
          <w:p>
            <w:pPr>
              <w:pStyle w:val="Normal"/>
              <w:ind w:left="0" w:hanging="0"/>
              <w:rPr/>
            </w:pPr>
            <w:r>
              <w:rPr>
                <w:sz w:val="24"/>
                <w:szCs w:val="24"/>
              </w:rPr>
              <w:t>_________________</w:t>
            </w:r>
            <w:r>
              <w:rPr>
                <w:rStyle w:val="125"/>
                <w:sz w:val="24"/>
                <w:szCs w:val="24"/>
              </w:rPr>
              <w:t>/__________________/</w:t>
            </w:r>
          </w:p>
          <w:p>
            <w:pPr>
              <w:pStyle w:val="Normal"/>
              <w:ind w:left="0" w:hanging="0"/>
              <w:rPr>
                <w:b/>
                <w:b/>
                <w:bCs/>
                <w:sz w:val="24"/>
                <w:szCs w:val="24"/>
              </w:rPr>
            </w:pPr>
            <w:r>
              <w:rPr>
                <w:b/>
                <w:bCs/>
                <w:sz w:val="24"/>
                <w:szCs w:val="24"/>
              </w:rPr>
              <w:t>м.п.</w:t>
            </w:r>
          </w:p>
          <w:p>
            <w:pPr>
              <w:pStyle w:val="Normal"/>
              <w:ind w:left="0" w:firstLine="357"/>
              <w:rPr>
                <w:b/>
                <w:b/>
                <w:bCs/>
                <w:sz w:val="24"/>
                <w:szCs w:val="24"/>
              </w:rPr>
            </w:pPr>
            <w:r>
              <w:rPr>
                <w:b/>
                <w:bCs/>
                <w:sz w:val="24"/>
                <w:szCs w:val="24"/>
              </w:rPr>
            </w:r>
          </w:p>
          <w:p>
            <w:pPr>
              <w:pStyle w:val="Normal"/>
              <w:ind w:left="0" w:hanging="0"/>
              <w:rPr>
                <w:b/>
                <w:b/>
                <w:bCs/>
                <w:sz w:val="24"/>
                <w:szCs w:val="24"/>
              </w:rPr>
            </w:pPr>
            <w:r>
              <w:rPr>
                <w:b/>
                <w:bCs/>
                <w:sz w:val="24"/>
                <w:szCs w:val="24"/>
              </w:rPr>
              <w:t>«___»_______________20___ года</w:t>
            </w:r>
          </w:p>
        </w:tc>
      </w:tr>
    </w:tbl>
    <w:p>
      <w:pPr>
        <w:pStyle w:val="Normal"/>
        <w:tabs>
          <w:tab w:val="left" w:pos="1302" w:leader="none"/>
        </w:tabs>
        <w:rPr>
          <w:b/>
          <w:b/>
        </w:rPr>
      </w:pPr>
      <w:r>
        <w:rPr>
          <w:b/>
        </w:rPr>
      </w:r>
    </w:p>
    <w:p>
      <w:pPr>
        <w:pStyle w:val="Normal"/>
        <w:tabs>
          <w:tab w:val="left" w:pos="1302" w:leader="none"/>
        </w:tabs>
        <w:ind w:left="0" w:hanging="0"/>
        <w:rPr/>
      </w:pPr>
      <w:r>
        <w:rPr/>
        <w:t>Инженер по договору _______________</w:t>
      </w:r>
    </w:p>
    <w:p>
      <w:pPr>
        <w:pStyle w:val="Normal"/>
        <w:jc w:val="right"/>
        <w:rPr/>
      </w:pPr>
      <w:r>
        <w:rPr/>
      </w:r>
    </w:p>
    <w:p>
      <w:pPr>
        <w:pStyle w:val="Normal"/>
        <w:jc w:val="right"/>
        <w:rPr/>
      </w:pPr>
      <w:r>
        <w:rPr/>
      </w:r>
    </w:p>
    <w:tbl>
      <w:tblPr>
        <w:tblW w:w="9639" w:type="dxa"/>
        <w:jc w:val="left"/>
        <w:tblInd w:w="109" w:type="dxa"/>
        <w:tblBorders/>
        <w:tblCellMar>
          <w:top w:w="0" w:type="dxa"/>
          <w:left w:w="108" w:type="dxa"/>
          <w:bottom w:w="0" w:type="dxa"/>
          <w:right w:w="108" w:type="dxa"/>
        </w:tblCellMar>
        <w:tblLook w:val="01e0" w:noVBand="0" w:noHBand="0" w:lastColumn="1" w:firstColumn="1" w:lastRow="1" w:firstRow="1"/>
      </w:tblPr>
      <w:tblGrid>
        <w:gridCol w:w="4341"/>
        <w:gridCol w:w="5297"/>
      </w:tblGrid>
      <w:tr>
        <w:trPr>
          <w:trHeight w:val="1391" w:hRule="atLeast"/>
        </w:trPr>
        <w:tc>
          <w:tcPr>
            <w:tcW w:w="4341" w:type="dxa"/>
            <w:tcBorders/>
            <w:shd w:fill="auto" w:val="clear"/>
          </w:tcPr>
          <w:p>
            <w:pPr>
              <w:pStyle w:val="Normal"/>
              <w:widowControl w:val="false"/>
              <w:ind w:left="0" w:right="-766" w:hanging="0"/>
              <w:rPr>
                <w:sz w:val="24"/>
                <w:szCs w:val="24"/>
              </w:rPr>
            </w:pPr>
            <w:r>
              <w:rPr>
                <w:sz w:val="24"/>
                <w:szCs w:val="24"/>
              </w:rPr>
            </w:r>
          </w:p>
        </w:tc>
        <w:tc>
          <w:tcPr>
            <w:tcW w:w="5297" w:type="dxa"/>
            <w:tcBorders/>
            <w:shd w:fill="auto" w:val="clear"/>
          </w:tcPr>
          <w:p>
            <w:pPr>
              <w:pStyle w:val="Normal"/>
              <w:widowControl w:val="false"/>
              <w:tabs>
                <w:tab w:val="left" w:pos="4623" w:leader="none"/>
              </w:tabs>
              <w:ind w:left="0" w:right="459" w:firstLine="1647"/>
              <w:rPr>
                <w:sz w:val="24"/>
                <w:szCs w:val="24"/>
              </w:rPr>
            </w:pPr>
            <w:r>
              <w:rPr>
                <w:sz w:val="24"/>
                <w:szCs w:val="24"/>
              </w:rPr>
            </w:r>
          </w:p>
          <w:p>
            <w:pPr>
              <w:pStyle w:val="Normal"/>
              <w:widowControl w:val="false"/>
              <w:tabs>
                <w:tab w:val="left" w:pos="4623" w:leader="none"/>
              </w:tabs>
              <w:ind w:left="0" w:right="459" w:firstLine="1647"/>
              <w:rPr>
                <w:sz w:val="24"/>
                <w:szCs w:val="24"/>
              </w:rPr>
            </w:pPr>
            <w:r>
              <w:rPr>
                <w:sz w:val="24"/>
                <w:szCs w:val="24"/>
              </w:rPr>
            </w:r>
          </w:p>
          <w:p>
            <w:pPr>
              <w:pStyle w:val="Normal"/>
              <w:widowControl w:val="false"/>
              <w:tabs>
                <w:tab w:val="left" w:pos="4623" w:leader="none"/>
              </w:tabs>
              <w:ind w:left="0" w:right="459" w:firstLine="1647"/>
              <w:rPr>
                <w:sz w:val="24"/>
                <w:szCs w:val="24"/>
              </w:rPr>
            </w:pPr>
            <w:r>
              <w:rPr>
                <w:sz w:val="24"/>
                <w:szCs w:val="24"/>
              </w:rPr>
            </w:r>
          </w:p>
          <w:p>
            <w:pPr>
              <w:pStyle w:val="Normal"/>
              <w:widowControl w:val="false"/>
              <w:tabs>
                <w:tab w:val="left" w:pos="4623" w:leader="none"/>
              </w:tabs>
              <w:ind w:left="0" w:right="459" w:firstLine="1647"/>
              <w:rPr>
                <w:sz w:val="24"/>
                <w:szCs w:val="24"/>
              </w:rPr>
            </w:pPr>
            <w:r>
              <w:rPr>
                <w:sz w:val="24"/>
                <w:szCs w:val="24"/>
              </w:rPr>
            </w:r>
          </w:p>
          <w:p>
            <w:pPr>
              <w:pStyle w:val="Normal"/>
              <w:widowControl w:val="false"/>
              <w:tabs>
                <w:tab w:val="left" w:pos="4623" w:leader="none"/>
              </w:tabs>
              <w:ind w:left="0" w:right="459" w:firstLine="1647"/>
              <w:rPr>
                <w:sz w:val="24"/>
                <w:szCs w:val="24"/>
              </w:rPr>
            </w:pPr>
            <w:r>
              <w:rPr>
                <w:sz w:val="24"/>
                <w:szCs w:val="24"/>
              </w:rPr>
            </w:r>
          </w:p>
          <w:p>
            <w:pPr>
              <w:pStyle w:val="Normal"/>
              <w:widowControl w:val="false"/>
              <w:tabs>
                <w:tab w:val="left" w:pos="4623" w:leader="none"/>
              </w:tabs>
              <w:ind w:left="0" w:right="459" w:firstLine="1647"/>
              <w:rPr>
                <w:sz w:val="24"/>
                <w:szCs w:val="24"/>
              </w:rPr>
            </w:pPr>
            <w:r>
              <w:rPr>
                <w:sz w:val="24"/>
                <w:szCs w:val="24"/>
              </w:rPr>
            </w:r>
          </w:p>
          <w:p>
            <w:pPr>
              <w:pStyle w:val="Normal"/>
              <w:widowControl w:val="false"/>
              <w:tabs>
                <w:tab w:val="left" w:pos="4623" w:leader="none"/>
              </w:tabs>
              <w:ind w:left="0" w:right="459" w:firstLine="1647"/>
              <w:rPr>
                <w:sz w:val="24"/>
                <w:szCs w:val="24"/>
              </w:rPr>
            </w:pPr>
            <w:r>
              <w:rPr>
                <w:sz w:val="24"/>
                <w:szCs w:val="24"/>
              </w:rPr>
            </w:r>
          </w:p>
          <w:p>
            <w:pPr>
              <w:pStyle w:val="Normal"/>
              <w:widowControl w:val="false"/>
              <w:tabs>
                <w:tab w:val="left" w:pos="4623" w:leader="none"/>
              </w:tabs>
              <w:ind w:left="0" w:right="459" w:firstLine="1647"/>
              <w:rPr>
                <w:sz w:val="24"/>
                <w:szCs w:val="24"/>
              </w:rPr>
            </w:pPr>
            <w:r>
              <w:rPr>
                <w:sz w:val="24"/>
                <w:szCs w:val="24"/>
              </w:rPr>
            </w:r>
          </w:p>
          <w:p>
            <w:pPr>
              <w:pStyle w:val="Normal"/>
              <w:widowControl w:val="false"/>
              <w:tabs>
                <w:tab w:val="left" w:pos="4623" w:leader="none"/>
              </w:tabs>
              <w:ind w:left="0" w:right="459" w:firstLine="1647"/>
              <w:rPr>
                <w:sz w:val="24"/>
                <w:szCs w:val="24"/>
              </w:rPr>
            </w:pPr>
            <w:r>
              <w:rPr>
                <w:sz w:val="24"/>
                <w:szCs w:val="24"/>
              </w:rPr>
            </w:r>
          </w:p>
          <w:p>
            <w:pPr>
              <w:pStyle w:val="Normal"/>
              <w:widowControl w:val="false"/>
              <w:tabs>
                <w:tab w:val="left" w:pos="4623" w:leader="none"/>
              </w:tabs>
              <w:ind w:left="0" w:right="459" w:firstLine="1647"/>
              <w:rPr>
                <w:sz w:val="24"/>
                <w:szCs w:val="24"/>
              </w:rPr>
            </w:pPr>
            <w:r>
              <w:rPr>
                <w:sz w:val="24"/>
                <w:szCs w:val="24"/>
              </w:rPr>
            </w:r>
          </w:p>
          <w:p>
            <w:pPr>
              <w:pStyle w:val="Normal"/>
              <w:widowControl w:val="false"/>
              <w:tabs>
                <w:tab w:val="left" w:pos="4623" w:leader="none"/>
              </w:tabs>
              <w:ind w:left="0" w:right="459" w:firstLine="1647"/>
              <w:rPr>
                <w:sz w:val="24"/>
                <w:szCs w:val="24"/>
              </w:rPr>
            </w:pPr>
            <w:r>
              <w:rPr>
                <w:sz w:val="24"/>
                <w:szCs w:val="24"/>
              </w:rPr>
            </w:r>
          </w:p>
          <w:p>
            <w:pPr>
              <w:pStyle w:val="Normal"/>
              <w:widowControl w:val="false"/>
              <w:tabs>
                <w:tab w:val="left" w:pos="4623" w:leader="none"/>
              </w:tabs>
              <w:ind w:left="0" w:right="459" w:firstLine="1647"/>
              <w:rPr>
                <w:sz w:val="24"/>
                <w:szCs w:val="24"/>
              </w:rPr>
            </w:pPr>
            <w:r>
              <w:rPr>
                <w:sz w:val="24"/>
                <w:szCs w:val="24"/>
              </w:rPr>
            </w:r>
          </w:p>
          <w:p>
            <w:pPr>
              <w:pStyle w:val="Normal"/>
              <w:widowControl w:val="false"/>
              <w:tabs>
                <w:tab w:val="left" w:pos="4623" w:leader="none"/>
              </w:tabs>
              <w:ind w:left="0" w:right="459" w:firstLine="1647"/>
              <w:rPr>
                <w:sz w:val="24"/>
                <w:szCs w:val="24"/>
              </w:rPr>
            </w:pPr>
            <w:r>
              <w:rPr>
                <w:sz w:val="24"/>
                <w:szCs w:val="24"/>
              </w:rPr>
            </w:r>
          </w:p>
          <w:p>
            <w:pPr>
              <w:pStyle w:val="Normal"/>
              <w:widowControl w:val="false"/>
              <w:tabs>
                <w:tab w:val="left" w:pos="4623" w:leader="none"/>
              </w:tabs>
              <w:ind w:left="0" w:right="459" w:firstLine="1647"/>
              <w:rPr>
                <w:sz w:val="24"/>
                <w:szCs w:val="24"/>
              </w:rPr>
            </w:pPr>
            <w:r>
              <w:rPr>
                <w:sz w:val="24"/>
                <w:szCs w:val="24"/>
              </w:rPr>
              <w:t xml:space="preserve">ПРИЛОЖЕНИЕ № 4 </w:t>
            </w:r>
          </w:p>
          <w:p>
            <w:pPr>
              <w:pStyle w:val="Normal"/>
              <w:widowControl w:val="false"/>
              <w:ind w:left="0" w:right="317" w:hanging="0"/>
              <w:rPr>
                <w:sz w:val="24"/>
                <w:szCs w:val="24"/>
              </w:rPr>
            </w:pPr>
            <w:r>
              <w:rPr>
                <w:sz w:val="24"/>
                <w:szCs w:val="24"/>
              </w:rPr>
              <w:t>к Договору № ______ о возмездном оказании услуг по передаче электрической энергии</w:t>
            </w:r>
          </w:p>
        </w:tc>
      </w:tr>
    </w:tbl>
    <w:p>
      <w:pPr>
        <w:pStyle w:val="Normal"/>
        <w:widowControl w:val="false"/>
        <w:ind w:left="0" w:right="-766" w:hanging="0"/>
        <w:rPr>
          <w:sz w:val="24"/>
        </w:rPr>
      </w:pPr>
      <w:r>
        <w:rPr>
          <w:sz w:val="24"/>
        </w:rPr>
      </w:r>
    </w:p>
    <w:p>
      <w:pPr>
        <w:pStyle w:val="Normal"/>
        <w:widowControl w:val="false"/>
        <w:ind w:left="0" w:right="21" w:hanging="0"/>
        <w:jc w:val="center"/>
        <w:rPr>
          <w:b/>
          <w:b/>
          <w:sz w:val="24"/>
        </w:rPr>
      </w:pPr>
      <w:r>
        <w:rPr>
          <w:b/>
          <w:sz w:val="24"/>
          <w:szCs w:val="24"/>
        </w:rPr>
        <w:t>РЕГЛАМЕНТ ВЗАИМОДЕЙСТВИЯ ТСО И ГП ПРИ ОГРАНИЧЕНИИ РЕЖИМА ПОТРЕБЛЕНИЯ ЭЛЕКТРОЭНЕРГИИ ПОТРЕБИТЕЛЯМ ГАРАНТИРУЮЩЕГО ПОСТАВЩИКА И ПРИ ВОЗОБНОВЛЕНИИ ИХ ЭЛЕКТРОСНАБЖЕНИЯ</w:t>
      </w:r>
    </w:p>
    <w:p>
      <w:pPr>
        <w:pStyle w:val="Normal"/>
        <w:ind w:left="0" w:hanging="0"/>
        <w:jc w:val="left"/>
        <w:rPr>
          <w:sz w:val="24"/>
          <w:szCs w:val="24"/>
        </w:rPr>
      </w:pPr>
      <w:bookmarkStart w:id="30" w:name="_Toc83635890"/>
      <w:bookmarkStart w:id="31" w:name="_Toc83635890"/>
      <w:bookmarkEnd w:id="31"/>
      <w:r>
        <w:rPr>
          <w:sz w:val="24"/>
          <w:szCs w:val="24"/>
        </w:rPr>
      </w:r>
    </w:p>
    <w:p>
      <w:pPr>
        <w:pStyle w:val="Normal"/>
        <w:numPr>
          <w:ilvl w:val="0"/>
          <w:numId w:val="2"/>
        </w:numPr>
        <w:tabs>
          <w:tab w:val="left" w:pos="0" w:leader="none"/>
        </w:tabs>
        <w:ind w:left="0" w:hanging="0"/>
        <w:rPr>
          <w:sz w:val="24"/>
          <w:szCs w:val="24"/>
        </w:rPr>
      </w:pPr>
      <w:r>
        <w:rPr>
          <w:sz w:val="24"/>
          <w:szCs w:val="24"/>
        </w:rPr>
        <w:t>Настоящий регламент определяет порядок взаимодействия ТСО и ГП при вводе ограничения режима потребления электроэнергии ПОТРЕБИТЕЛЯМ ГП в следующих случаях:</w:t>
      </w:r>
    </w:p>
    <w:p>
      <w:pPr>
        <w:pStyle w:val="Normal"/>
        <w:tabs>
          <w:tab w:val="left" w:pos="0" w:leader="none"/>
        </w:tabs>
        <w:ind w:left="0" w:hanging="0"/>
        <w:rPr>
          <w:sz w:val="24"/>
          <w:szCs w:val="24"/>
        </w:rPr>
      </w:pPr>
      <w:r>
        <w:rPr>
          <w:sz w:val="24"/>
          <w:szCs w:val="24"/>
        </w:rPr>
        <w:t>- по заявке ГП в связи с неисполнением или ненадлежащим исполнением ПОТРЕБИТЕЛЕМ обязательств по оплате, в связи с расторжением договора с Потребителем, по соглашению ГП и ПОТРЕБИТЕЛЯ;</w:t>
      </w:r>
    </w:p>
    <w:p>
      <w:pPr>
        <w:pStyle w:val="Normal"/>
        <w:tabs>
          <w:tab w:val="left" w:pos="0" w:leader="none"/>
        </w:tabs>
        <w:ind w:left="0" w:hanging="0"/>
        <w:rPr>
          <w:sz w:val="24"/>
          <w:szCs w:val="24"/>
        </w:rPr>
      </w:pPr>
      <w:r>
        <w:rPr>
          <w:sz w:val="24"/>
          <w:szCs w:val="24"/>
        </w:rPr>
        <w:t xml:space="preserve">- при возникновении или угрозе возникновения аварии в работе систем электроснабжения ; </w:t>
      </w:r>
    </w:p>
    <w:p>
      <w:pPr>
        <w:pStyle w:val="Normal"/>
        <w:tabs>
          <w:tab w:val="left" w:pos="0" w:leader="none"/>
        </w:tabs>
        <w:ind w:left="0" w:hanging="0"/>
        <w:rPr>
          <w:sz w:val="24"/>
          <w:szCs w:val="24"/>
        </w:rPr>
      </w:pPr>
      <w:r>
        <w:rPr>
          <w:sz w:val="24"/>
          <w:szCs w:val="24"/>
        </w:rPr>
        <w:t>- в связи с необходимостью принятия неотложных мер по предотвращению или ликвидации аварии в работе системы электроснабжения, при угрозе жизни и безопасности людей;</w:t>
      </w:r>
    </w:p>
    <w:p>
      <w:pPr>
        <w:pStyle w:val="Normal"/>
        <w:tabs>
          <w:tab w:val="left" w:pos="0" w:leader="none"/>
        </w:tabs>
        <w:ind w:left="0" w:hanging="0"/>
        <w:rPr>
          <w:sz w:val="24"/>
          <w:szCs w:val="24"/>
        </w:rPr>
      </w:pPr>
      <w:r>
        <w:rPr>
          <w:sz w:val="24"/>
          <w:szCs w:val="24"/>
        </w:rPr>
        <w:t xml:space="preserve">- при проведении плановых работ по ремонту принадлежащего ПОТРЕБИТЕЛЮ электрооборудования; </w:t>
      </w:r>
    </w:p>
    <w:p>
      <w:pPr>
        <w:pStyle w:val="Normal"/>
        <w:tabs>
          <w:tab w:val="left" w:pos="0" w:leader="none"/>
        </w:tabs>
        <w:ind w:left="0" w:hanging="0"/>
        <w:rPr>
          <w:sz w:val="24"/>
          <w:szCs w:val="24"/>
        </w:rPr>
      </w:pPr>
      <w:r>
        <w:rPr>
          <w:sz w:val="24"/>
          <w:szCs w:val="24"/>
        </w:rPr>
        <w:t>- по заключению Ростехнадзора о неудовлетворительном состоянии энергетических установок ПОТРЕБИТЕЛЯ, которое угрожает аварией или создает угрозу жизни и безопасности граждан.</w:t>
      </w:r>
    </w:p>
    <w:p>
      <w:pPr>
        <w:pStyle w:val="Normal"/>
        <w:tabs>
          <w:tab w:val="left" w:pos="0" w:leader="none"/>
        </w:tabs>
        <w:ind w:left="0" w:hanging="0"/>
        <w:rPr>
          <w:sz w:val="24"/>
          <w:szCs w:val="24"/>
        </w:rPr>
      </w:pPr>
      <w:r>
        <w:rPr>
          <w:sz w:val="24"/>
          <w:szCs w:val="24"/>
        </w:rPr>
        <w:t>- при присоединении ПОТРЕБИТЕЛЕМ энергопринимающих устройств с нарушением установленного порядка технологического присоединения;</w:t>
      </w:r>
    </w:p>
    <w:p>
      <w:pPr>
        <w:pStyle w:val="Normal"/>
        <w:tabs>
          <w:tab w:val="left" w:pos="0" w:leader="none"/>
        </w:tabs>
        <w:ind w:left="0" w:hanging="0"/>
        <w:rPr>
          <w:sz w:val="24"/>
          <w:szCs w:val="24"/>
        </w:rPr>
      </w:pPr>
      <w:r>
        <w:rPr>
          <w:sz w:val="24"/>
          <w:szCs w:val="24"/>
        </w:rPr>
        <w:t>- при выявлении фактов бездоговорного потребления электрической энергии;</w:t>
      </w:r>
    </w:p>
    <w:p>
      <w:pPr>
        <w:pStyle w:val="Normal"/>
        <w:tabs>
          <w:tab w:val="left" w:pos="0" w:leader="none"/>
        </w:tabs>
        <w:ind w:left="0" w:hanging="0"/>
        <w:rPr>
          <w:sz w:val="24"/>
          <w:szCs w:val="24"/>
        </w:rPr>
      </w:pPr>
      <w:r>
        <w:rPr>
          <w:sz w:val="24"/>
          <w:szCs w:val="24"/>
        </w:rPr>
        <w:t>- безучетного потребления электрической энергии.</w:t>
      </w:r>
    </w:p>
    <w:p>
      <w:pPr>
        <w:pStyle w:val="Normal"/>
        <w:numPr>
          <w:ilvl w:val="0"/>
          <w:numId w:val="2"/>
        </w:numPr>
        <w:tabs>
          <w:tab w:val="left" w:pos="0" w:leader="none"/>
        </w:tabs>
        <w:ind w:left="0" w:hanging="0"/>
        <w:rPr>
          <w:sz w:val="24"/>
          <w:szCs w:val="24"/>
        </w:rPr>
      </w:pPr>
      <w:r>
        <w:rPr>
          <w:sz w:val="24"/>
          <w:szCs w:val="24"/>
        </w:rPr>
        <w:t xml:space="preserve">Настоящий регламент в части порядка взаимодействия СТОРОН при ограничении режима потребления по заявке ГП распространяется на отношения СТОРОН, возникающие после получения ТСО заявки от ГП на введение ограничения режима потребления или восстановление электроснабжения. </w:t>
      </w:r>
    </w:p>
    <w:p>
      <w:pPr>
        <w:pStyle w:val="Normal"/>
        <w:ind w:left="0" w:firstLine="720"/>
        <w:rPr>
          <w:sz w:val="24"/>
          <w:szCs w:val="24"/>
        </w:rPr>
      </w:pPr>
      <w:r>
        <w:rPr>
          <w:sz w:val="24"/>
          <w:szCs w:val="24"/>
        </w:rPr>
        <w:t xml:space="preserve">Порядок взаимодействия ГП и ПОТРЕБИТЕЛЯ при введении ограничения режима потребления по заявке ГП регулируется в договорах энергоснабжения (купли-продажи электроэнергии) и в предмет регулирования настоящего Регламента не входит. </w:t>
      </w:r>
    </w:p>
    <w:p>
      <w:pPr>
        <w:pStyle w:val="Normal"/>
        <w:numPr>
          <w:ilvl w:val="0"/>
          <w:numId w:val="2"/>
        </w:numPr>
        <w:tabs>
          <w:tab w:val="left" w:pos="0" w:leader="none"/>
        </w:tabs>
        <w:ind w:left="0" w:hanging="0"/>
        <w:rPr>
          <w:sz w:val="24"/>
          <w:szCs w:val="24"/>
        </w:rPr>
      </w:pPr>
      <w:r>
        <w:rPr>
          <w:sz w:val="24"/>
          <w:szCs w:val="24"/>
        </w:rPr>
        <w:t>В случаях возникновения необходимости введения ограничения режима потребления не по заявке ГП ТСО уведомляет ПОТРЕБИТЕЛЯ и ГП об основаниях и сроках введения ограничения. При этом ГП обязан включить в договор с ПОТРЕБИТЕЛЕМ указанные выше основания ограничения режима потребления и порядок уведомления об этом ПОТРЕБИТЕЛЯ как самим ГП, так и ТСО.</w:t>
      </w:r>
    </w:p>
    <w:p>
      <w:pPr>
        <w:pStyle w:val="Normal"/>
        <w:ind w:left="0" w:firstLine="567"/>
        <w:rPr>
          <w:sz w:val="24"/>
          <w:szCs w:val="24"/>
        </w:rPr>
      </w:pPr>
      <w:r>
        <w:rPr>
          <w:sz w:val="24"/>
          <w:szCs w:val="24"/>
        </w:rPr>
        <w:t xml:space="preserve">В случае если расходы на совершение действий по введению ограничения режима потребления и (или) последующему возобновлению подачи электрической энергии учтены в тарифах ТСО на услуги по передаче электрической энергии, оплата таких действий ТСО не производится, при этом ГП также не вправе предъявлять ПОТРЕБИТЕЛЮ требование о компенсации таких расходов. </w:t>
      </w:r>
    </w:p>
    <w:p>
      <w:pPr>
        <w:pStyle w:val="Normal"/>
        <w:ind w:left="0" w:firstLine="720"/>
        <w:rPr>
          <w:sz w:val="24"/>
          <w:szCs w:val="24"/>
        </w:rPr>
      </w:pPr>
      <w:r>
        <w:rPr>
          <w:sz w:val="24"/>
          <w:szCs w:val="24"/>
        </w:rPr>
        <w:t xml:space="preserve">В случае если расходы на совершение действий по введению ограничения режима потребления и (или) последующему возобновлению подачи электрической энергии не учтены в тарифах ТСО на услуги по передаче электрической энергии, то ТСО в праве обратиться в ГП для компенсации расходов с обязательным предоставлением  официально подтверждающих документов от Региональной службы по тарифам и ценам Камчатского края об учете/неучете вышеуказанных расходов в тарифе на услугу по передаче электрической энергии. </w:t>
      </w:r>
    </w:p>
    <w:p>
      <w:pPr>
        <w:pStyle w:val="Normal"/>
        <w:ind w:left="0" w:firstLine="720"/>
        <w:rPr>
          <w:sz w:val="24"/>
          <w:szCs w:val="24"/>
        </w:rPr>
      </w:pPr>
      <w:r>
        <w:rPr>
          <w:sz w:val="24"/>
          <w:szCs w:val="24"/>
        </w:rPr>
        <w:t>В случае отсутствия вышеуказанных расходов в тарифе предоставить утвержденную калькуляцию стоимости затрат и услуг по введению ограничения режима потребления и (или) последующему возобновлению подачи электрической энергии. Размер компенсации понесенных расходов не должен превышать значений, определенных законодательством.</w:t>
      </w:r>
    </w:p>
    <w:p>
      <w:pPr>
        <w:pStyle w:val="Normal"/>
        <w:numPr>
          <w:ilvl w:val="0"/>
          <w:numId w:val="2"/>
        </w:numPr>
        <w:tabs>
          <w:tab w:val="left" w:pos="0" w:leader="none"/>
        </w:tabs>
        <w:ind w:left="0" w:hanging="0"/>
        <w:rPr>
          <w:sz w:val="24"/>
          <w:szCs w:val="24"/>
        </w:rPr>
      </w:pPr>
      <w:r>
        <w:rPr>
          <w:sz w:val="24"/>
          <w:szCs w:val="24"/>
        </w:rPr>
        <w:t>Введение ограничения режима потребления осуществляется в форме частичного и полного ограничения режима потребления электроэнергии.</w:t>
      </w:r>
    </w:p>
    <w:p>
      <w:pPr>
        <w:pStyle w:val="Normal"/>
        <w:numPr>
          <w:ilvl w:val="0"/>
          <w:numId w:val="2"/>
        </w:numPr>
        <w:tabs>
          <w:tab w:val="left" w:pos="0" w:leader="none"/>
        </w:tabs>
        <w:ind w:left="0" w:hanging="0"/>
        <w:rPr>
          <w:sz w:val="24"/>
          <w:szCs w:val="24"/>
        </w:rPr>
      </w:pPr>
      <w:r>
        <w:rPr>
          <w:sz w:val="24"/>
          <w:szCs w:val="24"/>
        </w:rPr>
        <w:t>Частичное ограничение влечет снижение объема электрической энергии, подаваемой ПОТРЕБИТЕЛЮ до уровня, определенного в соответствии с Правилами ограничения и указанного в заявке или ниже фактической потребности (для потребителей – граждан), либо прекращение подачи электрической энергии ПОТРЕБИТЕЛЮ в определенные периоды времени в течение каждых суток, недели или месяца.</w:t>
      </w:r>
    </w:p>
    <w:p>
      <w:pPr>
        <w:pStyle w:val="Normal"/>
        <w:tabs>
          <w:tab w:val="left" w:pos="0" w:leader="none"/>
        </w:tabs>
        <w:ind w:left="0" w:hanging="0"/>
        <w:rPr>
          <w:sz w:val="24"/>
          <w:szCs w:val="24"/>
        </w:rPr>
      </w:pPr>
      <w:r>
        <w:rPr>
          <w:sz w:val="24"/>
          <w:szCs w:val="24"/>
        </w:rPr>
        <w:t xml:space="preserve">Частичное ограничение режима потребления производится: </w:t>
      </w:r>
    </w:p>
    <w:p>
      <w:pPr>
        <w:pStyle w:val="Normal"/>
        <w:tabs>
          <w:tab w:val="left" w:pos="0" w:leader="none"/>
        </w:tabs>
        <w:ind w:left="0" w:hanging="0"/>
        <w:rPr>
          <w:sz w:val="24"/>
          <w:szCs w:val="24"/>
        </w:rPr>
      </w:pPr>
      <w:r>
        <w:rPr>
          <w:sz w:val="24"/>
          <w:szCs w:val="24"/>
        </w:rPr>
        <w:t xml:space="preserve">- ПОТРЕБИТЕЛЕМ самостоятельно с контролем режима потребления электрической энергии ТСО; </w:t>
      </w:r>
    </w:p>
    <w:p>
      <w:pPr>
        <w:pStyle w:val="Normal"/>
        <w:tabs>
          <w:tab w:val="left" w:pos="0" w:leader="none"/>
        </w:tabs>
        <w:ind w:left="0" w:hanging="0"/>
        <w:rPr>
          <w:sz w:val="24"/>
          <w:szCs w:val="24"/>
        </w:rPr>
      </w:pPr>
      <w:r>
        <w:rPr>
          <w:sz w:val="24"/>
          <w:szCs w:val="24"/>
        </w:rPr>
        <w:t>- ТСО в принадлежащих ему электроустановках при наличии технической возможности снижения объема электрической энергии, подаваемой ПОТРЕБИТЕЛЮ,</w:t>
      </w:r>
      <w:r>
        <w:rPr>
          <w:spacing w:val="-1"/>
          <w:sz w:val="24"/>
          <w:szCs w:val="24"/>
        </w:rPr>
        <w:t xml:space="preserve"> - </w:t>
      </w:r>
      <w:r>
        <w:rPr>
          <w:sz w:val="24"/>
          <w:szCs w:val="24"/>
        </w:rPr>
        <w:t>в случае его отказа самостоятельно произвести ограничение режима потребления, либо в случае введения аварийных ограничений.</w:t>
      </w:r>
    </w:p>
    <w:p>
      <w:pPr>
        <w:pStyle w:val="Normal"/>
        <w:tabs>
          <w:tab w:val="left" w:pos="0" w:leader="none"/>
        </w:tabs>
        <w:ind w:left="0" w:hanging="0"/>
        <w:rPr>
          <w:sz w:val="24"/>
          <w:szCs w:val="24"/>
        </w:rPr>
      </w:pPr>
      <w:r>
        <w:rPr>
          <w:sz w:val="24"/>
          <w:szCs w:val="24"/>
        </w:rPr>
        <w:tab/>
        <w:t xml:space="preserve">В случае отсутствия технической возможности введения полного или частичного ограничения режима потребления и отказа ПОТРЕБИТЕЛЯ самостоятельно произвести ограничение режима потребления ТСО вправе произвести необходимые переключения в энергопринимающих устройствах такого ПОТРЕБИТЕЛЯ в присутствии уполномоченного представителя ГП и ПОТРЕБИТЕЛЯ (его уполномоченного представителя). </w:t>
      </w:r>
    </w:p>
    <w:p>
      <w:pPr>
        <w:pStyle w:val="Normal"/>
        <w:numPr>
          <w:ilvl w:val="0"/>
          <w:numId w:val="2"/>
        </w:numPr>
        <w:tabs>
          <w:tab w:val="left" w:pos="0" w:leader="none"/>
        </w:tabs>
        <w:ind w:left="0" w:hanging="0"/>
        <w:rPr>
          <w:i/>
          <w:i/>
          <w:iCs/>
          <w:sz w:val="24"/>
          <w:szCs w:val="24"/>
        </w:rPr>
      </w:pPr>
      <w:r>
        <w:rPr>
          <w:sz w:val="24"/>
          <w:szCs w:val="24"/>
        </w:rPr>
        <w:t>Полное ограничение режима потребления влечет прекращение подачи электрической энергии ПОТРЕБИТЕЛЮ путем отключения ТСО коммутационных аппаратов. При отсутствии коммутационных аппаратов ограничение режима потребления производится путем физического разрыва сети (в сетях ПОТРЕБИТЕЛЯ данные мероприятия производятся ПОТРЕБИТЕЛЕМ самостоятельно, с контролем режима потребления электрической энергии ТСО), п</w:t>
      </w:r>
      <w:r>
        <w:rPr>
          <w:iCs/>
          <w:sz w:val="24"/>
          <w:szCs w:val="24"/>
        </w:rPr>
        <w:t xml:space="preserve">ри этом возобновление режима потребления после введения ограничения не является новым технологическим присоединением и не требует заключения договора на технологическое присоединение оборудования ПОТРЕБИТЕЛЯ, за исключением случаев введения ограничения режима потребления в результате самовольного </w:t>
      </w:r>
      <w:r>
        <w:rPr>
          <w:bCs/>
          <w:iCs/>
          <w:sz w:val="24"/>
          <w:szCs w:val="24"/>
        </w:rPr>
        <w:t>присоединения энергопринимающих устройств ПОТРЕБИТЕЛЯ к электрической сети ТСО</w:t>
      </w:r>
      <w:r>
        <w:rPr>
          <w:iCs/>
          <w:sz w:val="24"/>
          <w:szCs w:val="24"/>
        </w:rPr>
        <w:t>.</w:t>
      </w:r>
    </w:p>
    <w:p>
      <w:pPr>
        <w:pStyle w:val="Normal"/>
        <w:numPr>
          <w:ilvl w:val="0"/>
          <w:numId w:val="2"/>
        </w:numPr>
        <w:tabs>
          <w:tab w:val="left" w:pos="0" w:leader="none"/>
        </w:tabs>
        <w:ind w:left="0" w:hanging="0"/>
        <w:rPr>
          <w:sz w:val="24"/>
          <w:szCs w:val="24"/>
        </w:rPr>
      </w:pPr>
      <w:r>
        <w:rPr>
          <w:sz w:val="24"/>
          <w:szCs w:val="24"/>
        </w:rPr>
        <w:t>Фактические действия по ограничению режима в отношении ПОТРЕБИТЕЛЯ осуществляются самим ПОТРЕБИТЕЛЕМ электрической энергии и (или) ТСО.</w:t>
      </w:r>
    </w:p>
    <w:p>
      <w:pPr>
        <w:pStyle w:val="Normal"/>
        <w:numPr>
          <w:ilvl w:val="0"/>
          <w:numId w:val="2"/>
        </w:numPr>
        <w:tabs>
          <w:tab w:val="left" w:pos="0" w:leader="none"/>
        </w:tabs>
        <w:ind w:left="0" w:hanging="0"/>
        <w:rPr>
          <w:sz w:val="24"/>
          <w:szCs w:val="24"/>
        </w:rPr>
      </w:pPr>
      <w:r>
        <w:rPr>
          <w:sz w:val="24"/>
          <w:szCs w:val="24"/>
        </w:rPr>
        <w:t xml:space="preserve">При возникновении в процессе подготовки ТСО к введению ограничения или при совершении действий по введению ограничения обстоятельств, препятствующих введению ограничения </w:t>
      </w:r>
      <w:r>
        <w:rPr>
          <w:iCs/>
          <w:sz w:val="24"/>
          <w:szCs w:val="24"/>
        </w:rPr>
        <w:t>(непринятие мер ПОТРЕБИТЕЛЯ к безаварийному прекращению технологического процесса,  к обеспечению безопасности людей и сохранности оборудования, необеспечение перевода субабонентов на резервное электроснабжение и др.</w:t>
      </w:r>
      <w:r>
        <w:rPr>
          <w:sz w:val="24"/>
          <w:szCs w:val="24"/>
        </w:rPr>
        <w:t>), ТСО обязан незамедлительно уведомить об этом ГП и совершить действия по выполнению заявки в максимально короткие сроки, ввести ограничение до уровня</w:t>
      </w:r>
      <w:r>
        <w:rPr/>
        <w:t xml:space="preserve"> </w:t>
      </w:r>
      <w:r>
        <w:rPr>
          <w:sz w:val="24"/>
          <w:szCs w:val="24"/>
        </w:rPr>
        <w:t>потребления иных потребителей ГП, энергопринимающие устройства которых технологически присоединены к объектам этого ПОТРЕБИТЕЛЯ. ТСО несет ответственность за нарушение срока или порядка введения ограничения режима потребления при наличии его вины.</w:t>
      </w:r>
    </w:p>
    <w:p>
      <w:pPr>
        <w:pStyle w:val="Normal"/>
        <w:tabs>
          <w:tab w:val="left" w:pos="0" w:leader="none"/>
        </w:tabs>
        <w:ind w:left="0" w:hanging="0"/>
        <w:rPr>
          <w:sz w:val="24"/>
          <w:szCs w:val="24"/>
        </w:rPr>
      </w:pPr>
      <w:r>
        <w:rPr>
          <w:sz w:val="24"/>
          <w:szCs w:val="24"/>
        </w:rPr>
      </w:r>
    </w:p>
    <w:p>
      <w:pPr>
        <w:pStyle w:val="Normal"/>
        <w:numPr>
          <w:ilvl w:val="0"/>
          <w:numId w:val="0"/>
        </w:numPr>
        <w:tabs>
          <w:tab w:val="left" w:pos="0" w:leader="none"/>
        </w:tabs>
        <w:ind w:left="0" w:hanging="0"/>
        <w:outlineLvl w:val="0"/>
        <w:rPr>
          <w:sz w:val="24"/>
          <w:szCs w:val="24"/>
        </w:rPr>
      </w:pPr>
      <w:r>
        <w:rPr>
          <w:sz w:val="24"/>
          <w:szCs w:val="24"/>
        </w:rPr>
        <w:t>ПОРЯДОК ОГРАНИЧЕНИЯ РЕЖИМА ПОТРЕБЛЕНИЯ ПО ЗАЯВКЕ ГП</w:t>
      </w:r>
    </w:p>
    <w:p>
      <w:pPr>
        <w:pStyle w:val="Normal"/>
        <w:numPr>
          <w:ilvl w:val="0"/>
          <w:numId w:val="2"/>
        </w:numPr>
        <w:tabs>
          <w:tab w:val="left" w:pos="0" w:leader="none"/>
        </w:tabs>
        <w:ind w:left="0" w:hanging="0"/>
        <w:rPr>
          <w:sz w:val="24"/>
          <w:szCs w:val="24"/>
        </w:rPr>
      </w:pPr>
      <w:bookmarkStart w:id="32" w:name="_Toc83635890"/>
      <w:bookmarkEnd w:id="32"/>
      <w:r>
        <w:rPr>
          <w:sz w:val="24"/>
          <w:szCs w:val="24"/>
        </w:rPr>
        <w:t>ГП имеет право направить ТСО заявку на введение частичного или полного ограничения режима потребления электроэнергии ПОТРЕБИТЕЛЯМ в следующих случаях:</w:t>
      </w:r>
    </w:p>
    <w:p>
      <w:pPr>
        <w:pStyle w:val="Normal"/>
        <w:tabs>
          <w:tab w:val="left" w:pos="0" w:leader="none"/>
        </w:tabs>
        <w:ind w:left="0" w:hanging="0"/>
        <w:rPr>
          <w:sz w:val="24"/>
          <w:szCs w:val="24"/>
        </w:rPr>
      </w:pPr>
      <w:r>
        <w:rPr>
          <w:sz w:val="24"/>
          <w:szCs w:val="24"/>
        </w:rPr>
        <w:t xml:space="preserve">- при неисполнении или ненадлежащем исполнении ПОТРЕБИТЕЛЕМ обязанности по оплате ГП стоимости электроэнергии и услуг, предоставление которых обеспечивает ГП по договору энергоснабжения (купли-продажи электроэнергии); </w:t>
      </w:r>
    </w:p>
    <w:p>
      <w:pPr>
        <w:pStyle w:val="Normal"/>
        <w:tabs>
          <w:tab w:val="left" w:pos="0" w:leader="none"/>
        </w:tabs>
        <w:ind w:left="0" w:hanging="0"/>
        <w:rPr>
          <w:sz w:val="24"/>
          <w:szCs w:val="24"/>
        </w:rPr>
      </w:pPr>
      <w:r>
        <w:rPr>
          <w:sz w:val="24"/>
          <w:szCs w:val="24"/>
        </w:rPr>
        <w:t>- при прекращении в отношении ПОТРЕБИТЕЛЯ договора энергоснабжения (купли-продажи  электрической энергии);</w:t>
      </w:r>
    </w:p>
    <w:p>
      <w:pPr>
        <w:pStyle w:val="Normal"/>
        <w:tabs>
          <w:tab w:val="left" w:pos="0" w:leader="none"/>
        </w:tabs>
        <w:ind w:left="0" w:hanging="0"/>
        <w:rPr>
          <w:sz w:val="24"/>
          <w:szCs w:val="24"/>
        </w:rPr>
      </w:pPr>
      <w:r>
        <w:rPr>
          <w:sz w:val="24"/>
          <w:szCs w:val="24"/>
        </w:rPr>
        <w:t>- по соглашению с ПОТРЕБИТЕЛЕМ;</w:t>
      </w:r>
    </w:p>
    <w:p>
      <w:pPr>
        <w:pStyle w:val="Normal"/>
        <w:tabs>
          <w:tab w:val="left" w:pos="0" w:leader="none"/>
        </w:tabs>
        <w:ind w:left="0" w:hanging="0"/>
        <w:rPr>
          <w:sz w:val="24"/>
          <w:szCs w:val="24"/>
        </w:rPr>
      </w:pPr>
      <w:r>
        <w:rPr>
          <w:color w:val="000000"/>
          <w:spacing w:val="3"/>
          <w:sz w:val="24"/>
          <w:szCs w:val="24"/>
        </w:rPr>
        <w:t xml:space="preserve">- при выявлении фактов </w:t>
      </w:r>
      <w:r>
        <w:rPr>
          <w:sz w:val="24"/>
          <w:szCs w:val="24"/>
        </w:rPr>
        <w:t>безучетного  и бездоговорного потребления электрической энергии.</w:t>
      </w:r>
    </w:p>
    <w:p>
      <w:pPr>
        <w:pStyle w:val="Normal"/>
        <w:numPr>
          <w:ilvl w:val="0"/>
          <w:numId w:val="2"/>
        </w:numPr>
        <w:tabs>
          <w:tab w:val="left" w:pos="0" w:leader="none"/>
        </w:tabs>
        <w:ind w:left="0" w:hanging="0"/>
        <w:rPr>
          <w:sz w:val="24"/>
          <w:szCs w:val="24"/>
        </w:rPr>
      </w:pPr>
      <w:bookmarkStart w:id="33" w:name="_Toc83635891"/>
      <w:bookmarkEnd w:id="33"/>
      <w:r>
        <w:rPr>
          <w:sz w:val="24"/>
          <w:szCs w:val="24"/>
        </w:rPr>
        <w:t>ГП несет ответственность перед ПОТРЕБИТЕЛЕМ, в отношении которого подана заявка ТСО, за обоснованность заявки и соблюдение порядка уведомления ПОТРЕБИТЕЛЯ о введении ограничения.</w:t>
      </w:r>
    </w:p>
    <w:p>
      <w:pPr>
        <w:pStyle w:val="Normal"/>
        <w:numPr>
          <w:ilvl w:val="0"/>
          <w:numId w:val="2"/>
        </w:numPr>
        <w:tabs>
          <w:tab w:val="left" w:pos="0" w:leader="none"/>
        </w:tabs>
        <w:ind w:left="0" w:hanging="0"/>
        <w:rPr>
          <w:sz w:val="24"/>
          <w:szCs w:val="24"/>
        </w:rPr>
      </w:pPr>
      <w:r>
        <w:rPr>
          <w:sz w:val="24"/>
          <w:szCs w:val="24"/>
        </w:rPr>
        <w:t xml:space="preserve">ГП до начала каждого года доводит до сведения ТСО утвержденный уполномоченным органом управления ГП перечень должностных лиц, имеющих право подписи заявок на ограничение режима (возобновление) электроснабжения. </w:t>
      </w:r>
    </w:p>
    <w:p>
      <w:pPr>
        <w:pStyle w:val="Normal"/>
        <w:numPr>
          <w:ilvl w:val="0"/>
          <w:numId w:val="2"/>
        </w:numPr>
        <w:tabs>
          <w:tab w:val="left" w:pos="0" w:leader="none"/>
        </w:tabs>
        <w:ind w:left="0" w:hanging="0"/>
        <w:rPr>
          <w:sz w:val="24"/>
          <w:szCs w:val="24"/>
        </w:rPr>
      </w:pPr>
      <w:r>
        <w:rPr>
          <w:sz w:val="24"/>
          <w:szCs w:val="24"/>
        </w:rPr>
        <w:t xml:space="preserve">ТСО до начала каждого года доводит до сведения ГП утвержденный уполномоченным органом управления ТСО перечень должностных лиц, имеющих право ведения оперативных переговоров с ГП. </w:t>
      </w:r>
    </w:p>
    <w:p>
      <w:pPr>
        <w:pStyle w:val="Normal"/>
        <w:numPr>
          <w:ilvl w:val="0"/>
          <w:numId w:val="2"/>
        </w:numPr>
        <w:tabs>
          <w:tab w:val="left" w:pos="0" w:leader="none"/>
        </w:tabs>
        <w:ind w:left="0" w:hanging="0"/>
        <w:rPr>
          <w:sz w:val="24"/>
          <w:szCs w:val="24"/>
        </w:rPr>
      </w:pPr>
      <w:r>
        <w:rPr>
          <w:sz w:val="24"/>
          <w:szCs w:val="24"/>
        </w:rPr>
        <w:t xml:space="preserve">О внесении изменений в указанные в п.п. 11, 12 перечни в течение года СТОРОНЫ обязаны уведомлять друг друга способом, обеспечивающим подтверждение факта получения уведомления.  </w:t>
      </w:r>
    </w:p>
    <w:p>
      <w:pPr>
        <w:pStyle w:val="Normal"/>
        <w:numPr>
          <w:ilvl w:val="0"/>
          <w:numId w:val="2"/>
        </w:numPr>
        <w:tabs>
          <w:tab w:val="left" w:pos="0" w:leader="none"/>
        </w:tabs>
        <w:ind w:left="0" w:hanging="0"/>
        <w:rPr>
          <w:sz w:val="24"/>
          <w:szCs w:val="24"/>
        </w:rPr>
      </w:pPr>
      <w:r>
        <w:rPr>
          <w:sz w:val="24"/>
          <w:szCs w:val="24"/>
        </w:rPr>
        <w:t xml:space="preserve"> </w:t>
      </w:r>
      <w:r>
        <w:rPr>
          <w:sz w:val="24"/>
          <w:szCs w:val="24"/>
        </w:rPr>
        <w:t>Для согласования введения полного и (или) частичного ограничения режима потребления электрической энергии ГП обязан, не позднее, чем за 5 рабочих дней до предполагаемой даты ограничения режима потребления направить ТСО (способом, обеспечивающим подтверждение факта получения  уведомления), заявку, содержащую следующие сведения:</w:t>
      </w:r>
    </w:p>
    <w:p>
      <w:pPr>
        <w:pStyle w:val="Normal"/>
        <w:tabs>
          <w:tab w:val="left" w:pos="0" w:leader="none"/>
        </w:tabs>
        <w:ind w:left="0" w:hanging="0"/>
        <w:rPr>
          <w:sz w:val="24"/>
          <w:szCs w:val="24"/>
        </w:rPr>
      </w:pPr>
      <w:r>
        <w:rPr>
          <w:sz w:val="24"/>
          <w:szCs w:val="24"/>
        </w:rPr>
        <w:t xml:space="preserve">- о ПОТРЕБИТЕЛЕ, в отношении которого вводится ограничение режима потребления, </w:t>
      </w:r>
    </w:p>
    <w:p>
      <w:pPr>
        <w:pStyle w:val="Normal"/>
        <w:tabs>
          <w:tab w:val="left" w:pos="0" w:leader="none"/>
        </w:tabs>
        <w:ind w:left="0" w:hanging="0"/>
        <w:rPr>
          <w:sz w:val="24"/>
          <w:szCs w:val="24"/>
        </w:rPr>
      </w:pPr>
      <w:r>
        <w:rPr>
          <w:sz w:val="24"/>
          <w:szCs w:val="24"/>
        </w:rPr>
        <w:t xml:space="preserve">- об основаниях введения ограничения, </w:t>
      </w:r>
    </w:p>
    <w:p>
      <w:pPr>
        <w:pStyle w:val="Normal"/>
        <w:tabs>
          <w:tab w:val="left" w:pos="0" w:leader="none"/>
        </w:tabs>
        <w:ind w:left="0" w:hanging="0"/>
        <w:rPr>
          <w:sz w:val="24"/>
          <w:szCs w:val="24"/>
        </w:rPr>
      </w:pPr>
      <w:r>
        <w:rPr>
          <w:sz w:val="24"/>
          <w:szCs w:val="24"/>
        </w:rPr>
        <w:t>- о сроках и объемах вводимого ограничения.</w:t>
      </w:r>
    </w:p>
    <w:p>
      <w:pPr>
        <w:pStyle w:val="Normal"/>
        <w:tabs>
          <w:tab w:val="left" w:pos="0" w:leader="none"/>
        </w:tabs>
        <w:ind w:left="0" w:hanging="0"/>
        <w:rPr>
          <w:sz w:val="24"/>
        </w:rPr>
      </w:pPr>
      <w:r>
        <w:rPr>
          <w:sz w:val="24"/>
          <w:szCs w:val="24"/>
        </w:rPr>
        <w:tab/>
      </w:r>
      <w:r>
        <w:rPr>
          <w:sz w:val="24"/>
        </w:rPr>
        <w:t xml:space="preserve">ТСО в течение 1 дня согласовывает заявку с субъектом оперативно-диспетчерского управления и направляет ГП письменное уведомление о: </w:t>
      </w:r>
    </w:p>
    <w:p>
      <w:pPr>
        <w:pStyle w:val="Normal"/>
        <w:tabs>
          <w:tab w:val="left" w:pos="0" w:leader="none"/>
        </w:tabs>
        <w:ind w:left="0" w:hanging="0"/>
        <w:rPr>
          <w:sz w:val="24"/>
          <w:szCs w:val="24"/>
        </w:rPr>
      </w:pPr>
      <w:r>
        <w:rPr>
          <w:sz w:val="24"/>
          <w:szCs w:val="24"/>
        </w:rPr>
        <w:t xml:space="preserve">- возможности введения ограничения режима потребления в иной по сравнению с указанным в заявке срок; </w:t>
      </w:r>
    </w:p>
    <w:p>
      <w:pPr>
        <w:pStyle w:val="Normal"/>
        <w:tabs>
          <w:tab w:val="left" w:pos="0" w:leader="none"/>
        </w:tabs>
        <w:ind w:left="0" w:hanging="0"/>
        <w:rPr>
          <w:sz w:val="24"/>
          <w:szCs w:val="24"/>
        </w:rPr>
      </w:pPr>
      <w:r>
        <w:rPr>
          <w:sz w:val="24"/>
          <w:szCs w:val="24"/>
        </w:rPr>
        <w:t>- невозможности введения ограничения режима потребления в отношении ПОТРЕБИТЕЛЯ в связи с возможными негативными последствиями (ограничение или прекращение подачи электрической энергии ПОТРЕБИТЕЛЯМ, добросовестно исполняющим свои обязательства, угроза возникновения аварии) и о перечне дополнительных организационно-технических мероприятий, обеспечивающих исполнение инициированных ограничений в кратчайшие сроки.</w:t>
      </w:r>
    </w:p>
    <w:p>
      <w:pPr>
        <w:pStyle w:val="Normal"/>
        <w:tabs>
          <w:tab w:val="left" w:pos="0" w:leader="none"/>
        </w:tabs>
        <w:ind w:left="0" w:hanging="0"/>
        <w:rPr>
          <w:sz w:val="24"/>
          <w:szCs w:val="24"/>
        </w:rPr>
      </w:pPr>
      <w:r>
        <w:rPr>
          <w:sz w:val="24"/>
          <w:szCs w:val="24"/>
        </w:rPr>
        <w:tab/>
        <w:t xml:space="preserve">При согласовании заявки ГП на введение ограничения режима потребления на указанных в такой заявке условиях ТСО в установленный в заявке срок приступает к ее выполнению. Отсутствие уведомления об ином означает принятие ТСО заявки ГП к исполнению на указанных в ней условиях. </w:t>
      </w:r>
    </w:p>
    <w:p>
      <w:pPr>
        <w:pStyle w:val="Normal"/>
        <w:numPr>
          <w:ilvl w:val="0"/>
          <w:numId w:val="2"/>
        </w:numPr>
        <w:tabs>
          <w:tab w:val="left" w:pos="0" w:leader="none"/>
        </w:tabs>
        <w:ind w:left="0" w:hanging="0"/>
        <w:rPr>
          <w:sz w:val="24"/>
          <w:szCs w:val="24"/>
        </w:rPr>
      </w:pPr>
      <w:r>
        <w:rPr>
          <w:sz w:val="24"/>
          <w:szCs w:val="24"/>
        </w:rPr>
        <w:t xml:space="preserve">В случае направления </w:t>
      </w:r>
      <w:r>
        <w:rPr>
          <w:color w:val="548DD4" w:themeColor="text2" w:themeTint="99"/>
          <w:sz w:val="24"/>
          <w:szCs w:val="24"/>
        </w:rPr>
        <w:t xml:space="preserve">в адрес </w:t>
      </w:r>
      <w:r>
        <w:rPr>
          <w:sz w:val="24"/>
          <w:szCs w:val="24"/>
        </w:rPr>
        <w:t>ГП письменного уведомления о невозможности введения ограничения, ТСО обязан в указанный им в уведомлении о невозможности срок, не превышающий 3 рабочих дней, разработать план мероприятий, реализация которых позволит выполнить заявку ГП. ГП при получении от ТСО уведомления о необходимости разработки плана мероприятий, обязан в течение 24 часов сообщить ТСО новый срок введения ограничения режима потребления или указать на отсутствие такой необходимости в настоящее время.</w:t>
      </w:r>
    </w:p>
    <w:p>
      <w:pPr>
        <w:pStyle w:val="Normal"/>
        <w:numPr>
          <w:ilvl w:val="0"/>
          <w:numId w:val="2"/>
        </w:numPr>
        <w:tabs>
          <w:tab w:val="left" w:pos="0" w:leader="none"/>
        </w:tabs>
        <w:ind w:left="0" w:hanging="0"/>
        <w:rPr>
          <w:sz w:val="24"/>
          <w:szCs w:val="24"/>
        </w:rPr>
      </w:pPr>
      <w:r>
        <w:rPr>
          <w:sz w:val="24"/>
          <w:szCs w:val="24"/>
        </w:rPr>
        <w:t>В случае направления  ГП уведомления о возможности введения ограничения в срок, указанный в заявке, или в предложенный ТСО и согласованный ГП другой срок, ТСО принимает меры к подготовке ограничения в назначенное время. В случае введения ограничения режима потребления в отношении ПОТРЕБИТЕЛЕЙ, с которыми у ТСО имеются оперативно-технологические отношения, оперативная служба ТСО осуществляет оперативные переговоры с соответствующей службой ПОТРЕБИТЕЛЯ в целях координации действий по введению ограничения.</w:t>
      </w:r>
    </w:p>
    <w:p>
      <w:pPr>
        <w:pStyle w:val="Normal"/>
        <w:numPr>
          <w:ilvl w:val="0"/>
          <w:numId w:val="2"/>
        </w:numPr>
        <w:tabs>
          <w:tab w:val="left" w:pos="0" w:leader="none"/>
        </w:tabs>
        <w:ind w:left="0" w:hanging="0"/>
        <w:rPr>
          <w:sz w:val="24"/>
          <w:szCs w:val="24"/>
        </w:rPr>
      </w:pPr>
      <w:r>
        <w:rPr>
          <w:sz w:val="24"/>
          <w:szCs w:val="24"/>
        </w:rPr>
        <w:t>При введении ограничения режима потребления ТСО оформляет Акт ограничения режима потребления электрической энергии, в котором фиксируются:</w:t>
      </w:r>
    </w:p>
    <w:p>
      <w:pPr>
        <w:pStyle w:val="Normal"/>
        <w:numPr>
          <w:ilvl w:val="0"/>
          <w:numId w:val="3"/>
        </w:numPr>
        <w:rPr>
          <w:sz w:val="24"/>
          <w:szCs w:val="24"/>
        </w:rPr>
      </w:pPr>
      <w:r>
        <w:rPr>
          <w:sz w:val="24"/>
          <w:szCs w:val="24"/>
        </w:rPr>
        <w:t>наименование ПОТРЕБИТЕЛЯ, ФИО гражданина;</w:t>
      </w:r>
    </w:p>
    <w:p>
      <w:pPr>
        <w:pStyle w:val="ListParagraph"/>
        <w:numPr>
          <w:ilvl w:val="0"/>
          <w:numId w:val="3"/>
        </w:numPr>
        <w:rPr>
          <w:sz w:val="24"/>
          <w:szCs w:val="24"/>
        </w:rPr>
      </w:pPr>
      <w:r>
        <w:rPr>
          <w:sz w:val="24"/>
          <w:szCs w:val="24"/>
        </w:rPr>
        <w:t>Основание введения ограничения;</w:t>
      </w:r>
    </w:p>
    <w:p>
      <w:pPr>
        <w:pStyle w:val="ListParagraph"/>
        <w:numPr>
          <w:ilvl w:val="0"/>
          <w:numId w:val="3"/>
        </w:numPr>
        <w:rPr>
          <w:sz w:val="24"/>
          <w:szCs w:val="24"/>
        </w:rPr>
      </w:pPr>
      <w:r>
        <w:rPr>
          <w:sz w:val="24"/>
          <w:szCs w:val="24"/>
        </w:rPr>
        <w:t>Описание точки поставки, в отношение которой введено ограничение, ее адрес;</w:t>
      </w:r>
    </w:p>
    <w:p>
      <w:pPr>
        <w:pStyle w:val="ListParagraph"/>
        <w:numPr>
          <w:ilvl w:val="0"/>
          <w:numId w:val="3"/>
        </w:numPr>
        <w:rPr>
          <w:sz w:val="24"/>
          <w:szCs w:val="24"/>
        </w:rPr>
      </w:pPr>
      <w:r>
        <w:rPr>
          <w:sz w:val="24"/>
          <w:szCs w:val="24"/>
        </w:rPr>
        <w:t>Номера, место установки и показания приборов учета,</w:t>
      </w:r>
    </w:p>
    <w:p>
      <w:pPr>
        <w:pStyle w:val="ListParagraph"/>
        <w:numPr>
          <w:ilvl w:val="0"/>
          <w:numId w:val="3"/>
        </w:numPr>
        <w:rPr>
          <w:sz w:val="24"/>
          <w:szCs w:val="24"/>
        </w:rPr>
      </w:pPr>
      <w:r>
        <w:rPr>
          <w:sz w:val="24"/>
          <w:szCs w:val="24"/>
        </w:rPr>
        <w:t>Тип ограничения (частичное или полное);</w:t>
      </w:r>
    </w:p>
    <w:p>
      <w:pPr>
        <w:pStyle w:val="ListParagraph"/>
        <w:numPr>
          <w:ilvl w:val="0"/>
          <w:numId w:val="3"/>
        </w:numPr>
        <w:rPr>
          <w:sz w:val="24"/>
          <w:szCs w:val="24"/>
        </w:rPr>
      </w:pPr>
      <w:r>
        <w:rPr>
          <w:sz w:val="24"/>
          <w:szCs w:val="24"/>
        </w:rPr>
        <w:t>Дату и время введения ограничения.</w:t>
      </w:r>
    </w:p>
    <w:p>
      <w:pPr>
        <w:pStyle w:val="ListParagraph"/>
        <w:numPr>
          <w:ilvl w:val="0"/>
          <w:numId w:val="3"/>
        </w:numPr>
        <w:rPr>
          <w:sz w:val="24"/>
          <w:szCs w:val="24"/>
        </w:rPr>
      </w:pPr>
      <w:r>
        <w:rPr>
          <w:sz w:val="24"/>
          <w:szCs w:val="24"/>
        </w:rPr>
        <w:t>Отключенные коммутационные аппараты или места разрыва сети;</w:t>
      </w:r>
    </w:p>
    <w:p>
      <w:pPr>
        <w:pStyle w:val="ListParagraph"/>
        <w:numPr>
          <w:ilvl w:val="0"/>
          <w:numId w:val="3"/>
        </w:numPr>
        <w:tabs>
          <w:tab w:val="left" w:pos="0" w:leader="none"/>
        </w:tabs>
        <w:rPr>
          <w:sz w:val="24"/>
          <w:szCs w:val="24"/>
        </w:rPr>
      </w:pPr>
      <w:r>
        <w:rPr>
          <w:sz w:val="24"/>
          <w:szCs w:val="24"/>
        </w:rPr>
        <w:t xml:space="preserve">Ф.И.О. лица, уполномоченного на подписание акта от имени ПОТРЕБИЛЯ; </w:t>
      </w:r>
    </w:p>
    <w:p>
      <w:pPr>
        <w:pStyle w:val="ListParagraph"/>
        <w:numPr>
          <w:ilvl w:val="0"/>
          <w:numId w:val="3"/>
        </w:numPr>
        <w:tabs>
          <w:tab w:val="left" w:pos="0" w:leader="none"/>
        </w:tabs>
        <w:rPr>
          <w:sz w:val="24"/>
          <w:szCs w:val="24"/>
        </w:rPr>
      </w:pPr>
      <w:r>
        <w:rPr>
          <w:sz w:val="24"/>
          <w:szCs w:val="24"/>
        </w:rPr>
        <w:t>иные, необходимые по мнению ТСО, сведения.</w:t>
      </w:r>
    </w:p>
    <w:p>
      <w:pPr>
        <w:pStyle w:val="Normal"/>
        <w:numPr>
          <w:ilvl w:val="0"/>
          <w:numId w:val="2"/>
        </w:numPr>
        <w:tabs>
          <w:tab w:val="left" w:pos="0" w:leader="none"/>
        </w:tabs>
        <w:ind w:left="0" w:hanging="0"/>
        <w:rPr>
          <w:sz w:val="24"/>
          <w:szCs w:val="24"/>
        </w:rPr>
      </w:pPr>
      <w:r>
        <w:rPr>
          <w:sz w:val="24"/>
          <w:szCs w:val="24"/>
        </w:rPr>
        <w:t>Акт ограничения режима потребления электроэнергии должен быть подписан представителем ПОТРЕБИТЕЛЯ, отказ от подписи фиксируется в акте с указанием причин отказа. При ограничении режима потребления электроэнергии в электроустановках ТСО последний вправе оформить Акт ограничения режима потребления электрической энергии в отсутствие ПОТРЕБИТЕЛЯ. Акт ограничения режима потребления электрической энергии оформляется в трех экземплярах, один из которых передается ПОТРЕБИТЕЛЮ, второй направляется ГП для контроля исполнения заявки и расчета объемов отпущенной ПОТРЕБИТЕЛЮ, третий остается у ТСО.</w:t>
      </w:r>
    </w:p>
    <w:p>
      <w:pPr>
        <w:pStyle w:val="Normal"/>
        <w:numPr>
          <w:ilvl w:val="0"/>
          <w:numId w:val="2"/>
        </w:numPr>
        <w:tabs>
          <w:tab w:val="left" w:pos="0" w:leader="none"/>
        </w:tabs>
        <w:ind w:left="0" w:hanging="0"/>
        <w:rPr>
          <w:sz w:val="24"/>
          <w:szCs w:val="24"/>
        </w:rPr>
      </w:pPr>
      <w:r>
        <w:rPr>
          <w:sz w:val="24"/>
          <w:szCs w:val="24"/>
        </w:rPr>
        <w:t>При превышении ПОТРЕБИТЕЛЕМ установленной величины нагрузки ТСО передает ПОТРЕБИТЕЛЮ требование немедленно снизить нагрузку, уведомляет об этом ГП, а также предпринимает меры для снижения нагрузки до уровня, указанного в заявке.</w:t>
      </w:r>
    </w:p>
    <w:p>
      <w:pPr>
        <w:pStyle w:val="Normal"/>
        <w:numPr>
          <w:ilvl w:val="0"/>
          <w:numId w:val="2"/>
        </w:numPr>
        <w:tabs>
          <w:tab w:val="left" w:pos="0" w:leader="none"/>
        </w:tabs>
        <w:ind w:left="0" w:hanging="0"/>
        <w:rPr>
          <w:sz w:val="24"/>
          <w:szCs w:val="24"/>
        </w:rPr>
      </w:pPr>
      <w:r>
        <w:rPr>
          <w:sz w:val="24"/>
          <w:szCs w:val="24"/>
        </w:rPr>
        <w:t xml:space="preserve"> </w:t>
      </w:r>
      <w:r>
        <w:rPr>
          <w:sz w:val="24"/>
          <w:szCs w:val="24"/>
        </w:rPr>
        <w:t>В отношении ПОТРЕБИТЕЛЕЙ, не выполняющих самостоятельного ограничения в потреблении электрической энергии, в указанный в уведомлении срок, СТОРОНЫ договорились предпринимать следующие меры:</w:t>
      </w:r>
    </w:p>
    <w:p>
      <w:pPr>
        <w:pStyle w:val="Annotationtext"/>
        <w:ind w:left="0" w:hanging="0"/>
        <w:rPr>
          <w:sz w:val="24"/>
          <w:szCs w:val="24"/>
        </w:rPr>
      </w:pPr>
      <w:r>
        <w:rPr>
          <w:sz w:val="24"/>
          <w:szCs w:val="24"/>
        </w:rPr>
        <w:t>- ГП направляет в адрес ТСО заявку на ограничение электроэнергии в отношении ПОТРЕБИТЕЛЯ, не выполнившего действия по самостоятельному введению ограничения, к объектам которого технологически присоединены иные потребителей ГП.</w:t>
      </w:r>
    </w:p>
    <w:p>
      <w:pPr>
        <w:pStyle w:val="Annotationtext"/>
        <w:ind w:left="0" w:hanging="0"/>
        <w:rPr>
          <w:sz w:val="24"/>
          <w:szCs w:val="24"/>
        </w:rPr>
      </w:pPr>
      <w:r>
        <w:rPr>
          <w:sz w:val="24"/>
          <w:szCs w:val="24"/>
        </w:rPr>
        <w:t>-  ТСО разрабатывает план мероприятий, необходимых для выполнения заявки, и направляет в адрес ГП информацию о сроках выполнения заявки.</w:t>
      </w:r>
    </w:p>
    <w:p>
      <w:pPr>
        <w:pStyle w:val="ListParagraph"/>
        <w:ind w:left="0" w:hanging="0"/>
        <w:rPr>
          <w:b/>
          <w:b/>
          <w:strike/>
          <w:sz w:val="24"/>
          <w:szCs w:val="24"/>
        </w:rPr>
      </w:pPr>
      <w:r>
        <w:rPr>
          <w:sz w:val="24"/>
          <w:szCs w:val="24"/>
        </w:rPr>
        <w:t xml:space="preserve"> </w:t>
      </w:r>
      <w:r>
        <w:rPr>
          <w:sz w:val="24"/>
          <w:szCs w:val="24"/>
        </w:rPr>
        <w:t xml:space="preserve">- в отношении энергопринимающих устройств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полное ограничение </w:t>
      </w:r>
      <w:r>
        <w:rPr>
          <w:b/>
          <w:sz w:val="24"/>
          <w:szCs w:val="24"/>
        </w:rPr>
        <w:t>не вводится</w:t>
      </w:r>
      <w:r>
        <w:rPr>
          <w:sz w:val="24"/>
          <w:szCs w:val="24"/>
        </w:rPr>
        <w:t xml:space="preserve"> до получения от ПОТРЕБИТЕЛЯ уведомления о готовности к полному ограничению.</w:t>
      </w:r>
    </w:p>
    <w:p>
      <w:pPr>
        <w:pStyle w:val="Normal"/>
        <w:numPr>
          <w:ilvl w:val="0"/>
          <w:numId w:val="0"/>
        </w:numPr>
        <w:tabs>
          <w:tab w:val="left" w:pos="0" w:leader="none"/>
        </w:tabs>
        <w:ind w:left="0" w:hanging="0"/>
        <w:outlineLvl w:val="0"/>
        <w:rPr>
          <w:sz w:val="24"/>
          <w:szCs w:val="24"/>
        </w:rPr>
      </w:pPr>
      <w:r>
        <w:rPr>
          <w:sz w:val="24"/>
          <w:szCs w:val="24"/>
        </w:rPr>
      </w:r>
    </w:p>
    <w:p>
      <w:pPr>
        <w:pStyle w:val="Normal"/>
        <w:numPr>
          <w:ilvl w:val="0"/>
          <w:numId w:val="0"/>
        </w:numPr>
        <w:tabs>
          <w:tab w:val="left" w:pos="0" w:leader="none"/>
        </w:tabs>
        <w:ind w:left="0" w:hanging="0"/>
        <w:outlineLvl w:val="0"/>
        <w:rPr>
          <w:sz w:val="24"/>
          <w:szCs w:val="24"/>
        </w:rPr>
      </w:pPr>
      <w:r>
        <w:rPr>
          <w:sz w:val="24"/>
          <w:szCs w:val="24"/>
        </w:rPr>
        <w:t>ОГРАНИЧЕНИЕ РЕЖИМА ПОТРЕБЛЕНИЯ ПРИ ВЫВОДЕ ЭЛЕКСТРОУСТАНОВОК ТСО В РЕМОНТ</w:t>
      </w:r>
    </w:p>
    <w:p>
      <w:pPr>
        <w:pStyle w:val="Normal"/>
        <w:numPr>
          <w:ilvl w:val="0"/>
          <w:numId w:val="2"/>
        </w:numPr>
        <w:tabs>
          <w:tab w:val="left" w:pos="0" w:leader="none"/>
        </w:tabs>
        <w:ind w:left="0" w:hanging="0"/>
        <w:rPr>
          <w:sz w:val="24"/>
          <w:szCs w:val="24"/>
        </w:rPr>
      </w:pPr>
      <w:r>
        <w:rPr>
          <w:sz w:val="24"/>
          <w:szCs w:val="24"/>
        </w:rPr>
        <w:t>Ремонтные работы, проведение которых влечет необходимость введения полного и (или) частичного ограничения режима потребления ПОТРЕБИТЕЛЯ ГП, ТСО согласовывает в срок не позднее чем за 15 дней до даты проведения с соответствующим ПОРЕБИТЕЛЕМ. ТСО уведомляет ГП о результатах согласования с указанием ПОТРЕБИТЕЛЕЙ и планируемых сроков полного или частичного ограничения.</w:t>
      </w:r>
    </w:p>
    <w:p>
      <w:pPr>
        <w:pStyle w:val="Normal"/>
        <w:numPr>
          <w:ilvl w:val="0"/>
          <w:numId w:val="2"/>
        </w:numPr>
        <w:tabs>
          <w:tab w:val="left" w:pos="0" w:leader="none"/>
        </w:tabs>
        <w:ind w:left="0" w:hanging="0"/>
        <w:rPr>
          <w:sz w:val="24"/>
          <w:szCs w:val="24"/>
        </w:rPr>
      </w:pPr>
      <w:r>
        <w:rPr>
          <w:sz w:val="24"/>
          <w:szCs w:val="24"/>
        </w:rPr>
        <w:t xml:space="preserve">При необходимости проведения плановых ремонтных работ в электроустановках ТСО, связанных с частичным или полным ограничением режима потребления электроэнергии ПОТРЕБИТЕЛЯМ ГП, ТСО в порядке оперативных отношений уведомляет ПОТРЕБИТЕЛЕЙ об этом за 10 дней. </w:t>
      </w:r>
    </w:p>
    <w:p>
      <w:pPr>
        <w:pStyle w:val="Normal"/>
        <w:numPr>
          <w:ilvl w:val="0"/>
          <w:numId w:val="2"/>
        </w:numPr>
        <w:tabs>
          <w:tab w:val="left" w:pos="0" w:leader="none"/>
        </w:tabs>
        <w:ind w:left="0" w:hanging="0"/>
        <w:rPr>
          <w:sz w:val="24"/>
          <w:szCs w:val="24"/>
        </w:rPr>
      </w:pPr>
      <w:bookmarkStart w:id="34" w:name="_Toc83635893"/>
      <w:bookmarkEnd w:id="34"/>
      <w:r>
        <w:rPr>
          <w:sz w:val="24"/>
          <w:szCs w:val="24"/>
        </w:rPr>
        <w:t xml:space="preserve">При введении режима ограничения потребления электроэнергии ПОТРЕБИТЕЛЯМ ГП в связи с выводом электроустановок ТСО в ремонт согласования с ГП не требуется, при этом ТСО обязан уведомить ГП за 3 суток до введения режима ограничения.   </w:t>
      </w:r>
    </w:p>
    <w:p>
      <w:pPr>
        <w:pStyle w:val="Normal"/>
        <w:tabs>
          <w:tab w:val="left" w:pos="0" w:leader="none"/>
        </w:tabs>
        <w:ind w:left="0" w:hanging="0"/>
        <w:rPr>
          <w:sz w:val="24"/>
          <w:szCs w:val="24"/>
        </w:rPr>
      </w:pPr>
      <w:r>
        <w:rPr>
          <w:sz w:val="24"/>
          <w:szCs w:val="24"/>
        </w:rPr>
      </w:r>
    </w:p>
    <w:p>
      <w:pPr>
        <w:pStyle w:val="Normal"/>
        <w:tabs>
          <w:tab w:val="left" w:pos="0" w:leader="none"/>
        </w:tabs>
        <w:ind w:left="0" w:hanging="0"/>
        <w:rPr>
          <w:sz w:val="24"/>
          <w:szCs w:val="24"/>
        </w:rPr>
      </w:pPr>
      <w:r>
        <w:rPr>
          <w:sz w:val="24"/>
          <w:szCs w:val="24"/>
        </w:rPr>
        <w:t xml:space="preserve">ОГРАНИЧЕНИЕ РЕЖИМА ПОТРЕБЛЕНИЯ В ЦЕЛЯХ ПРЕДОТВРАЩЕНИЯ ИЛИ ЛИКВИДАЦИИ АВАРИЙНЫХ СИТУАЦИЙ </w:t>
      </w:r>
    </w:p>
    <w:p>
      <w:pPr>
        <w:pStyle w:val="Normal"/>
        <w:tabs>
          <w:tab w:val="left" w:pos="0" w:leader="none"/>
        </w:tabs>
        <w:ind w:left="0" w:hanging="0"/>
        <w:rPr>
          <w:sz w:val="24"/>
          <w:szCs w:val="24"/>
        </w:rPr>
      </w:pPr>
      <w:r>
        <w:rPr>
          <w:sz w:val="24"/>
          <w:szCs w:val="24"/>
        </w:rPr>
        <w:t>25. В случае возникновения (угрозы возникновения) аварийных электроэнергетических режимов по причине возникновения (угрозе возникновения) дефицита электрической энергии и мощности и (или) падения напряжения, перегрузки электротехнического оборудования и в иных чрезвычайных ситуациях допускается полное и (или) частичное ограничение режима потребления (далее - аварийное ограничение), в том числе без согласования с ПОТРЕБИТЕЛЕМ при необходимости принятия неотложных мер. В таких случаях аварийное ограничение вводится при условии невозможности предотвращения указанных обстоятельств путем использования технологических резервов мощности или изменения режима потребления ПОТРЕБИТЕЛЕЙ с регулируемой нагрузкой.</w:t>
      </w:r>
    </w:p>
    <w:p>
      <w:pPr>
        <w:pStyle w:val="Normal"/>
        <w:tabs>
          <w:tab w:val="left" w:pos="0" w:leader="none"/>
        </w:tabs>
        <w:ind w:left="0" w:hanging="0"/>
        <w:rPr>
          <w:sz w:val="24"/>
          <w:szCs w:val="24"/>
        </w:rPr>
      </w:pPr>
      <w:r>
        <w:rPr>
          <w:sz w:val="24"/>
          <w:szCs w:val="24"/>
        </w:rPr>
        <w:tab/>
        <w:t>Аварийные ограничения осуществляются в соответствии с графиками аварийного ограничения, а также посредством действия аппаратуры противоаварийной и режимной автоматики.</w:t>
      </w:r>
    </w:p>
    <w:p>
      <w:pPr>
        <w:pStyle w:val="Normal"/>
        <w:tabs>
          <w:tab w:val="left" w:pos="0" w:leader="none"/>
        </w:tabs>
        <w:ind w:left="0" w:hanging="0"/>
        <w:rPr>
          <w:sz w:val="24"/>
          <w:szCs w:val="24"/>
        </w:rPr>
      </w:pPr>
      <w:r>
        <w:rPr>
          <w:sz w:val="24"/>
          <w:szCs w:val="24"/>
        </w:rPr>
        <w:t>26.</w:t>
        <w:tab/>
        <w:t>К графикам аварийного ограничения относятся:</w:t>
      </w:r>
    </w:p>
    <w:p>
      <w:pPr>
        <w:pStyle w:val="Normal"/>
        <w:tabs>
          <w:tab w:val="left" w:pos="0" w:leader="none"/>
        </w:tabs>
        <w:ind w:left="0" w:hanging="0"/>
        <w:rPr>
          <w:sz w:val="24"/>
          <w:szCs w:val="24"/>
        </w:rPr>
      </w:pPr>
      <w:r>
        <w:rPr>
          <w:sz w:val="24"/>
          <w:szCs w:val="24"/>
        </w:rPr>
        <w:t>-</w:t>
        <w:tab/>
        <w:t>графики ограничения режима потребления, в соответствии с которыми ПОТРЕБИТЕЛИ заранее уведомляются о необходимости ограничить потребление электрической энергии и самостоятельно выполняют технические мероприятия, обеспечивающие снижение потребления в объемах и в периоды суток, которые указаны в уведомлении. Реализация таких графиков может производиться без отключения энергопринимающих устройств и (или) линий электропередачи;</w:t>
      </w:r>
    </w:p>
    <w:p>
      <w:pPr>
        <w:pStyle w:val="Normal"/>
        <w:tabs>
          <w:tab w:val="left" w:pos="0" w:leader="none"/>
        </w:tabs>
        <w:ind w:left="0" w:hanging="0"/>
        <w:rPr>
          <w:sz w:val="24"/>
          <w:szCs w:val="24"/>
        </w:rPr>
      </w:pPr>
      <w:r>
        <w:rPr>
          <w:sz w:val="24"/>
          <w:szCs w:val="24"/>
        </w:rPr>
        <w:t>-</w:t>
        <w:tab/>
        <w:t>графики временного отключения потребления, в соответствии с которыми без предварительного уведомления ПОТРЕБИТЕЛЕЙ ТСО или системный оператор производит отключение линий электропередачи и (или) электросетевого оборудования. При этом также может предусматриваться отключение электроустановок непосредственно персоналом ПОТРЕБИТЕЛЕЙ. Графики временного отключения вводятся в действие в случае невозможности введения в действие графиков ограничения режима потребления в сроки, необходимые для предупреждения или предотвращения аварийных электроэнергетических режимов.</w:t>
      </w:r>
    </w:p>
    <w:p>
      <w:pPr>
        <w:pStyle w:val="NormalWeb"/>
        <w:spacing w:lineRule="atLeast" w:line="288" w:beforeAutospacing="0" w:before="0" w:afterAutospacing="0" w:after="0"/>
        <w:jc w:val="both"/>
        <w:rPr/>
      </w:pPr>
      <w:r>
        <w:rPr/>
        <w:t>27.</w:t>
        <w:tab/>
        <w:t>В графики ограничения режима потребления могут быть включены ПОТРЕБИТЕЛИ любой категории. В графики временного отключения могут быть включены ПОТРЕБИТЕЛИ любой категории, за исключением электроприемников аварийной брони, имеющих акты согласования аварийной брони.</w:t>
      </w:r>
    </w:p>
    <w:p>
      <w:pPr>
        <w:pStyle w:val="ListParagraph"/>
        <w:numPr>
          <w:ilvl w:val="0"/>
          <w:numId w:val="5"/>
        </w:numPr>
        <w:ind w:left="0" w:hanging="0"/>
        <w:rPr>
          <w:sz w:val="24"/>
          <w:szCs w:val="24"/>
          <w:highlight w:val="lightGray"/>
        </w:rPr>
      </w:pPr>
      <w:r>
        <w:rPr>
          <w:sz w:val="24"/>
          <w:szCs w:val="24"/>
        </w:rPr>
        <w:t>В случае необходимости аварийного ограничения графики аварийного ограничения вводятся в действие соответствующим субъектом оперативно-диспетчерского управления путем выдачи диспетчерских команд и (или) распоряжений.</w:t>
      </w:r>
      <w:r>
        <w:rPr/>
        <w:t xml:space="preserve"> </w:t>
      </w:r>
      <w:r>
        <w:rPr>
          <w:sz w:val="24"/>
          <w:szCs w:val="24"/>
        </w:rPr>
        <w:t>Диспетчерские распоряжения о введении в действие графиков ограничения передаются субъектом оперативно-диспетчерского управления в ТСО, ТСО в свою очередь доводит информацию о введении в действие графиков ГП и ПОТРЕБИТЕЛЕЙ.</w:t>
      </w:r>
    </w:p>
    <w:p>
      <w:pPr>
        <w:pStyle w:val="ListParagraph"/>
        <w:numPr>
          <w:ilvl w:val="0"/>
          <w:numId w:val="5"/>
        </w:numPr>
        <w:ind w:left="0" w:hanging="0"/>
        <w:rPr>
          <w:sz w:val="24"/>
          <w:szCs w:val="24"/>
        </w:rPr>
      </w:pPr>
      <w:r>
        <w:rPr>
          <w:sz w:val="24"/>
          <w:szCs w:val="24"/>
        </w:rPr>
        <w:t>Графики ограничения режима потребления вводятся в действие начиная с 0 часов 00 минут следующих суток, с уведомлением об этом ПОТРЕБИТЕЛЯ не позднее 14 часов 00 минут текущих суток (по местному времени).</w:t>
      </w:r>
      <w:r>
        <w:rPr/>
        <w:t xml:space="preserve"> </w:t>
      </w:r>
      <w:r>
        <w:rPr>
          <w:sz w:val="24"/>
          <w:szCs w:val="24"/>
        </w:rPr>
        <w:t>ТСО уведомляет ПОТРЕБИТЕЛЕЙ о введении в действие графиков ограничения режима потребления телефонограммой или иным сообщением на имя руководителя организации (иного уполномоченного лица) с указанием основания и величины введения аварийных ограничений, времени начала и окончания ограничения. Сообщения о введении в действие графиков ограничения режима потребления могут быть дополнительно переданы через средства массовой информации и иными доступными способами.</w:t>
      </w:r>
    </w:p>
    <w:p>
      <w:pPr>
        <w:pStyle w:val="ListParagraph"/>
        <w:numPr>
          <w:ilvl w:val="0"/>
          <w:numId w:val="5"/>
        </w:numPr>
        <w:ind w:left="0" w:hanging="0"/>
        <w:rPr>
          <w:sz w:val="24"/>
          <w:szCs w:val="24"/>
        </w:rPr>
      </w:pPr>
      <w:r>
        <w:rPr>
          <w:sz w:val="24"/>
          <w:szCs w:val="24"/>
        </w:rPr>
        <w:t>Кроме того, сведения о времени отключения и восстановления потребления электрической энергии по ПОТРЕБИТЕЛЯМ, включенным в графики аварийного ограничения, ТСО обязана разместить на своем сайте в сети "Интернет".</w:t>
      </w:r>
    </w:p>
    <w:p>
      <w:pPr>
        <w:pStyle w:val="ListParagraph"/>
        <w:numPr>
          <w:ilvl w:val="0"/>
          <w:numId w:val="5"/>
        </w:numPr>
        <w:tabs>
          <w:tab w:val="left" w:pos="0" w:leader="none"/>
        </w:tabs>
        <w:ind w:left="720" w:hanging="720"/>
        <w:rPr>
          <w:sz w:val="24"/>
          <w:szCs w:val="24"/>
        </w:rPr>
      </w:pPr>
      <w:r>
        <w:rPr>
          <w:sz w:val="24"/>
          <w:szCs w:val="24"/>
        </w:rPr>
        <w:t>Графики временного отключения потребления, производятся:</w:t>
      </w:r>
    </w:p>
    <w:p>
      <w:pPr>
        <w:pStyle w:val="Normal"/>
        <w:tabs>
          <w:tab w:val="left" w:pos="0" w:leader="none"/>
        </w:tabs>
        <w:ind w:left="0" w:hanging="0"/>
        <w:rPr>
          <w:sz w:val="24"/>
          <w:szCs w:val="24"/>
        </w:rPr>
      </w:pPr>
      <w:r>
        <w:rPr>
          <w:sz w:val="24"/>
          <w:szCs w:val="24"/>
        </w:rPr>
        <w:t>а) ТСО - по диспетчерской команде (распоряжению) субъекта оперативно-диспетчерского управления или самостоятельно, в случае угрозы возникновения аварийной ситуации в электросетях ТСО при отсутствии диспетчерской команды (распоряжения);</w:t>
      </w:r>
    </w:p>
    <w:p>
      <w:pPr>
        <w:pStyle w:val="Normal"/>
        <w:tabs>
          <w:tab w:val="left" w:pos="0" w:leader="none"/>
        </w:tabs>
        <w:ind w:left="0" w:hanging="0"/>
        <w:rPr>
          <w:sz w:val="24"/>
          <w:szCs w:val="24"/>
        </w:rPr>
      </w:pPr>
      <w:r>
        <w:rPr>
          <w:sz w:val="24"/>
          <w:szCs w:val="24"/>
        </w:rPr>
        <w:t>в) ПОТРЕБИТЕЛЕМ - по диспетчерской команде (распоряжению) субъекта оперативно-диспетчерского управления, в том числе передаваемой через ТСО. ТСО производит отключение линий электропередачи и (или) электросетевого оборудования. При этом также может предусматриваться отключение электроустановок непосредственно персоналом потребителей. ТСО оповещает ПОТРЕБИТЕЛЕЙ и ГП о введении в действие графиков временного отключения потребления незамедлительно после их введения.</w:t>
      </w:r>
    </w:p>
    <w:p>
      <w:pPr>
        <w:pStyle w:val="ListParagraph"/>
        <w:numPr>
          <w:ilvl w:val="0"/>
          <w:numId w:val="5"/>
        </w:numPr>
        <w:ind w:left="0" w:hanging="0"/>
        <w:rPr>
          <w:sz w:val="24"/>
          <w:szCs w:val="24"/>
        </w:rPr>
      </w:pPr>
      <w:r>
        <w:rPr>
          <w:sz w:val="24"/>
          <w:szCs w:val="24"/>
        </w:rPr>
        <w:t>В течение времени действия ограничений режима потребления электрической энергии ТСО совместно с ГП контролирует режим потребления электрической энергии ПОТРЕБИТЕЛЯ с использованием всех доступных средств измерения, контрольных выездов и контрольных замеров и</w:t>
      </w:r>
      <w:r>
        <w:rPr/>
        <w:t xml:space="preserve"> </w:t>
      </w:r>
      <w:r>
        <w:rPr>
          <w:sz w:val="24"/>
          <w:szCs w:val="24"/>
        </w:rPr>
        <w:t>незамедлительно информирует о состоянии этого режима субъект оперативно-диспетчерского управления.</w:t>
      </w:r>
    </w:p>
    <w:p>
      <w:pPr>
        <w:pStyle w:val="Normal"/>
        <w:tabs>
          <w:tab w:val="left" w:pos="0" w:leader="none"/>
          <w:tab w:val="left" w:pos="1275" w:leader="none"/>
        </w:tabs>
        <w:ind w:left="0" w:hanging="0"/>
        <w:rPr>
          <w:sz w:val="24"/>
          <w:szCs w:val="24"/>
        </w:rPr>
      </w:pPr>
      <w:r>
        <w:rPr>
          <w:sz w:val="24"/>
          <w:szCs w:val="24"/>
        </w:rPr>
      </w:r>
    </w:p>
    <w:p>
      <w:pPr>
        <w:pStyle w:val="Normal"/>
        <w:tabs>
          <w:tab w:val="left" w:pos="0" w:leader="none"/>
          <w:tab w:val="left" w:pos="1275" w:leader="none"/>
        </w:tabs>
        <w:ind w:left="0" w:hanging="0"/>
        <w:rPr>
          <w:sz w:val="24"/>
          <w:szCs w:val="24"/>
        </w:rPr>
      </w:pPr>
      <w:r>
        <w:rPr>
          <w:sz w:val="24"/>
          <w:szCs w:val="24"/>
        </w:rPr>
        <w:t>ОГРАНИЧЕНИЕ РЕЖИМА ПОТРЕБЛЕНИЯ В СВЯЗИ С НЕОБХОДИМОСТЬЮ ПРИНЯТИЯ НЕОТЛОЖНЫХ МЕР ПО ПРЕДОТВРАЩЕНИЮ ИЛИ ЛИКВИДАЦИИ АВАРИИ В РАБОТЕ СИСТЕМЫ ЭЛЕКТРОСНАБЖЕНИЯ, ПРИ УГРОЗЕ ЖИЗНИ И БЕЗОПАСНОСТИ ЛЮДЕЙ</w:t>
      </w:r>
    </w:p>
    <w:p>
      <w:pPr>
        <w:pStyle w:val="Normal"/>
        <w:numPr>
          <w:ilvl w:val="0"/>
          <w:numId w:val="5"/>
        </w:numPr>
        <w:tabs>
          <w:tab w:val="left" w:pos="709" w:leader="none"/>
        </w:tabs>
        <w:ind w:left="0" w:hanging="0"/>
        <w:rPr>
          <w:sz w:val="24"/>
          <w:szCs w:val="24"/>
        </w:rPr>
      </w:pPr>
      <w:r>
        <w:rPr>
          <w:sz w:val="24"/>
          <w:szCs w:val="24"/>
        </w:rPr>
        <w:t>Для принятия неотложных мер по предотвращению или ликвидации аварии в работе системы электроснабжения, при угрозе жизни и безопасности людей или дальнейшего развития аварии и разрушения оборудования, ТСО имеет право частично или полностью ограничивать режим потребления электроэнергии ПОТРЕБИТЕЛЯМ ГП с последующим уведомлением ПОТРЕБИТЕЛЕЙ и ГП.</w:t>
      </w:r>
    </w:p>
    <w:p>
      <w:pPr>
        <w:pStyle w:val="Normal"/>
        <w:numPr>
          <w:ilvl w:val="0"/>
          <w:numId w:val="5"/>
        </w:numPr>
        <w:tabs>
          <w:tab w:val="left" w:pos="709" w:leader="none"/>
        </w:tabs>
        <w:ind w:left="0" w:hanging="0"/>
        <w:rPr>
          <w:sz w:val="24"/>
          <w:szCs w:val="24"/>
        </w:rPr>
      </w:pPr>
      <w:r>
        <w:rPr>
          <w:sz w:val="24"/>
          <w:szCs w:val="24"/>
        </w:rPr>
        <w:t>При невозможности возобновления режима потребления электроэнергии ПОТРЕБИТЕЛЯМ ГП в течение 1 суток ТСО обязан уведомить ГП и ПОТРЕБИТЕЛЕЙ о причинах возникновения аварии и о сроках возобновления режима потребления электроэнергии.</w:t>
      </w:r>
    </w:p>
    <w:p>
      <w:pPr>
        <w:pStyle w:val="Normal"/>
        <w:tabs>
          <w:tab w:val="left" w:pos="709" w:leader="none"/>
        </w:tabs>
        <w:rPr>
          <w:sz w:val="24"/>
          <w:szCs w:val="24"/>
        </w:rPr>
      </w:pPr>
      <w:r>
        <w:rPr>
          <w:sz w:val="24"/>
          <w:szCs w:val="24"/>
        </w:rPr>
      </w:r>
    </w:p>
    <w:p>
      <w:pPr>
        <w:pStyle w:val="Normal"/>
        <w:tabs>
          <w:tab w:val="left" w:pos="709" w:leader="none"/>
        </w:tabs>
        <w:ind w:left="0" w:hanging="0"/>
        <w:rPr>
          <w:sz w:val="24"/>
          <w:szCs w:val="24"/>
        </w:rPr>
      </w:pPr>
      <w:r>
        <w:rPr>
          <w:sz w:val="24"/>
          <w:szCs w:val="24"/>
        </w:rPr>
        <w:t>ПОРЯДОК ВВЕДЕНИЯ ОГРАНИЧЕНИЯ РЕЖИМА ПОТРЕБЛЕНИЯ ДЛЯ ПРЕДУПРЕЖДЕНИЯ И ЛИКВИДАЦИИ ЧРЕЗВЫЧАЙНОЙ СИТУАЦИИ</w:t>
      </w:r>
    </w:p>
    <w:p>
      <w:pPr>
        <w:pStyle w:val="ListParagraph"/>
        <w:numPr>
          <w:ilvl w:val="0"/>
          <w:numId w:val="5"/>
        </w:numPr>
        <w:ind w:left="0" w:hanging="0"/>
        <w:rPr>
          <w:sz w:val="24"/>
          <w:szCs w:val="24"/>
        </w:rPr>
      </w:pPr>
      <w:r>
        <w:rPr>
          <w:sz w:val="24"/>
          <w:szCs w:val="24"/>
        </w:rPr>
        <w:t>Ограничение режима потребления в качестве меры, обусловленной развитием чрезвычайной ситуации и направленной на защиту населения и территорий от чрезвычайной ситуации, создание необходимых условий для предупреждения и ликвидации чрезвычайной ситуации и минимизации ее негативного воздействия,</w:t>
      </w:r>
      <w:r>
        <w:rPr/>
        <w:t xml:space="preserve"> </w:t>
      </w:r>
      <w:r>
        <w:rPr>
          <w:sz w:val="24"/>
          <w:szCs w:val="24"/>
        </w:rPr>
        <w:t>вводится на основании решения штаба по обеспечению безопасности электроснабжения, созданного в соответствующем субъекте Российской Федерации.</w:t>
      </w:r>
    </w:p>
    <w:p>
      <w:pPr>
        <w:pStyle w:val="ListParagraph"/>
        <w:numPr>
          <w:ilvl w:val="0"/>
          <w:numId w:val="5"/>
        </w:numPr>
        <w:ind w:left="0" w:hanging="0"/>
        <w:rPr>
          <w:sz w:val="24"/>
          <w:szCs w:val="24"/>
        </w:rPr>
      </w:pPr>
      <w:r>
        <w:rPr>
          <w:sz w:val="24"/>
          <w:szCs w:val="24"/>
        </w:rPr>
        <w:t>Ограничение режима потребления при чрезвычайной ситуации вводится без согласования с ПОТРЕБИТЕЛЯМИ при условии невозможности предотвращения ограничения режима потребления при чрезвычайной ситуации путем использования технологических резервов мощности или автономных резервных источников питания.</w:t>
      </w:r>
    </w:p>
    <w:p>
      <w:pPr>
        <w:pStyle w:val="ListParagraph"/>
        <w:numPr>
          <w:ilvl w:val="0"/>
          <w:numId w:val="5"/>
        </w:numPr>
        <w:ind w:left="0" w:hanging="0"/>
        <w:rPr>
          <w:sz w:val="24"/>
          <w:szCs w:val="24"/>
        </w:rPr>
      </w:pPr>
      <w:r>
        <w:rPr>
          <w:sz w:val="24"/>
          <w:szCs w:val="24"/>
        </w:rPr>
        <w:t>Действия по введению ограничения режима потребления при чрезвычайной ситуации выполняются субъектами электроэнергетики и (или) иными лицами, владеющими указанными в решении штаба объектами электроэнергетики. Такие субъекты электроэнергетики и (или) иные лица в сроки и способом, которые указаны в решении штаба, направляют в адреса ГП ТСО и ПОТРЕБИТЕЛЕЙ уведомление о введении ограничения режима потребления при чрезвычайной ситуации, а также о причинах и предполагаемой продолжительности его действия.</w:t>
      </w:r>
    </w:p>
    <w:p>
      <w:pPr>
        <w:pStyle w:val="Normal"/>
        <w:ind w:left="0" w:firstLine="714"/>
        <w:rPr>
          <w:sz w:val="24"/>
          <w:szCs w:val="24"/>
        </w:rPr>
      </w:pPr>
      <w:r>
        <w:rPr>
          <w:sz w:val="24"/>
          <w:szCs w:val="24"/>
        </w:rPr>
        <w:t>При получении уведомления ГП и ТСО в сроки и способом, которые указаны в решении штаба, направляют обслуживаемым ими ПОТРЕБИТЕЛЯМ уведомление о введении ограничения режима потребления при чрезвычайной ситуации, а также о причинах и предполагаемой продолжительности его действия.</w:t>
      </w:r>
    </w:p>
    <w:p>
      <w:pPr>
        <w:pStyle w:val="ListParagraph"/>
        <w:numPr>
          <w:ilvl w:val="0"/>
          <w:numId w:val="5"/>
        </w:numPr>
        <w:ind w:left="0" w:hanging="0"/>
        <w:rPr>
          <w:sz w:val="24"/>
          <w:szCs w:val="24"/>
        </w:rPr>
      </w:pPr>
      <w:r>
        <w:rPr>
          <w:sz w:val="24"/>
          <w:szCs w:val="24"/>
        </w:rPr>
        <w:t>ПОТРЕБИТЕИ, ограничение режима потребления электрической энергии которых может привести к экономическим, экологическим или социальным последствиям, и потребители, которые имеют электроприемники технологической и (или) аварийной брони, обязаны реализовывать меры, обеспечивающие возможность введения в отношении таких потребителей ограничения режима потребления при чрезвычайной ситуации в сроки, установленные решением штаба.</w:t>
      </w:r>
    </w:p>
    <w:p>
      <w:pPr>
        <w:pStyle w:val="ListParagraph"/>
        <w:numPr>
          <w:ilvl w:val="0"/>
          <w:numId w:val="5"/>
        </w:numPr>
        <w:ind w:left="0" w:hanging="0"/>
        <w:rPr>
          <w:sz w:val="24"/>
          <w:szCs w:val="24"/>
        </w:rPr>
      </w:pPr>
      <w:r>
        <w:rPr>
          <w:sz w:val="24"/>
          <w:szCs w:val="24"/>
        </w:rPr>
        <w:t>При получении от штаба по обеспечению безопасности электроснабжения решения об отмене ограничения режима потребления субъекты электроэнергетики и (или) иные лица, владеющие объектами электроэнергетики, осуществляют действия по возобновлению подачи электрической энергии ПОТРЕБИТЕЛЯМ.</w:t>
      </w:r>
    </w:p>
    <w:p>
      <w:pPr>
        <w:pStyle w:val="Normal"/>
        <w:tabs>
          <w:tab w:val="left" w:pos="0" w:leader="none"/>
          <w:tab w:val="left" w:pos="1275" w:leader="none"/>
        </w:tabs>
        <w:ind w:left="0" w:hanging="0"/>
        <w:rPr>
          <w:sz w:val="24"/>
          <w:szCs w:val="24"/>
        </w:rPr>
      </w:pPr>
      <w:r>
        <w:rPr>
          <w:sz w:val="24"/>
          <w:szCs w:val="24"/>
        </w:rPr>
      </w:r>
    </w:p>
    <w:p>
      <w:pPr>
        <w:pStyle w:val="Normal"/>
        <w:tabs>
          <w:tab w:val="left" w:pos="0" w:leader="none"/>
          <w:tab w:val="left" w:pos="1275" w:leader="none"/>
        </w:tabs>
        <w:ind w:left="0" w:hanging="0"/>
        <w:rPr>
          <w:sz w:val="24"/>
          <w:szCs w:val="24"/>
        </w:rPr>
      </w:pPr>
      <w:r>
        <w:rPr>
          <w:sz w:val="24"/>
          <w:szCs w:val="24"/>
        </w:rPr>
        <w:t>ОГРАНИЧЕНИЕ РЕЖИМА ПОТРЕБЛЕНИЯ ПО ЗАКЛЮЧЕНИЮ РОСТЕХНАДЗОРА О НЕУДОВЛЕТВОРИТЕЛЬНОМ СОСТОЯНИИ ЭНЕРГЕТИЧЕСКИХ УСТАНОВОК ПОТРЕБИТЕЛЯ, КОТОРОЕ УГРОЖАЕТ АВАРИЕЙ ИЛИ СОЗДАЕТ УГРОЗУ ЖИЗНИ И БЕЗОПАСНОСТИ</w:t>
      </w:r>
    </w:p>
    <w:p>
      <w:pPr>
        <w:pStyle w:val="Normal"/>
        <w:numPr>
          <w:ilvl w:val="0"/>
          <w:numId w:val="5"/>
        </w:numPr>
        <w:ind w:left="0" w:hanging="0"/>
        <w:rPr>
          <w:sz w:val="24"/>
          <w:szCs w:val="24"/>
        </w:rPr>
      </w:pPr>
      <w:r>
        <w:rPr>
          <w:sz w:val="24"/>
          <w:szCs w:val="24"/>
        </w:rPr>
        <w:t>При получении акта-предписания Ростехнадзора о неудовлетворительном состоянии энергетических установок ПОТРЕБИТЕЛЯ, которое угрожает аварией или создает угрозу жизни и безопасности, ТСО обязан в сроки, указанные в акте-предписании, ввести частичное или полное ограничение режима потребления электроэнергии ПОТРЕБИТЕЛЮ ГП. О получении указанного акта-предписания ТСО обязан в течение 1 дня уведомить ГП.</w:t>
      </w:r>
    </w:p>
    <w:p>
      <w:pPr>
        <w:pStyle w:val="Normal"/>
        <w:numPr>
          <w:ilvl w:val="0"/>
          <w:numId w:val="5"/>
        </w:numPr>
        <w:ind w:left="0" w:hanging="0"/>
        <w:rPr>
          <w:sz w:val="24"/>
          <w:szCs w:val="24"/>
        </w:rPr>
      </w:pPr>
      <w:r>
        <w:rPr>
          <w:sz w:val="24"/>
          <w:szCs w:val="24"/>
        </w:rPr>
        <w:t>При введении режима ограничения потребления электроэнергии ПОТРЕБИТЕЛЯМ ГП по заключению Ростехнадзора о неудовлетворительном состоянии энергетических установок ПОТРЕБИТЕЛЯ согласования с ГП не требуется.</w:t>
      </w:r>
    </w:p>
    <w:p>
      <w:pPr>
        <w:pStyle w:val="Normal"/>
        <w:tabs>
          <w:tab w:val="left" w:pos="0" w:leader="none"/>
        </w:tabs>
        <w:ind w:left="0" w:hanging="0"/>
        <w:rPr>
          <w:sz w:val="24"/>
          <w:szCs w:val="24"/>
        </w:rPr>
      </w:pPr>
      <w:r>
        <w:rPr>
          <w:sz w:val="24"/>
          <w:szCs w:val="24"/>
        </w:rPr>
      </w:r>
    </w:p>
    <w:p>
      <w:pPr>
        <w:pStyle w:val="Normal"/>
        <w:numPr>
          <w:ilvl w:val="0"/>
          <w:numId w:val="0"/>
        </w:numPr>
        <w:tabs>
          <w:tab w:val="left" w:pos="0" w:leader="none"/>
        </w:tabs>
        <w:ind w:left="0" w:hanging="0"/>
        <w:outlineLvl w:val="0"/>
        <w:rPr>
          <w:sz w:val="24"/>
          <w:szCs w:val="24"/>
        </w:rPr>
      </w:pPr>
      <w:r>
        <w:rPr>
          <w:sz w:val="24"/>
          <w:szCs w:val="24"/>
        </w:rPr>
        <w:t>ВОЗОБНОВЛЕНИЕ РЕЖИМА ПОТРЕБЛЕНИЯ ЭЛЕКТРОЭНЕРГИИ</w:t>
      </w:r>
    </w:p>
    <w:p>
      <w:pPr>
        <w:pStyle w:val="Normal"/>
        <w:numPr>
          <w:ilvl w:val="0"/>
          <w:numId w:val="5"/>
        </w:numPr>
        <w:ind w:left="0" w:hanging="0"/>
        <w:rPr>
          <w:sz w:val="24"/>
          <w:szCs w:val="24"/>
        </w:rPr>
      </w:pPr>
      <w:r>
        <w:rPr>
          <w:sz w:val="24"/>
          <w:szCs w:val="24"/>
        </w:rPr>
        <w:t>Возобновление режима электроснабжения ПОТРЕБИТЕЛЕЙ, ограничение режима которым было введено по заявке ГП, производится также по заявке ГП в течение суток после получения заявки, направленной в установленном настоящим Регламенте порядке.</w:t>
      </w:r>
    </w:p>
    <w:p>
      <w:pPr>
        <w:pStyle w:val="Normal"/>
        <w:numPr>
          <w:ilvl w:val="0"/>
          <w:numId w:val="5"/>
        </w:numPr>
        <w:ind w:left="0" w:hanging="0"/>
        <w:rPr>
          <w:sz w:val="24"/>
          <w:szCs w:val="24"/>
        </w:rPr>
      </w:pPr>
      <w:r>
        <w:rPr>
          <w:sz w:val="24"/>
          <w:szCs w:val="24"/>
        </w:rPr>
        <w:t>Отмена частичного или полного ограничения режима влечет его восстановление в режиме и в объеме, предусмотренном договором, либо определяемом необходимым режимом и уровнем потребления (для потребителей-граждан).</w:t>
      </w:r>
    </w:p>
    <w:p>
      <w:pPr>
        <w:pStyle w:val="Normal"/>
        <w:numPr>
          <w:ilvl w:val="0"/>
          <w:numId w:val="5"/>
        </w:numPr>
        <w:ind w:left="0" w:hanging="0"/>
        <w:rPr>
          <w:sz w:val="24"/>
          <w:szCs w:val="24"/>
        </w:rPr>
      </w:pPr>
      <w:r>
        <w:rPr>
          <w:sz w:val="24"/>
          <w:szCs w:val="24"/>
        </w:rPr>
        <w:t>Возобновление режима электроснабжения ПОТРЕБИТЕЛЯ, ограничение режима которому было введено по графикам аварийного ограничения, производится на основании команд субъекта оперативно-диспетчерского управления.</w:t>
      </w:r>
    </w:p>
    <w:p>
      <w:pPr>
        <w:pStyle w:val="Normal"/>
        <w:numPr>
          <w:ilvl w:val="0"/>
          <w:numId w:val="5"/>
        </w:numPr>
        <w:ind w:left="0" w:hanging="0"/>
        <w:rPr>
          <w:sz w:val="24"/>
          <w:szCs w:val="24"/>
        </w:rPr>
      </w:pPr>
      <w:r>
        <w:rPr>
          <w:sz w:val="24"/>
          <w:szCs w:val="24"/>
        </w:rPr>
        <w:t>Во всех иных случаях введения ограничения электроснабжения его восстановление производится ТСО по окончании действия обстоятельств, явившихся основанием для введения ограничения. При этом согласования с ГП не требуется, ТСО обязан уведомить ГП не позднее чем за 2 дня до планируемого возобновления режима потребления электроэнергии.</w:t>
      </w:r>
    </w:p>
    <w:p>
      <w:pPr>
        <w:pStyle w:val="Normal"/>
        <w:jc w:val="right"/>
        <w:rPr/>
      </w:pPr>
      <w:r>
        <w:rPr/>
      </w:r>
    </w:p>
    <w:tbl>
      <w:tblPr>
        <w:tblW w:w="9468" w:type="dxa"/>
        <w:jc w:val="left"/>
        <w:tblInd w:w="0" w:type="dxa"/>
        <w:tblBorders/>
        <w:tblCellMar>
          <w:top w:w="0" w:type="dxa"/>
          <w:left w:w="108" w:type="dxa"/>
          <w:bottom w:w="0" w:type="dxa"/>
          <w:right w:w="108" w:type="dxa"/>
        </w:tblCellMar>
        <w:tblLook w:val="01e0" w:noVBand="0" w:noHBand="0" w:lastColumn="1" w:firstColumn="1" w:lastRow="1" w:firstRow="1"/>
      </w:tblPr>
      <w:tblGrid>
        <w:gridCol w:w="4608"/>
        <w:gridCol w:w="4859"/>
      </w:tblGrid>
      <w:tr>
        <w:trPr>
          <w:trHeight w:val="675" w:hRule="atLeast"/>
        </w:trPr>
        <w:tc>
          <w:tcPr>
            <w:tcW w:w="4608" w:type="dxa"/>
            <w:tcBorders/>
            <w:shd w:fill="auto" w:val="clear"/>
          </w:tcPr>
          <w:p>
            <w:pPr>
              <w:pStyle w:val="Normal"/>
              <w:ind w:left="0" w:right="255" w:hanging="0"/>
              <w:rPr>
                <w:b/>
                <w:b/>
                <w:sz w:val="24"/>
                <w:szCs w:val="24"/>
              </w:rPr>
            </w:pPr>
            <w:r>
              <w:rPr>
                <w:b/>
                <w:sz w:val="24"/>
                <w:szCs w:val="24"/>
              </w:rPr>
              <w:t>_______________________А. З. Жосан</w:t>
            </w:r>
          </w:p>
          <w:p>
            <w:pPr>
              <w:pStyle w:val="Normal"/>
              <w:ind w:left="0" w:right="255" w:hanging="0"/>
              <w:rPr>
                <w:b/>
                <w:b/>
                <w:sz w:val="24"/>
                <w:szCs w:val="24"/>
              </w:rPr>
            </w:pPr>
            <w:r>
              <w:rPr>
                <w:b/>
                <w:sz w:val="24"/>
                <w:szCs w:val="24"/>
              </w:rPr>
              <w:t>м.п.</w:t>
            </w:r>
          </w:p>
          <w:p>
            <w:pPr>
              <w:pStyle w:val="Normal"/>
              <w:ind w:left="0" w:right="255" w:firstLine="357"/>
              <w:jc w:val="center"/>
              <w:rPr>
                <w:b/>
                <w:b/>
                <w:bCs/>
                <w:sz w:val="24"/>
                <w:szCs w:val="24"/>
              </w:rPr>
            </w:pPr>
            <w:r>
              <w:rPr>
                <w:b/>
                <w:bCs/>
                <w:sz w:val="24"/>
                <w:szCs w:val="24"/>
              </w:rPr>
            </w:r>
          </w:p>
          <w:p>
            <w:pPr>
              <w:pStyle w:val="Normal"/>
              <w:ind w:left="0" w:right="255" w:hanging="0"/>
              <w:rPr>
                <w:b/>
                <w:b/>
                <w:sz w:val="24"/>
                <w:szCs w:val="24"/>
              </w:rPr>
            </w:pPr>
            <w:r>
              <w:rPr>
                <w:b/>
                <w:bCs/>
                <w:sz w:val="24"/>
                <w:szCs w:val="24"/>
              </w:rPr>
              <w:t>«___»______________202__ года</w:t>
            </w:r>
          </w:p>
        </w:tc>
        <w:tc>
          <w:tcPr>
            <w:tcW w:w="4859" w:type="dxa"/>
            <w:tcBorders/>
            <w:shd w:fill="auto" w:val="clear"/>
          </w:tcPr>
          <w:p>
            <w:pPr>
              <w:pStyle w:val="Normal"/>
              <w:ind w:left="0" w:hanging="0"/>
              <w:rPr/>
            </w:pPr>
            <w:r>
              <w:rPr>
                <w:sz w:val="24"/>
                <w:szCs w:val="24"/>
              </w:rPr>
              <w:t>_________________</w:t>
            </w:r>
            <w:r>
              <w:rPr>
                <w:rStyle w:val="125"/>
                <w:sz w:val="24"/>
                <w:szCs w:val="24"/>
              </w:rPr>
              <w:t>/_________________/</w:t>
            </w:r>
          </w:p>
          <w:p>
            <w:pPr>
              <w:pStyle w:val="Normal"/>
              <w:ind w:left="0" w:hanging="0"/>
              <w:rPr>
                <w:b/>
                <w:b/>
                <w:bCs/>
                <w:sz w:val="24"/>
                <w:szCs w:val="24"/>
              </w:rPr>
            </w:pPr>
            <w:r>
              <w:rPr>
                <w:b/>
                <w:bCs/>
                <w:sz w:val="24"/>
                <w:szCs w:val="24"/>
              </w:rPr>
              <w:t>м.п.</w:t>
            </w:r>
          </w:p>
          <w:p>
            <w:pPr>
              <w:pStyle w:val="Normal"/>
              <w:ind w:left="0" w:firstLine="357"/>
              <w:rPr>
                <w:b/>
                <w:b/>
                <w:bCs/>
                <w:sz w:val="24"/>
                <w:szCs w:val="24"/>
              </w:rPr>
            </w:pPr>
            <w:r>
              <w:rPr>
                <w:b/>
                <w:bCs/>
                <w:sz w:val="24"/>
                <w:szCs w:val="24"/>
              </w:rPr>
            </w:r>
          </w:p>
          <w:p>
            <w:pPr>
              <w:pStyle w:val="Normal"/>
              <w:ind w:left="0" w:hanging="0"/>
              <w:rPr>
                <w:b/>
                <w:b/>
                <w:bCs/>
                <w:sz w:val="24"/>
                <w:szCs w:val="24"/>
              </w:rPr>
            </w:pPr>
            <w:r>
              <w:rPr>
                <w:b/>
                <w:bCs/>
                <w:sz w:val="24"/>
                <w:szCs w:val="24"/>
              </w:rPr>
              <w:t>«___»_______________202__  года</w:t>
            </w:r>
          </w:p>
        </w:tc>
      </w:tr>
    </w:tbl>
    <w:p>
      <w:pPr>
        <w:pStyle w:val="Normal"/>
        <w:jc w:val="right"/>
        <w:rPr/>
      </w:pPr>
      <w:r>
        <w:rPr/>
      </w:r>
    </w:p>
    <w:p>
      <w:pPr>
        <w:pStyle w:val="Normal"/>
        <w:pBdr/>
        <w:jc w:val="right"/>
        <w:rPr/>
      </w:pPr>
      <w:r>
        <w:rPr/>
      </w:r>
    </w:p>
    <w:sectPr>
      <w:type w:val="nextPage"/>
      <w:pgSz w:w="11906" w:h="16838"/>
      <w:pgMar w:left="1418" w:right="851" w:header="0" w:top="851" w:footer="0" w:bottom="851" w:gutter="0"/>
      <w:pgNumType w:fmt="decimal"/>
      <w:formProt w:val="false"/>
      <w:textDirection w:val="lrTb"/>
      <w:docGrid w:type="default" w:linePitch="24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Liberation Sans">
    <w:altName w:val="Arial"/>
    <w:charset w:val="01"/>
    <w:family w:val="swiss"/>
    <w:pitch w:val="variable"/>
  </w:font>
  <w:font w:name="Courier New">
    <w:charset w:val="01"/>
    <w:family w:val="roman"/>
    <w:pitch w:val="variable"/>
  </w:font>
  <w:font w:name="Tahoma">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rPr>
        <w:sz w:val="22"/>
        <w:b/>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lvl w:ilvl="0">
      <w:start w:val="1"/>
      <w:numFmt w:val="decimal"/>
      <w:lvlText w:val="%1."/>
      <w:lvlJc w:val="left"/>
      <w:pPr>
        <w:tabs>
          <w:tab w:val="num" w:pos="360"/>
        </w:tabs>
        <w:ind w:left="360" w:hanging="0"/>
      </w:pPr>
    </w:lvl>
    <w:lvl w:ilvl="1">
      <w:start w:val="1"/>
      <w:numFmt w:val="none"/>
      <w:suff w:val="nothing"/>
      <w:lvlText w:val=""/>
      <w:lvlJc w:val="left"/>
      <w:pPr>
        <w:tabs>
          <w:tab w:val="num" w:pos="360"/>
        </w:tabs>
        <w:ind w:left="1080" w:hanging="360"/>
      </w:pPr>
    </w:lvl>
    <w:lvl w:ilvl="2">
      <w:start w:val="1"/>
      <w:numFmt w:val="none"/>
      <w:suff w:val="nothing"/>
      <w:lvlText w:val=""/>
      <w:lvlJc w:val="left"/>
      <w:pPr>
        <w:tabs>
          <w:tab w:val="num" w:pos="360"/>
        </w:tabs>
        <w:ind w:left="1440" w:hanging="360"/>
      </w:pPr>
    </w:lvl>
    <w:lvl w:ilvl="3">
      <w:start w:val="1"/>
      <w:numFmt w:val="none"/>
      <w:suff w:val="nothing"/>
      <w:lvlText w:val=""/>
      <w:lvlJc w:val="left"/>
      <w:pPr>
        <w:tabs>
          <w:tab w:val="num" w:pos="360"/>
        </w:tabs>
        <w:ind w:left="1800" w:hanging="360"/>
      </w:pPr>
    </w:lvl>
    <w:lvl w:ilvl="4">
      <w:start w:val="1"/>
      <w:numFmt w:val="none"/>
      <w:suff w:val="nothing"/>
      <w:lvlText w:val=""/>
      <w:lvlJc w:val="left"/>
      <w:pPr>
        <w:tabs>
          <w:tab w:val="num" w:pos="360"/>
        </w:tabs>
        <w:ind w:left="2160" w:hanging="360"/>
      </w:pPr>
    </w:lvl>
    <w:lvl w:ilvl="5">
      <w:start w:val="1"/>
      <w:numFmt w:val="none"/>
      <w:suff w:val="nothing"/>
      <w:lvlText w:val=""/>
      <w:lvlJc w:val="left"/>
      <w:pPr>
        <w:tabs>
          <w:tab w:val="num" w:pos="360"/>
        </w:tabs>
        <w:ind w:left="2520" w:hanging="360"/>
      </w:pPr>
    </w:lvl>
    <w:lvl w:ilvl="6">
      <w:start w:val="1"/>
      <w:numFmt w:val="none"/>
      <w:suff w:val="nothing"/>
      <w:lvlText w:val=""/>
      <w:lvlJc w:val="left"/>
      <w:pPr>
        <w:tabs>
          <w:tab w:val="num" w:pos="360"/>
        </w:tabs>
        <w:ind w:left="2880" w:hanging="360"/>
      </w:pPr>
    </w:lvl>
    <w:lvl w:ilvl="7">
      <w:start w:val="1"/>
      <w:numFmt w:val="none"/>
      <w:suff w:val="nothing"/>
      <w:lvlText w:val=""/>
      <w:lvlJc w:val="left"/>
      <w:pPr>
        <w:tabs>
          <w:tab w:val="num" w:pos="360"/>
        </w:tabs>
        <w:ind w:left="3240" w:hanging="360"/>
      </w:pPr>
    </w:lvl>
    <w:lvl w:ilvl="8">
      <w:start w:val="1"/>
      <w:numFmt w:val="none"/>
      <w:suff w:val="nothing"/>
      <w:lvlText w:val=""/>
      <w:lvlJc w:val="left"/>
      <w:pPr>
        <w:tabs>
          <w:tab w:val="num" w:pos="360"/>
        </w:tabs>
        <w:ind w:left="3600" w:hanging="360"/>
      </w:pPr>
    </w:lvl>
  </w:abstractNum>
  <w:abstractNum w:abstractNumId="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2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533c"/>
    <w:pPr>
      <w:widowControl/>
      <w:bidi w:val="0"/>
      <w:ind w:left="357" w:firstLine="357"/>
      <w:jc w:val="both"/>
    </w:pPr>
    <w:rPr>
      <w:rFonts w:ascii="Times New Roman" w:hAnsi="Times New Roman" w:eastAsia="Times New Roman" w:cs="Times New Roman"/>
      <w:color w:val="auto"/>
      <w:sz w:val="20"/>
      <w:szCs w:val="20"/>
      <w:lang w:val="ru-RU" w:eastAsia="ru-RU" w:bidi="ar-SA"/>
    </w:rPr>
  </w:style>
  <w:style w:type="paragraph" w:styleId="1">
    <w:name w:val="Heading 1"/>
    <w:basedOn w:val="Normal"/>
    <w:qFormat/>
    <w:rsid w:val="0016533c"/>
    <w:pPr>
      <w:keepNext w:val="true"/>
      <w:jc w:val="center"/>
      <w:outlineLvl w:val="0"/>
    </w:pPr>
    <w:rPr>
      <w:rFonts w:ascii="Arial" w:hAnsi="Arial"/>
      <w:b/>
      <w:sz w:val="22"/>
    </w:rPr>
  </w:style>
  <w:style w:type="paragraph" w:styleId="2">
    <w:name w:val="Heading 2"/>
    <w:basedOn w:val="Normal"/>
    <w:link w:val="20"/>
    <w:qFormat/>
    <w:rsid w:val="0016533c"/>
    <w:pPr>
      <w:keepNext w:val="true"/>
      <w:outlineLvl w:val="1"/>
    </w:pPr>
    <w:rPr>
      <w:rFonts w:ascii="Arial" w:hAnsi="Arial"/>
      <w:b/>
      <w:sz w:val="22"/>
      <w:lang w:val="en-US"/>
    </w:rPr>
  </w:style>
  <w:style w:type="paragraph" w:styleId="3">
    <w:name w:val="Heading 3"/>
    <w:basedOn w:val="Normal"/>
    <w:qFormat/>
    <w:rsid w:val="0016533c"/>
    <w:pPr>
      <w:keepNext w:val="true"/>
      <w:jc w:val="center"/>
      <w:outlineLvl w:val="2"/>
    </w:pPr>
    <w:rPr>
      <w:rFonts w:ascii="Arial" w:hAnsi="Arial"/>
      <w:b/>
      <w:sz w:val="16"/>
      <w:lang w:val="en-US"/>
    </w:rPr>
  </w:style>
  <w:style w:type="paragraph" w:styleId="4">
    <w:name w:val="Heading 4"/>
    <w:basedOn w:val="Normal"/>
    <w:qFormat/>
    <w:rsid w:val="0016533c"/>
    <w:pPr>
      <w:keepNext w:val="true"/>
      <w:jc w:val="center"/>
      <w:outlineLvl w:val="3"/>
    </w:pPr>
    <w:rPr>
      <w:rFonts w:ascii="Arial" w:hAnsi="Arial"/>
      <w:b/>
      <w:lang w:val="en-US"/>
    </w:rPr>
  </w:style>
  <w:style w:type="paragraph" w:styleId="5">
    <w:name w:val="Heading 5"/>
    <w:basedOn w:val="Normal"/>
    <w:qFormat/>
    <w:rsid w:val="0016533c"/>
    <w:pPr>
      <w:keepNext w:val="true"/>
      <w:outlineLvl w:val="4"/>
    </w:pPr>
    <w:rPr>
      <w:b/>
      <w:i/>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16533c"/>
    <w:rPr/>
  </w:style>
  <w:style w:type="character" w:styleId="Style9">
    <w:name w:val="Интернет-ссылка"/>
    <w:rsid w:val="00c84986"/>
    <w:rPr>
      <w:color w:val="0000FF"/>
      <w:u w:val="single"/>
    </w:rPr>
  </w:style>
  <w:style w:type="character" w:styleId="Style10" w:customStyle="1">
    <w:name w:val="Верхний колонтитул Знак"/>
    <w:basedOn w:val="DefaultParagraphFont"/>
    <w:link w:val="a3"/>
    <w:qFormat/>
    <w:rsid w:val="003a33d4"/>
    <w:rPr/>
  </w:style>
  <w:style w:type="character" w:styleId="11" w:customStyle="1">
    <w:name w:val="Стиль1_св-ва документа Знак"/>
    <w:link w:val="1-"/>
    <w:qFormat/>
    <w:rsid w:val="00f26e59"/>
    <w:rPr>
      <w:b/>
      <w:bCs/>
      <w:sz w:val="25"/>
      <w:szCs w:val="25"/>
    </w:rPr>
  </w:style>
  <w:style w:type="character" w:styleId="125" w:customStyle="1">
    <w:name w:val="Обычный125Жир Знак"/>
    <w:link w:val="125"/>
    <w:qFormat/>
    <w:rsid w:val="003c61f8"/>
    <w:rPr>
      <w:b/>
      <w:bCs/>
      <w:color w:val="0000FF"/>
      <w:sz w:val="25"/>
      <w:szCs w:val="25"/>
    </w:rPr>
  </w:style>
  <w:style w:type="character" w:styleId="12" w:customStyle="1">
    <w:name w:val="Об12жир Знак"/>
    <w:link w:val="12"/>
    <w:qFormat/>
    <w:rsid w:val="003c61f8"/>
    <w:rPr>
      <w:b/>
      <w:bCs/>
      <w:color w:val="0000FF"/>
      <w:sz w:val="24"/>
      <w:szCs w:val="24"/>
    </w:rPr>
  </w:style>
  <w:style w:type="character" w:styleId="13" w:customStyle="1">
    <w:name w:val="Об_13_Жир Знак"/>
    <w:link w:val="13"/>
    <w:qFormat/>
    <w:rsid w:val="003c61f8"/>
    <w:rPr>
      <w:b/>
      <w:color w:val="0000FF"/>
      <w:sz w:val="26"/>
      <w:szCs w:val="26"/>
    </w:rPr>
  </w:style>
  <w:style w:type="character" w:styleId="10" w:customStyle="1">
    <w:name w:val="ТР_10_Жир Знак"/>
    <w:link w:val="10"/>
    <w:qFormat/>
    <w:rsid w:val="003c61f8"/>
    <w:rPr>
      <w:b/>
      <w:color w:val="0000FF"/>
    </w:rPr>
  </w:style>
  <w:style w:type="character" w:styleId="101" w:customStyle="1">
    <w:name w:val="ТР_10 Знак"/>
    <w:link w:val="101"/>
    <w:qFormat/>
    <w:rsid w:val="003c61f8"/>
    <w:rPr>
      <w:color w:val="0000FF"/>
    </w:rPr>
  </w:style>
  <w:style w:type="character" w:styleId="102" w:customStyle="1">
    <w:name w:val="Тр_10_Жир Знак"/>
    <w:link w:val="103"/>
    <w:qFormat/>
    <w:rsid w:val="008910fe"/>
    <w:rPr>
      <w:b/>
      <w:color w:val="3333FF"/>
    </w:rPr>
  </w:style>
  <w:style w:type="character" w:styleId="21" w:customStyle="1">
    <w:name w:val="Заголовок 2 Знак"/>
    <w:basedOn w:val="DefaultParagraphFont"/>
    <w:link w:val="2"/>
    <w:qFormat/>
    <w:rsid w:val="00aa10ca"/>
    <w:rPr>
      <w:rFonts w:ascii="Arial" w:hAnsi="Arial"/>
      <w:b/>
      <w:sz w:val="22"/>
      <w:lang w:val="en-US"/>
    </w:rPr>
  </w:style>
  <w:style w:type="character" w:styleId="Style11" w:customStyle="1">
    <w:name w:val="Нижний колонтитул Знак"/>
    <w:basedOn w:val="DefaultParagraphFont"/>
    <w:link w:val="a5"/>
    <w:uiPriority w:val="99"/>
    <w:qFormat/>
    <w:rsid w:val="005e1edd"/>
    <w:rPr/>
  </w:style>
  <w:style w:type="character" w:styleId="Annotationreference">
    <w:name w:val="annotation reference"/>
    <w:basedOn w:val="DefaultParagraphFont"/>
    <w:qFormat/>
    <w:rsid w:val="007e6a43"/>
    <w:rPr>
      <w:sz w:val="16"/>
      <w:szCs w:val="16"/>
    </w:rPr>
  </w:style>
  <w:style w:type="character" w:styleId="Style12" w:customStyle="1">
    <w:name w:val="Текст примечания Знак"/>
    <w:basedOn w:val="DefaultParagraphFont"/>
    <w:link w:val="af2"/>
    <w:qFormat/>
    <w:rsid w:val="007e6a43"/>
    <w:rPr/>
  </w:style>
  <w:style w:type="character" w:styleId="Style13" w:customStyle="1">
    <w:name w:val="Тема примечания Знак"/>
    <w:basedOn w:val="Style12"/>
    <w:link w:val="af4"/>
    <w:qFormat/>
    <w:rsid w:val="007e6a43"/>
    <w:rPr>
      <w:b/>
      <w:bCs/>
    </w:rPr>
  </w:style>
  <w:style w:type="character" w:styleId="22" w:customStyle="1">
    <w:name w:val="Основной текст 2 Знак"/>
    <w:basedOn w:val="DefaultParagraphFont"/>
    <w:link w:val="22"/>
    <w:qFormat/>
    <w:rsid w:val="007f62c1"/>
    <w:rPr/>
  </w:style>
  <w:style w:type="character" w:styleId="Style14" w:customStyle="1">
    <w:name w:val="Текст сноски Знак"/>
    <w:basedOn w:val="DefaultParagraphFont"/>
    <w:link w:val="af7"/>
    <w:qFormat/>
    <w:rsid w:val="007f62c1"/>
    <w:rPr/>
  </w:style>
  <w:style w:type="character" w:styleId="Footnotereference">
    <w:name w:val="footnote reference"/>
    <w:qFormat/>
    <w:rsid w:val="007f62c1"/>
    <w:rPr>
      <w:vertAlign w:val="superscript"/>
    </w:rPr>
  </w:style>
  <w:style w:type="character" w:styleId="ListLabel1">
    <w:name w:val="ListLabel 1"/>
    <w:qFormat/>
    <w:rPr>
      <w:b/>
      <w:i w:val="false"/>
    </w:rPr>
  </w:style>
  <w:style w:type="character" w:styleId="ListLabel2">
    <w:name w:val="ListLabel 2"/>
    <w:qFormat/>
    <w:rPr>
      <w:b/>
    </w:rPr>
  </w:style>
  <w:style w:type="character" w:styleId="ListLabel3">
    <w:name w:val="ListLabel 3"/>
    <w:qFormat/>
    <w:rPr>
      <w:b/>
      <w:sz w:val="20"/>
      <w:szCs w:val="20"/>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b/>
    </w:rPr>
  </w:style>
  <w:style w:type="character" w:styleId="ListLabel14">
    <w:name w:val="ListLabel 14"/>
    <w:qFormat/>
    <w:rPr>
      <w:b/>
      <w:sz w:val="22"/>
      <w:szCs w:val="20"/>
    </w:rPr>
  </w:style>
  <w:style w:type="character" w:styleId="ListLabel15">
    <w:name w:val="ListLabel 15"/>
    <w:qFormat/>
    <w:rPr>
      <w:b/>
      <w:sz w:val="20"/>
      <w:szCs w:val="20"/>
    </w:rPr>
  </w:style>
  <w:style w:type="character" w:styleId="ListLabel16">
    <w:name w:val="ListLabel 16"/>
    <w:qFormat/>
    <w:rPr>
      <w:rFonts w:eastAsia="Times New Roman" w:cs="Times New Roman"/>
    </w:rPr>
  </w:style>
  <w:style w:type="character" w:styleId="ListLabel17">
    <w:name w:val="ListLabel 17"/>
    <w:qFormat/>
    <w:rPr>
      <w:rFonts w:cs="Arial"/>
    </w:rPr>
  </w:style>
  <w:style w:type="character" w:styleId="ListLabel18">
    <w:name w:val="ListLabel 18"/>
    <w:qFormat/>
    <w:rPr>
      <w:rFonts w:cs="Arial"/>
    </w:rPr>
  </w:style>
  <w:style w:type="character" w:styleId="ListLabel19">
    <w:name w:val="ListLabel 19"/>
    <w:qFormat/>
    <w:rPr>
      <w:rFonts w:cs="Arial"/>
    </w:rPr>
  </w:style>
  <w:style w:type="character" w:styleId="Style15">
    <w:name w:val="Посещённая гиперссылка"/>
    <w:rPr>
      <w:color w:val="800000"/>
      <w:u w:val="single"/>
      <w:lang w:val="zxx" w:eastAsia="zxx" w:bidi="zxx"/>
    </w:rPr>
  </w:style>
  <w:style w:type="paragraph" w:styleId="Style16">
    <w:name w:val="Заголовок"/>
    <w:basedOn w:val="Normal"/>
    <w:next w:val="Style17"/>
    <w:qFormat/>
    <w:pPr>
      <w:keepNext w:val="true"/>
      <w:spacing w:before="240" w:after="120"/>
    </w:pPr>
    <w:rPr>
      <w:rFonts w:ascii="Liberation Sans" w:hAnsi="Liberation Sans" w:eastAsia="WenQuanYi Zen Hei Sharp" w:cs="Lohit Devanagari"/>
      <w:sz w:val="28"/>
      <w:szCs w:val="28"/>
    </w:rPr>
  </w:style>
  <w:style w:type="paragraph" w:styleId="Style17">
    <w:name w:val="Body Text"/>
    <w:basedOn w:val="Normal"/>
    <w:rsid w:val="0016533c"/>
    <w:pPr/>
    <w:rPr>
      <w:sz w:val="24"/>
    </w:rPr>
  </w:style>
  <w:style w:type="paragraph" w:styleId="Style18">
    <w:name w:val="List"/>
    <w:basedOn w:val="Style17"/>
    <w:pPr/>
    <w:rPr>
      <w:rFonts w:cs="Lohit Devanagari"/>
    </w:rPr>
  </w:style>
  <w:style w:type="paragraph" w:styleId="Style19">
    <w:name w:val="Caption"/>
    <w:basedOn w:val="Normal"/>
    <w:qFormat/>
    <w:pPr>
      <w:suppressLineNumbers/>
      <w:spacing w:before="120" w:after="120"/>
    </w:pPr>
    <w:rPr>
      <w:rFonts w:cs="Lohit Devanagari"/>
      <w:i/>
      <w:iCs/>
      <w:sz w:val="24"/>
      <w:szCs w:val="24"/>
    </w:rPr>
  </w:style>
  <w:style w:type="paragraph" w:styleId="Style20">
    <w:name w:val="Указатель"/>
    <w:basedOn w:val="Normal"/>
    <w:qFormat/>
    <w:pPr>
      <w:suppressLineNumbers/>
    </w:pPr>
    <w:rPr>
      <w:rFonts w:cs="Lohit Devanagari"/>
    </w:rPr>
  </w:style>
  <w:style w:type="paragraph" w:styleId="Style21">
    <w:name w:val="Header"/>
    <w:basedOn w:val="Normal"/>
    <w:link w:val="a4"/>
    <w:rsid w:val="0016533c"/>
    <w:pPr>
      <w:tabs>
        <w:tab w:val="center" w:pos="4153" w:leader="none"/>
        <w:tab w:val="right" w:pos="8306" w:leader="none"/>
      </w:tabs>
    </w:pPr>
    <w:rPr/>
  </w:style>
  <w:style w:type="paragraph" w:styleId="Style22">
    <w:name w:val="Footer"/>
    <w:basedOn w:val="Normal"/>
    <w:link w:val="a6"/>
    <w:uiPriority w:val="99"/>
    <w:rsid w:val="0016533c"/>
    <w:pPr>
      <w:tabs>
        <w:tab w:val="center" w:pos="4153" w:leader="none"/>
        <w:tab w:val="right" w:pos="8306" w:leader="none"/>
      </w:tabs>
    </w:pPr>
    <w:rPr/>
  </w:style>
  <w:style w:type="paragraph" w:styleId="Caption">
    <w:name w:val="caption"/>
    <w:basedOn w:val="Normal"/>
    <w:qFormat/>
    <w:rsid w:val="0016533c"/>
    <w:pPr/>
    <w:rPr>
      <w:b/>
      <w:bCs/>
    </w:rPr>
  </w:style>
  <w:style w:type="paragraph" w:styleId="Style23">
    <w:name w:val="Body Text Indent"/>
    <w:basedOn w:val="Normal"/>
    <w:rsid w:val="0016533c"/>
    <w:pPr>
      <w:ind w:left="6096" w:firstLine="357"/>
    </w:pPr>
    <w:rPr>
      <w:rFonts w:ascii="Arial" w:hAnsi="Arial"/>
    </w:rPr>
  </w:style>
  <w:style w:type="paragraph" w:styleId="MessageHeader">
    <w:name w:val="Message Header"/>
    <w:basedOn w:val="Style17"/>
    <w:qFormat/>
    <w:rsid w:val="0016533c"/>
    <w:pPr>
      <w:keepLines/>
      <w:spacing w:lineRule="atLeast" w:line="415"/>
      <w:ind w:left="1985" w:right="-360" w:hanging="1145"/>
      <w:jc w:val="left"/>
    </w:pPr>
    <w:rPr>
      <w:sz w:val="20"/>
    </w:rPr>
  </w:style>
  <w:style w:type="paragraph" w:styleId="BodyTextIndent2">
    <w:name w:val="Body Text Indent 2"/>
    <w:basedOn w:val="Normal"/>
    <w:qFormat/>
    <w:rsid w:val="00c84986"/>
    <w:pPr>
      <w:spacing w:lineRule="auto" w:line="480" w:before="0" w:after="120"/>
      <w:ind w:left="283" w:firstLine="357"/>
    </w:pPr>
    <w:rPr>
      <w:sz w:val="24"/>
      <w:szCs w:val="24"/>
    </w:rPr>
  </w:style>
  <w:style w:type="paragraph" w:styleId="Style24">
    <w:name w:val="Title"/>
    <w:basedOn w:val="Normal"/>
    <w:qFormat/>
    <w:rsid w:val="005861ca"/>
    <w:pPr>
      <w:jc w:val="center"/>
    </w:pPr>
    <w:rPr>
      <w:b/>
      <w:bCs/>
      <w:sz w:val="22"/>
      <w:szCs w:val="22"/>
    </w:rPr>
  </w:style>
  <w:style w:type="paragraph" w:styleId="PlainText">
    <w:name w:val="Plain Text"/>
    <w:basedOn w:val="Normal"/>
    <w:qFormat/>
    <w:rsid w:val="006d5ed5"/>
    <w:pPr/>
    <w:rPr>
      <w:rFonts w:ascii="Courier New" w:hAnsi="Courier New" w:cs="Courier New"/>
    </w:rPr>
  </w:style>
  <w:style w:type="paragraph" w:styleId="BalloonText">
    <w:name w:val="Balloon Text"/>
    <w:basedOn w:val="Normal"/>
    <w:semiHidden/>
    <w:qFormat/>
    <w:rsid w:val="00b85c86"/>
    <w:pPr/>
    <w:rPr>
      <w:rFonts w:ascii="Tahoma" w:hAnsi="Tahoma" w:cs="Tahoma"/>
      <w:sz w:val="16"/>
      <w:szCs w:val="16"/>
    </w:rPr>
  </w:style>
  <w:style w:type="paragraph" w:styleId="14" w:customStyle="1">
    <w:name w:val="Стиль1_св-ва документа"/>
    <w:basedOn w:val="4"/>
    <w:link w:val="1-0"/>
    <w:qFormat/>
    <w:rsid w:val="00f26e59"/>
    <w:pPr>
      <w:ind w:left="-13" w:hanging="0"/>
      <w:jc w:val="both"/>
    </w:pPr>
    <w:rPr>
      <w:rFonts w:ascii="Times New Roman" w:hAnsi="Times New Roman"/>
      <w:bCs/>
      <w:sz w:val="25"/>
      <w:szCs w:val="25"/>
    </w:rPr>
  </w:style>
  <w:style w:type="paragraph" w:styleId="1251" w:customStyle="1">
    <w:name w:val="Обычный125Жир"/>
    <w:basedOn w:val="Normal"/>
    <w:link w:val="1250"/>
    <w:qFormat/>
    <w:rsid w:val="003c61f8"/>
    <w:pPr>
      <w:keepNext w:val="true"/>
      <w:ind w:left="-13" w:hanging="0"/>
      <w:jc w:val="left"/>
      <w:outlineLvl w:val="3"/>
    </w:pPr>
    <w:rPr>
      <w:b/>
      <w:bCs/>
      <w:color w:val="0000FF"/>
      <w:sz w:val="25"/>
      <w:szCs w:val="25"/>
    </w:rPr>
  </w:style>
  <w:style w:type="paragraph" w:styleId="121" w:customStyle="1">
    <w:name w:val="Об12жир"/>
    <w:basedOn w:val="Normal"/>
    <w:link w:val="120"/>
    <w:qFormat/>
    <w:rsid w:val="003c61f8"/>
    <w:pPr>
      <w:ind w:left="0" w:hanging="0"/>
    </w:pPr>
    <w:rPr>
      <w:b/>
      <w:bCs/>
      <w:color w:val="0000FF"/>
      <w:sz w:val="24"/>
      <w:szCs w:val="24"/>
    </w:rPr>
  </w:style>
  <w:style w:type="paragraph" w:styleId="131" w:customStyle="1">
    <w:name w:val="Об_13_Жир"/>
    <w:basedOn w:val="Normal"/>
    <w:link w:val="130"/>
    <w:qFormat/>
    <w:rsid w:val="003c61f8"/>
    <w:pPr>
      <w:spacing w:before="120" w:after="120"/>
      <w:ind w:left="0" w:firstLine="357"/>
    </w:pPr>
    <w:rPr>
      <w:b/>
      <w:color w:val="0000FF"/>
      <w:sz w:val="26"/>
      <w:szCs w:val="26"/>
    </w:rPr>
  </w:style>
  <w:style w:type="paragraph" w:styleId="103" w:customStyle="1">
    <w:name w:val="ТР_10_Жир"/>
    <w:basedOn w:val="Normal"/>
    <w:link w:val="100"/>
    <w:qFormat/>
    <w:rsid w:val="003c61f8"/>
    <w:pPr>
      <w:ind w:left="0" w:hanging="0"/>
      <w:jc w:val="left"/>
    </w:pPr>
    <w:rPr>
      <w:b/>
      <w:color w:val="0000FF"/>
    </w:rPr>
  </w:style>
  <w:style w:type="paragraph" w:styleId="104" w:customStyle="1">
    <w:name w:val="ТР_10"/>
    <w:basedOn w:val="Normal"/>
    <w:link w:val="102"/>
    <w:qFormat/>
    <w:rsid w:val="003c61f8"/>
    <w:pPr>
      <w:ind w:left="0" w:hanging="0"/>
      <w:jc w:val="left"/>
    </w:pPr>
    <w:rPr>
      <w:color w:val="0000FF"/>
    </w:rPr>
  </w:style>
  <w:style w:type="paragraph" w:styleId="105" w:customStyle="1">
    <w:name w:val="Тр_10_Жир"/>
    <w:basedOn w:val="BodyTextIndent2"/>
    <w:link w:val="104"/>
    <w:qFormat/>
    <w:rsid w:val="008910fe"/>
    <w:pPr>
      <w:spacing w:lineRule="auto" w:line="240" w:before="120" w:after="120"/>
      <w:ind w:left="0" w:hanging="0"/>
      <w:jc w:val="center"/>
    </w:pPr>
    <w:rPr>
      <w:b/>
      <w:color w:val="3333FF"/>
      <w:sz w:val="20"/>
      <w:szCs w:val="20"/>
    </w:rPr>
  </w:style>
  <w:style w:type="paragraph" w:styleId="Annotationtext">
    <w:name w:val="annotation text"/>
    <w:basedOn w:val="Normal"/>
    <w:link w:val="af3"/>
    <w:qFormat/>
    <w:rsid w:val="007e6a43"/>
    <w:pPr/>
    <w:rPr/>
  </w:style>
  <w:style w:type="paragraph" w:styleId="Annotationsubject">
    <w:name w:val="annotation subject"/>
    <w:basedOn w:val="Annotationtext"/>
    <w:link w:val="af5"/>
    <w:qFormat/>
    <w:rsid w:val="007e6a43"/>
    <w:pPr/>
    <w:rPr>
      <w:b/>
      <w:bCs/>
    </w:rPr>
  </w:style>
  <w:style w:type="paragraph" w:styleId="ListParagraph">
    <w:name w:val="List Paragraph"/>
    <w:basedOn w:val="Normal"/>
    <w:uiPriority w:val="34"/>
    <w:qFormat/>
    <w:rsid w:val="00974103"/>
    <w:pPr>
      <w:spacing w:before="0" w:after="0"/>
      <w:ind w:left="720" w:firstLine="357"/>
      <w:contextualSpacing/>
    </w:pPr>
    <w:rPr/>
  </w:style>
  <w:style w:type="paragraph" w:styleId="BodyText2">
    <w:name w:val="Body Text 2"/>
    <w:basedOn w:val="Normal"/>
    <w:link w:val="23"/>
    <w:qFormat/>
    <w:rsid w:val="007f62c1"/>
    <w:pPr>
      <w:spacing w:lineRule="auto" w:line="480" w:before="0" w:after="120"/>
    </w:pPr>
    <w:rPr/>
  </w:style>
  <w:style w:type="paragraph" w:styleId="Footnotetext">
    <w:name w:val="footnote text"/>
    <w:basedOn w:val="Normal"/>
    <w:link w:val="af8"/>
    <w:qFormat/>
    <w:rsid w:val="007f62c1"/>
    <w:pPr>
      <w:ind w:left="0" w:hanging="0"/>
      <w:jc w:val="left"/>
    </w:pPr>
    <w:rPr/>
  </w:style>
  <w:style w:type="paragraph" w:styleId="NormalWeb">
    <w:name w:val="Normal (Web)"/>
    <w:basedOn w:val="Normal"/>
    <w:uiPriority w:val="99"/>
    <w:unhideWhenUsed/>
    <w:qFormat/>
    <w:rsid w:val="005857ca"/>
    <w:pPr>
      <w:spacing w:beforeAutospacing="1" w:afterAutospacing="1"/>
      <w:ind w:left="0" w:hanging="0"/>
      <w:jc w:val="left"/>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e">
    <w:name w:val="Table Grid"/>
    <w:basedOn w:val="a1"/>
    <w:rsid w:val="005861c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kamenergo.ru/"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0D139-613A-4BC0-BB3E-776836CA1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ХОЗРАСЧЕТ  в работе 25.07.2016</Template>
  <TotalTime>16</TotalTime>
  <Application>LibreOffice/5.3.6.1$Linux_X86_64 LibreOffice_project/30$Build-1</Application>
  <Pages>13</Pages>
  <Words>5420</Words>
  <Characters>40166</Characters>
  <CharactersWithSpaces>45436</CharactersWithSpaces>
  <Paragraphs>243</Paragraphs>
  <Company>LENENERGO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2022-08-02T00:27:00Z</dcterms:created>
  <dc:creator>Цирковная Александра Рашитовна</dc:creator>
  <dc:description/>
  <dc:language>ru-RU</dc:language>
  <cp:lastModifiedBy/>
  <cp:lastPrinted>2017-02-28T00:21:00Z</cp:lastPrinted>
  <dcterms:modified xsi:type="dcterms:W3CDTF">2025-07-14T16:29:24Z</dcterms:modified>
  <cp:revision>8</cp:revision>
  <dc:subject/>
  <dc:title>ПРИЛОЖЕНИЕ 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sAbonent">
    <vt:lpwstr>@@AdressAbonent</vt:lpwstr>
  </property>
  <property fmtid="{D5CDD505-2E9C-101B-9397-08002B2CF9AE}" pid="3" name="AppVersion">
    <vt:lpwstr>16.0000</vt:lpwstr>
  </property>
  <property fmtid="{D5CDD505-2E9C-101B-9397-08002B2CF9AE}" pid="4" name="Company">
    <vt:lpwstr>LENENERGO</vt:lpwstr>
  </property>
  <property fmtid="{D5CDD505-2E9C-101B-9397-08002B2CF9AE}" pid="5" name="DateContact">
    <vt:lpwstr>@@DateContact</vt:lpwstr>
  </property>
  <property fmtid="{D5CDD505-2E9C-101B-9397-08002B2CF9AE}" pid="6" name="DirectNameRP">
    <vt:lpwstr>@@DirectNameRP</vt:lpwstr>
  </property>
  <property fmtid="{D5CDD505-2E9C-101B-9397-08002B2CF9AE}" pid="7" name="DocSecurity">
    <vt:i4>0</vt:i4>
  </property>
  <property fmtid="{D5CDD505-2E9C-101B-9397-08002B2CF9AE}" pid="8" name="HyperlinksChanged">
    <vt:bool>0</vt:bool>
  </property>
  <property fmtid="{D5CDD505-2E9C-101B-9397-08002B2CF9AE}" pid="9" name="LinksUpToDate">
    <vt:bool>0</vt:bool>
  </property>
  <property fmtid="{D5CDD505-2E9C-101B-9397-08002B2CF9AE}" pid="10" name="NContract">
    <vt:lpwstr>@@NContract</vt:lpwstr>
  </property>
  <property fmtid="{D5CDD505-2E9C-101B-9397-08002B2CF9AE}" pid="11" name="NameAbonent">
    <vt:lpwstr>@@NameAbonent</vt:lpwstr>
  </property>
  <property fmtid="{D5CDD505-2E9C-101B-9397-08002B2CF9AE}" pid="12" name="NameDirectAbonent">
    <vt:lpwstr>@@NameDirectAbonent</vt:lpwstr>
  </property>
  <property fmtid="{D5CDD505-2E9C-101B-9397-08002B2CF9AE}" pid="13" name="PostRP">
    <vt:lpwstr>@@PostRP</vt:lpwstr>
  </property>
  <property fmtid="{D5CDD505-2E9C-101B-9397-08002B2CF9AE}" pid="14" name="ScaleCrop">
    <vt:bool>0</vt:bool>
  </property>
  <property fmtid="{D5CDD505-2E9C-101B-9397-08002B2CF9AE}" pid="15" name="ShareDoc">
    <vt:bool>0</vt:bool>
  </property>
</Properties>
</file>