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media/image1.jpeg" ContentType="image/jpeg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1302" w:leader="none"/>
        </w:tabs>
        <w:ind w:left="0" w:hanging="0"/>
        <w:jc w:val="center"/>
        <w:rPr/>
      </w:pPr>
      <w:r>
        <w:rPr/>
        <w:drawing>
          <wp:inline distT="0" distB="0" distL="0" distR="0">
            <wp:extent cx="2695575" cy="438150"/>
            <wp:effectExtent l="0" t="0" r="0" b="0"/>
            <wp:docPr id="1" name="Рисунок 1" descr="Камчатскэнерго-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Камчатскэнерго-лого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15"/>
        <w:spacing w:before="60" w:after="60"/>
        <w:jc w:val="center"/>
        <w:rPr>
          <w:sz w:val="28"/>
        </w:rPr>
      </w:pPr>
      <w:r>
        <w:rPr>
          <w:b/>
          <w:szCs w:val="24"/>
        </w:rPr>
        <w:t xml:space="preserve">ДОГОВОР ЭНЕРГОСНАБЖЕНИЯ </w:t>
      </w:r>
    </w:p>
    <w:p>
      <w:pPr>
        <w:pStyle w:val="Normal"/>
        <w:spacing w:before="120" w:after="0"/>
        <w:ind w:left="0" w:firstLine="357"/>
        <w:jc w:val="center"/>
        <w:rPr>
          <w:b/>
          <w:b/>
          <w:szCs w:val="24"/>
        </w:rPr>
      </w:pPr>
      <w:r>
        <w:rPr>
          <w:b/>
          <w:szCs w:val="24"/>
        </w:rPr>
      </w:r>
    </w:p>
    <w:p>
      <w:pPr>
        <w:pStyle w:val="Normal"/>
        <w:spacing w:before="120" w:after="0"/>
        <w:ind w:left="0" w:hanging="0"/>
        <w:jc w:val="center"/>
        <w:rPr/>
      </w:pPr>
      <w:r>
        <w:rPr>
          <w:b/>
          <w:sz w:val="22"/>
          <w:szCs w:val="22"/>
        </w:rPr>
        <w:t>г. Петропавловск - Камчатский                                                                          _______________</w:t>
      </w:r>
    </w:p>
    <w:p>
      <w:pPr>
        <w:pStyle w:val="Normal"/>
        <w:widowControl w:val="false"/>
        <w:spacing w:before="120" w:after="120"/>
        <w:ind w:left="0" w:firstLine="357"/>
        <w:rPr/>
      </w:pPr>
      <w:r>
        <w:rPr/>
        <w:tab/>
      </w:r>
      <w:r>
        <w:rPr>
          <w:b/>
          <w:sz w:val="22"/>
          <w:szCs w:val="22"/>
        </w:rPr>
        <w:t>Публичное акционерное общество энергетики и электрификации «Камчатскэнерго»</w:t>
      </w:r>
      <w:r>
        <w:rPr>
          <w:sz w:val="22"/>
          <w:szCs w:val="22"/>
        </w:rPr>
        <w:t xml:space="preserve">, именуемое в дальнейшем </w:t>
      </w:r>
      <w:r>
        <w:rPr>
          <w:b/>
          <w:sz w:val="22"/>
          <w:szCs w:val="22"/>
        </w:rPr>
        <w:t>«Гарантирующий поставщик»</w:t>
      </w:r>
      <w:r>
        <w:rPr>
          <w:sz w:val="22"/>
          <w:szCs w:val="22"/>
        </w:rPr>
        <w:t xml:space="preserve">, в лице </w:t>
      </w:r>
      <w:r>
        <w:rPr>
          <w:b/>
          <w:sz w:val="22"/>
          <w:szCs w:val="22"/>
        </w:rPr>
        <w:t xml:space="preserve">начальник службы по работе с потребителями </w:t>
      </w:r>
      <w:r>
        <w:rPr>
          <w:b/>
          <w:bCs/>
          <w:sz w:val="22"/>
          <w:szCs w:val="22"/>
        </w:rPr>
        <w:t xml:space="preserve">филиала </w:t>
      </w:r>
      <w:r>
        <w:rPr>
          <w:b/>
          <w:sz w:val="22"/>
          <w:szCs w:val="22"/>
        </w:rPr>
        <w:t>Публичного акционерного общества «Дальневосточная энергетическая компания» «Камчатскэнергосбыт»</w:t>
      </w:r>
      <w:r>
        <w:rPr>
          <w:b/>
          <w:bCs/>
          <w:sz w:val="22"/>
          <w:szCs w:val="22"/>
        </w:rPr>
        <w:t xml:space="preserve"> Дмитриевой Анастасии Александровны</w:t>
      </w:r>
      <w:r>
        <w:rPr>
          <w:sz w:val="22"/>
          <w:szCs w:val="22"/>
        </w:rPr>
        <w:t xml:space="preserve">, действующей на основании </w:t>
      </w:r>
      <w:r>
        <w:rPr>
          <w:b/>
          <w:bCs/>
          <w:i/>
          <w:iCs/>
          <w:sz w:val="22"/>
          <w:szCs w:val="22"/>
        </w:rPr>
        <w:t xml:space="preserve">доверенности </w:t>
      </w:r>
      <w:r>
        <w:rPr>
          <w:b/>
          <w:bCs/>
          <w:i/>
          <w:iCs/>
          <w:color w:val="0000FF"/>
          <w:sz w:val="22"/>
          <w:szCs w:val="22"/>
        </w:rPr>
        <w:t>________________________________</w:t>
      </w:r>
      <w:r>
        <w:rPr>
          <w:sz w:val="22"/>
          <w:szCs w:val="22"/>
        </w:rPr>
        <w:t>, с одной стороны, и</w:t>
      </w:r>
    </w:p>
    <w:p>
      <w:pPr>
        <w:pStyle w:val="Normal"/>
        <w:widowControl w:val="false"/>
        <w:spacing w:before="120" w:after="120"/>
        <w:ind w:left="0" w:firstLine="357"/>
        <w:rPr/>
      </w:pPr>
      <w:r>
        <w:rPr>
          <w:sz w:val="22"/>
          <w:szCs w:val="22"/>
        </w:rPr>
        <w:tab/>
        <w:t>__________________________________________________________</w:t>
      </w:r>
      <w:r>
        <w:rPr>
          <w:b/>
          <w:bCs/>
          <w:sz w:val="22"/>
          <w:szCs w:val="22"/>
        </w:rPr>
        <w:t xml:space="preserve">, </w:t>
      </w:r>
      <w:r>
        <w:rPr>
          <w:sz w:val="22"/>
          <w:szCs w:val="22"/>
        </w:rPr>
        <w:t xml:space="preserve">именуемое в дальнейшем </w:t>
      </w:r>
      <w:r>
        <w:rPr>
          <w:b/>
          <w:bCs/>
          <w:sz w:val="22"/>
          <w:szCs w:val="22"/>
        </w:rPr>
        <w:t xml:space="preserve">«Потребитель», </w:t>
      </w:r>
      <w:r>
        <w:rPr>
          <w:sz w:val="22"/>
          <w:szCs w:val="22"/>
        </w:rPr>
        <w:t>в лице _________________________________________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действующего (-ей) на основании ____________________________________, с другой стороны, а вместе именуемые </w:t>
      </w:r>
      <w:r>
        <w:rPr>
          <w:b/>
          <w:sz w:val="22"/>
          <w:szCs w:val="22"/>
        </w:rPr>
        <w:t>«Стороны»</w:t>
      </w:r>
      <w:r>
        <w:rPr>
          <w:sz w:val="22"/>
          <w:szCs w:val="22"/>
        </w:rPr>
        <w:t>, заключили настоящий Договор о нижеследующем:</w:t>
      </w:r>
    </w:p>
    <w:p>
      <w:pPr>
        <w:pStyle w:val="ListParagraph"/>
        <w:widowControl w:val="false"/>
        <w:numPr>
          <w:ilvl w:val="0"/>
          <w:numId w:val="4"/>
        </w:numPr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ПРЕДМЕТ ДОГОВОРА.</w:t>
      </w:r>
    </w:p>
    <w:p>
      <w:pPr>
        <w:pStyle w:val="Normal"/>
        <w:widowControl w:val="false"/>
        <w:tabs>
          <w:tab w:val="left" w:pos="0" w:leader="none"/>
        </w:tabs>
        <w:suppressAutoHyphens w:val="true"/>
        <w:spacing w:before="0" w:after="0"/>
        <w:ind w:left="0" w:hanging="0"/>
        <w:contextualSpacing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widowControl w:val="false"/>
        <w:numPr>
          <w:ilvl w:val="1"/>
          <w:numId w:val="2"/>
        </w:numPr>
        <w:tabs>
          <w:tab w:val="left" w:pos="709" w:leader="none"/>
          <w:tab w:val="left" w:pos="120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Гарантирующий поставщик обязуется осуществлять продажу электрической энергии (мощности), а также самостоятельно или через привлеченных третьих лиц (в дальнейшем – Сетевая организация) оказывать услуги по передаче электрической энергии и услуги, оказание которых является неотъемлемой частью процесса поставки электрической энергии Потребителю, </w:t>
      </w:r>
      <w:r>
        <w:rPr/>
        <w:t>а</w:t>
      </w:r>
      <w:r>
        <w:rPr>
          <w:lang w:val="en-US"/>
        </w:rPr>
        <w:t> </w:t>
      </w:r>
      <w:r>
        <w:rPr/>
        <w:t>Потребитель</w:t>
      </w:r>
      <w:r>
        <w:rPr>
          <w:sz w:val="22"/>
          <w:szCs w:val="22"/>
        </w:rPr>
        <w:t xml:space="preserve"> обязуется оплачивать приобретаемую электрическую энергию (мощность) и оказанные услуги.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709" w:leader="none"/>
          <w:tab w:val="left" w:pos="120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Точкой поставки по настоящему договору является место исполнения обязательств, используемое для определения объема взаимных обязательств сторон по договору, расположенное на границе балансовой принадлежности энергопринимающих устройств, определенной в Акте об осуществлении технологического присоединения и (или) Акте разграничения балансовой принадлежности электросетей (Приложение № 3), а до составления в установленном порядке Акта об осуществлении технологического присоединения и (или) Акта разграничения балансовой принадлежности электросетей - в точке присоединения энергопринимающего устройства (объекта электроэнергетики).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709" w:leader="none"/>
          <w:tab w:val="left" w:pos="120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Учет электрической энергии (мощности) по настоящему договору определяется на основании данных, полученных с использованием приборов учета, в том числе входящих в состав измерительного комплекса (совокупности приборов учета и измерительных трансформаторов), систем учета и приборов учета электрической энергии, присоединенных к интеллектуальным системам учета электрической энергии (мощности) и иного оборудования, предназначенных для измерения объемов электрической энергии (мощности) в одной точке поставки (далее – ПУ) электрической энергии (Приложение № 1). В случаях, указанных в разделе 4 настоящего договора, определение объема электрической энергии определяется путем применения расчетных способов.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709" w:leader="none"/>
          <w:tab w:val="left" w:pos="120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Данные, содержащиеся в Приложении № 1, могут быть изменены в течение действия настоящего договора. Изменение данных отражается в актах допуска ПУ в эксплуатацию и становится обязательным для Сторон с даты введения ПУ в эксплуатацию.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709" w:leader="none"/>
          <w:tab w:val="left" w:pos="120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Договорный объем потребления электроэнергии по настоящему договору с помесячной и по объектной детализацией (детализацией на расчетный период) указан в Приложении № 2, которое является неотъемлемой частью настоящего договора. Договорный объем потребления электрической энергии на каждый следующий год с помесячной и по объектной детализацией заявляется Потребителем Гарантирующему поставщику не позднее 15 марта текущего года.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709" w:leader="none"/>
          <w:tab w:val="left" w:pos="120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Изменение цен (тарифов) на электрическую энергию (мощность) в период действия настоящего договора не требует его переоформления и вводится в действие со дня, установленного органом исполнительной власти субъекта РФ в области государственного регулирования тарифов.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709" w:leader="none"/>
          <w:tab w:val="left" w:pos="120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При исполнении настоящего договора Стороны обязуются руководствоваться Гражданским кодексом РФ, федеральными законами и подзаконными нормативно-правовыми актами, регулирующими правоотношения в сфере энергоснабжения. В случае принятия нормативно-правовых актов, устанавливающих иной по сравнению с настоящим договором порядок организации отношений Сторон и (или) субъектов электроэнергетики, подлежат применению нормативно-правовые акты с даты их вступления в законную силу. </w:t>
      </w:r>
    </w:p>
    <w:p>
      <w:pPr>
        <w:pStyle w:val="Normal"/>
        <w:widowControl w:val="false"/>
        <w:tabs>
          <w:tab w:val="left" w:pos="709" w:leader="none"/>
          <w:tab w:val="left" w:pos="1200" w:leader="none"/>
        </w:tabs>
        <w:suppressAutoHyphens w:val="true"/>
        <w:ind w:left="102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widowControl w:val="false"/>
        <w:numPr>
          <w:ilvl w:val="0"/>
          <w:numId w:val="2"/>
        </w:numPr>
        <w:tabs>
          <w:tab w:val="left" w:pos="0" w:leader="none"/>
        </w:tabs>
        <w:suppressAutoHyphens w:val="true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ОБЯЗАННОСТИ И ПРАВА ГАРАНТИРУЮЩЕГО ПОСТАВЩИКА.</w:t>
      </w:r>
    </w:p>
    <w:p>
      <w:pPr>
        <w:pStyle w:val="Normal"/>
        <w:widowControl w:val="false"/>
        <w:tabs>
          <w:tab w:val="left" w:pos="0" w:leader="none"/>
        </w:tabs>
        <w:suppressAutoHyphens w:val="true"/>
        <w:ind w:left="1020" w:hanging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Гарантирующий поставщик обязуется: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Осуществлять продажу электрической энергии (мощности) в объеме и порядке, установленным настоящим договором, качество и параметры которой должны соответствовать техническим регламентам и иным обязательным требованиям. 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Для надлежащего исполнения настоящего договора урегулировать отношения, связанные с передачей электрической энергии, путем заключения договора оказания услуг по передаче электрической энергии с Сетевой организацией.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Осуществлять передачу электрической энергии (мощности) в соответствии с согласованной категорией надежности энергопринимающих устройств Потребителя.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0" w:leader="none"/>
        </w:tabs>
        <w:suppressAutoHyphens w:val="true"/>
        <w:ind w:left="0" w:hanging="0"/>
        <w:rPr/>
      </w:pPr>
      <w:r>
        <w:rPr>
          <w:sz w:val="22"/>
          <w:szCs w:val="22"/>
        </w:rPr>
        <w:t xml:space="preserve">Определять в </w:t>
      </w:r>
      <w:hyperlink r:id="rId3">
        <w:r>
          <w:rPr>
            <w:rStyle w:val="Style9"/>
            <w:sz w:val="22"/>
            <w:szCs w:val="22"/>
          </w:rPr>
          <w:t>порядке</w:t>
        </w:r>
      </w:hyperlink>
      <w:r>
        <w:rPr>
          <w:sz w:val="22"/>
          <w:szCs w:val="22"/>
        </w:rPr>
        <w:t>, установленном Министерством энергетики РФ, значения соотношения потребления активной и реактивной мощности для отдельных энергопринимающих устройств (групп энергопринимающих устройств) Потребителя.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В отношении энергопринимающих устройств Потребителя, непосредственно или опосредованно присоединенных к принадлежащим на праве собственности или ином законном основании объектам электросетевого хозяйства ПАО «Камчатскэнерго»:</w:t>
      </w:r>
    </w:p>
    <w:p>
      <w:pPr>
        <w:pStyle w:val="Normal"/>
        <w:widowControl w:val="false"/>
        <w:numPr>
          <w:ilvl w:val="3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Обеспечивать на безвозмездной основе коммерческий учет электрической энергии (мощности), путем приобретения, установки, замены, допуска в эксплуатацию ПУ, в случаях отсутствия, выхода из строя, утраты, истечения срока эксплуатации или истечении интервала между поверками ПУ, используемого для коммерческого учета Потребителя, кроме случаев, предусмотренных действующим законодательством РФ, не позднее 6 месяцев с даты наступления указанных событий.</w:t>
      </w:r>
      <w:r>
        <w:rPr>
          <w:iCs/>
          <w:color w:val="FF0000"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3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Осуществлять на безвозмездной основе эксплуатацию установленных ПУ, оборудования, используемых для коммерческого учета Потребителя со дня допуска их в эксплуатацию до момента выхода из строя путем проведения осмотров, технического обслуживания, своевременной поверки.</w:t>
      </w:r>
    </w:p>
    <w:p>
      <w:pPr>
        <w:pStyle w:val="Normal"/>
        <w:widowControl w:val="false"/>
        <w:numPr>
          <w:ilvl w:val="3"/>
          <w:numId w:val="2"/>
        </w:numPr>
        <w:tabs>
          <w:tab w:val="left" w:pos="0" w:leader="none"/>
        </w:tabs>
        <w:suppressAutoHyphens w:val="true"/>
        <w:ind w:left="0" w:hanging="0"/>
        <w:rPr>
          <w:color w:val="000000"/>
          <w:sz w:val="22"/>
          <w:szCs w:val="22"/>
        </w:rPr>
      </w:pPr>
      <w:r>
        <w:rPr>
          <w:iCs/>
          <w:color w:val="000000"/>
          <w:sz w:val="22"/>
          <w:szCs w:val="22"/>
        </w:rPr>
        <w:t>Направлять Потребителю запрос на установку (замену) ПУ способом, позволяющим подтвердить факт получения с учетом требований, предусмотренных законодательством РФ.</w:t>
      </w:r>
    </w:p>
    <w:p>
      <w:pPr>
        <w:pStyle w:val="Normal"/>
        <w:widowControl w:val="false"/>
        <w:numPr>
          <w:ilvl w:val="3"/>
          <w:numId w:val="2"/>
        </w:numPr>
        <w:tabs>
          <w:tab w:val="left" w:pos="0" w:leader="none"/>
        </w:tabs>
        <w:suppressAutoHyphens w:val="true"/>
        <w:ind w:left="0" w:hanging="0"/>
        <w:rPr>
          <w:color w:val="000000"/>
          <w:sz w:val="22"/>
          <w:szCs w:val="22"/>
        </w:rPr>
      </w:pPr>
      <w:r>
        <w:rPr>
          <w:iCs/>
          <w:color w:val="000000"/>
          <w:sz w:val="22"/>
          <w:szCs w:val="22"/>
        </w:rPr>
        <w:t>Устанавливать ПУ Потребителя в месте максимально приближенном к границе балансовой принадлежности в случае отсутствия ответа Потребителя на направленный Гарантирующим поставщиком запрос на установку (замену) ПУ в установленный срок (10 рабочих дней со дня получения запроса) или получения отказа Потребителя в установке ПУ при наличии технической возможности установки или при двукратном недопуске к месту установки ПУ, но не ранее 4 месяцев с момента первого недопуска.</w:t>
      </w:r>
    </w:p>
    <w:p>
      <w:pPr>
        <w:pStyle w:val="Normal"/>
        <w:widowControl w:val="false"/>
        <w:numPr>
          <w:ilvl w:val="3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iCs/>
          <w:sz w:val="22"/>
          <w:szCs w:val="22"/>
        </w:rPr>
        <w:t xml:space="preserve">Производить установку ПУ и иного оборудования, используемого для коммерческого учета, соответствующих требованиям Законодательства РФ. </w:t>
      </w:r>
    </w:p>
    <w:p>
      <w:pPr>
        <w:pStyle w:val="Normal"/>
        <w:widowControl w:val="false"/>
        <w:numPr>
          <w:ilvl w:val="3"/>
          <w:numId w:val="2"/>
        </w:numPr>
        <w:tabs>
          <w:tab w:val="left" w:pos="0" w:leader="none"/>
        </w:tabs>
        <w:suppressAutoHyphens w:val="true"/>
        <w:ind w:left="0" w:hanging="0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Устанавливать ПУ Потребителя в случаях и в местах, соответствующих требованиям Законодательства РФ. </w:t>
      </w:r>
    </w:p>
    <w:p>
      <w:pPr>
        <w:pStyle w:val="Normal"/>
        <w:widowControl w:val="false"/>
        <w:numPr>
          <w:ilvl w:val="3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Направлять Потребителю приглашение на участие в процедуре допуска ПУ в эксплуатацию за 3 календарных дня до проведения. Направлять Потребителю копию акта допуска ПУ в эксплуатацию в течение 2 рабочих дней со дня проведения процедуры допуска ПУ в эксплуатацию в случае неявки Потребителя или его уполномоченного представителя в назначенную в приглашении дату и время. </w:t>
      </w:r>
    </w:p>
    <w:p>
      <w:pPr>
        <w:pStyle w:val="Normal"/>
        <w:widowControl w:val="false"/>
        <w:numPr>
          <w:ilvl w:val="3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Направлять Потребителю уведомление о планируемом проведении демонтажа ПУ или иного оборудования, используемого для коммерческого учета, в связи с проведением капитального ремонта или реконструкции объектов в местах установки ПУ, принадлежащих на праве собственности или ином законном праве ПАО «Камчатскэнерго» за 7 рабочих дней до планируемой даты проведения</w:t>
      </w:r>
      <w:r>
        <w:rPr/>
        <w:t xml:space="preserve"> </w:t>
      </w:r>
      <w:r>
        <w:rPr>
          <w:sz w:val="22"/>
          <w:szCs w:val="22"/>
        </w:rPr>
        <w:t>процедуры с указанием даты и времени демонтажа ПУ, а также причин. Перед проведением демонтажа ПУ, производить снятие показаний ПУ, проверку ПУ с фиксацией данных в акте демонтажа ПУ. Направлять Потребителю копию акта демонтажа в течение 3 рабочих дней со дня составления акта в случае отсутствия Потребителя при проведении процедуры демонтажа.</w:t>
      </w:r>
      <w:r>
        <w:rPr>
          <w:iCs/>
          <w:color w:val="FF0000"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3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iCs/>
          <w:sz w:val="22"/>
          <w:szCs w:val="22"/>
        </w:rPr>
        <w:t>Направлять Потребителю уведомление о проведении проверки ПУ за 5 рабочих дней до даты проведения с указанием последствий недопуска к ПУ Потребителя, в случаях, когда для проведения проверки требуется допуск к энергопринимающим устройствам (объектам по производству электрической энергии) Потребителя.</w:t>
      </w:r>
      <w:r>
        <w:rPr>
          <w:iCs/>
          <w:color w:val="FF0000"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3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iCs/>
          <w:sz w:val="22"/>
          <w:szCs w:val="22"/>
        </w:rPr>
        <w:t>Производить снятие показаний ПУ Потребителя, присоединенных к интеллектуальным система учета электрической энергии (мощности) Гарантирующего поставщика, или расположенных в границах его объектов электросетевого хозяйства.</w:t>
      </w:r>
      <w:r>
        <w:rPr>
          <w:iCs/>
          <w:color w:val="FF0000"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3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iCs/>
          <w:sz w:val="22"/>
          <w:szCs w:val="22"/>
        </w:rPr>
        <w:t>Предоставлять Потребителю показания ПУ, подключенных к интеллектуальной системе учета Гарантирующего поставщика, в порядке и на условиях, определенных правилами предоставления доступа к минимальному набору функций интеллектуальных систем учета электрической энергии.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Проводить плановую проверку ПУ Потребителя, не присоединенных к интеллектуальной системе учета Гарантирующего поставщика, не реже 1 раза в год. 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Осуществлять действия по обеспечению оборудования точек поставки ПУ, в случае если точки поставки на день заключения договора не оборудованы ПУ..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Осуществлять контроль соблюдения требований законодательства Российской Федерации об обеспечении единства измерений, в том числе к месту установки, классу точности, наличия неповрежденных контрольных пломб и (или) знаков визуального контроля допущенных в эксплуатацию расчетных ПУ, а также подлежащих к установке ПУ. которые могут быть присоединены к интеллектуальной системе учета электрической энергии (мощности), в соответствии с правилами предоставления доступа к минимальному набору функций интеллектуальных систем учета электрической энергии (мощности), а также извещать заинтересованных субъектов электроэнергетики, потребителей электрической энергии (мощности) и иных владельцев ПУ электрической энергии об их нарушении.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Осуществлять информационный обмен данными, получаемыми в ходе обеспечения коммерческого учета электрической энергии (мощности) на розничных рынках, необходимыми для взаиморасчетов за поставки электрической энергии и мощности, а также за связанные с указанными поставками услуги, на безвозмездной основе.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Осуществлять иные действия, необходимые для реализации прав Потребителя, предусмотренные действующим законодательством РФ.</w:t>
      </w:r>
    </w:p>
    <w:p>
      <w:pPr>
        <w:pStyle w:val="Normal"/>
        <w:widowControl w:val="false"/>
        <w:tabs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  <w:tab w:val="left" w:pos="709" w:leader="none"/>
        </w:tabs>
        <w:suppressAutoHyphens w:val="true"/>
        <w:ind w:left="0" w:hanging="0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Гарантирующий поставщик имеет право: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  <w:tab w:val="left" w:pos="1134" w:leader="none"/>
        </w:tabs>
        <w:ind w:left="0" w:hanging="0"/>
        <w:rPr>
          <w:iCs/>
          <w:sz w:val="22"/>
          <w:szCs w:val="22"/>
        </w:rPr>
      </w:pPr>
      <w:r>
        <w:rPr>
          <w:iCs/>
          <w:sz w:val="22"/>
          <w:szCs w:val="22"/>
        </w:rPr>
        <w:t>Требовать своевременной оплаты за потребленную электрическую энергию (мощность), услуги по передаче электрической энергии</w:t>
      </w:r>
      <w:r>
        <w:rPr>
          <w:sz w:val="22"/>
          <w:szCs w:val="22"/>
        </w:rPr>
        <w:t xml:space="preserve"> и услуги, оказание которых является неотъемлемой частью процесса поставки электрической энергии Потребителю </w:t>
      </w:r>
      <w:r>
        <w:rPr>
          <w:iCs/>
          <w:sz w:val="22"/>
          <w:szCs w:val="22"/>
        </w:rPr>
        <w:t>в соответствии с условиями настоящего договора.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  <w:tab w:val="left" w:pos="1134" w:leader="none"/>
        </w:tabs>
        <w:ind w:left="0" w:hanging="0"/>
        <w:rPr>
          <w:iCs/>
          <w:sz w:val="22"/>
          <w:szCs w:val="22"/>
        </w:rPr>
      </w:pPr>
      <w:r>
        <w:rPr>
          <w:sz w:val="22"/>
          <w:szCs w:val="22"/>
        </w:rPr>
        <w:t xml:space="preserve">Инициировать введение полного и (или) частичного ограничения режима потребления </w:t>
      </w:r>
      <w:r>
        <w:rPr/>
        <w:t>в установленном</w:t>
      </w:r>
      <w:r>
        <w:rPr>
          <w:sz w:val="22"/>
          <w:szCs w:val="22"/>
        </w:rPr>
        <w:t xml:space="preserve"> порядке при наступлении любого из обстоятельств, указанных в разделе 6 настоящего договора.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  <w:tab w:val="left" w:pos="1134" w:leader="none"/>
        </w:tabs>
        <w:ind w:left="0" w:hanging="0"/>
        <w:rPr>
          <w:iCs/>
          <w:sz w:val="22"/>
          <w:szCs w:val="22"/>
        </w:rPr>
      </w:pPr>
      <w:r>
        <w:rPr>
          <w:sz w:val="22"/>
          <w:szCs w:val="22"/>
        </w:rPr>
        <w:t>Периодического (не чаще 1 раза в месяц) доступа к ПУ Потребителя для цели проверки условий их эксплуатации и сохранности, снятия контрольных показаний</w:t>
      </w:r>
      <w:r>
        <w:rPr>
          <w:i/>
          <w:sz w:val="22"/>
          <w:szCs w:val="22"/>
        </w:rPr>
        <w:t>,</w:t>
      </w:r>
      <w:r>
        <w:rPr>
          <w:sz w:val="22"/>
          <w:szCs w:val="22"/>
        </w:rPr>
        <w:t xml:space="preserve"> проведения проверок (замеров). 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Требовать возмещения убытков, причиненных Потребителем вследствие неисполнения или ненадлежащего исполнения обязанностей по обеспечению сохранности и целостности приборов учета, иного оборудования, используемых для коммерческого учета Потребителя, принадлежащих на праве собственности или ином законном праве ПАО «Камчатскэнерго». 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Осуществлять процедуру допуска в эксплуатацию ПУ в случае неявки потребителя или его уполномоченного представителя в дату и время, указанные в приглашении на участие в процедуре допуска ПУ. Допускать ПУ в эксплуатацию при неявке Потребителя или его уполномоченного представителя, либо отказе от подписания акта допуска ПУ в эксплуатацию (с указанием в акте допуска ПУ в эксплуатацию соответствующей отметки).</w:t>
      </w:r>
      <w:r>
        <w:rPr>
          <w:iCs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Выбирать расчетный ПУ Потребителя в случае наличия нескольких ПУ, расположенных по обе стороны границы балансовой принадлежности, в соответствии с критериями, определенными законодательством РФ.. 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Проводить внеплановую проверку ПУ </w:t>
      </w:r>
      <w:r>
        <w:rPr>
          <w:sz w:val="22"/>
          <w:szCs w:val="22"/>
        </w:rPr>
        <w:t>Потребителя в случаях, предусмотренных Законодательством РФ.</w:t>
      </w:r>
      <w:r>
        <w:rPr>
          <w:iCs/>
          <w:color w:val="FF0000"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iCs/>
          <w:sz w:val="22"/>
          <w:szCs w:val="22"/>
        </w:rPr>
      </w:pPr>
      <w:r>
        <w:rPr>
          <w:sz w:val="22"/>
          <w:szCs w:val="22"/>
        </w:rPr>
        <w:t xml:space="preserve">Осуществлять за отдельную плату установку, замену ПУ до истечения их срока поверки или эксплуатации в случаях, не связанных с утратой, выходом из строя или неисправностью ПУ, при обращении потребителя, а также предоставлять услуги, не включенные в минимальный набор функций интеллектуальных систем учета электрической энергии (мощности), с использованием ПУ и результатов измерений таких ПУ. </w:t>
      </w:r>
    </w:p>
    <w:p>
      <w:pPr>
        <w:pStyle w:val="Normal"/>
        <w:widowControl w:val="false"/>
        <w:spacing w:before="0" w:after="0"/>
        <w:ind w:left="0" w:hanging="0"/>
        <w:contextualSpacing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widowControl w:val="false"/>
        <w:numPr>
          <w:ilvl w:val="0"/>
          <w:numId w:val="2"/>
        </w:numPr>
        <w:spacing w:before="0" w:after="0"/>
        <w:ind w:left="0" w:hanging="1020"/>
        <w:contextualSpacing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ОБЯЗАННОСТИ И ПРАВА ПОТРЕБИТЕЛЯ.</w:t>
      </w:r>
    </w:p>
    <w:p>
      <w:pPr>
        <w:pStyle w:val="Normal"/>
        <w:widowControl w:val="false"/>
        <w:spacing w:before="0" w:after="0"/>
        <w:ind w:left="0" w:hanging="0"/>
        <w:contextualSpacing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widowControl w:val="false"/>
        <w:numPr>
          <w:ilvl w:val="1"/>
          <w:numId w:val="2"/>
        </w:numPr>
        <w:tabs>
          <w:tab w:val="left" w:pos="709" w:leader="none"/>
        </w:tabs>
        <w:ind w:left="0" w:hanging="0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Потребитель обязуется: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Оплачивать приобретаемую электрическую энергию (мощность) и оказанные услуги по передаче электрической энергии в сроки и на условиях, предусмотренных настоящим договором. Введение полного и (или) частичного ограничения режима потребления электрической энергии (мощности) в отношении Потребителя по настоящему договору не освобождает Потребителя от обязанности оплатить Гарантирующему поставщику в полном размере стоимость электрической энергии (мощности), поставленной до его введения.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Соблюдать предусмотренный настоящим договором и документами о технологическом присоединении режим потребления электрической энергии (мощности).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Обеспечивать в течение всего срока действия настоящего договора сохранность и целостность ПУ, а также пломб и (или) знаков визуального контроля; снятие и хранение показаний ПУ, своевременное предоставление показаний ПУ, не подключенных к интеллектуальной системе учета сетевой организации и расположенных в границах балансовой принадлежности Потребителя.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Возместить сетевой организации (гарантирующему поставщику) убытки, причиненные неисполнением или ненадлежащим исполнением обязанностей по обеспечению сохранности и целостности установленных сетевой организацией (гарантирующим поставщиком) ПУ и (или) иного оборудования, которые используются для обеспечения коммерческого учета электрической энергии (мощности).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При выявлении фактов неисправности или утраты расчетного ПУ в течение одних суток сообщить об этом Гарантирующему поставщику.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Осуществлять эксплуатацию принадлежащих Потребителю энергопринимающих устройств в соответствии с правилами технической эксплуатации, техники безопасности и оперативно-диспетчерского управления.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Уведомлять Гарантирующего поставщика путем направления письменной заявки о намерении демонтировать ПУ в целях проведения капитального ремонта или реконструкции объектов Потребителя в местах установки ПУ не менее чем за 7 рабочих дней до планируемой даты проведения демонтажа ПУ. Обеспечить окончание работ по капитальному ремонту или реконструкции объектов в местах установки ПУ Потребителя или предоставление других мест для установки ПУ не позднее 6 месяцев с момента демонтажа ПУ.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Обеспечить функционирование и реализацию управляющих воздействий устройств релейной защиты, противоаварийной и режимной автоматики, средств регулирования напряжения и компенсации реактивной мощности, установленных в границах его балансовой принадлежности. 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Незамедлительно (в течение суток) уведомлять Гарантирующего поставщика и Сетевую организацию об аварийных ситуациях на энергетических объектах, плановом, текущем и капитальном ремонте на них.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Обеспечить проведение замеров мощности на энергопринимающих устройствах (объектах электроэнергетики), в отношении которых заключен настоящий договор, (за исключением энергопринимающих устройств (объектов электроэнергетики), в отношении которых установлены и введены в эксплуатацию ПУ после 1 июля 2020 г.) и представлять Гарантирующему поставщику и Сетевой организации информацию о результатах проведенных замеров в течение 3 рабочих дней с даты проведения соответствующего замера. при получении от Сетевой организации требования о проведении замеров. 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Поддерживать на границе балансовой принадлежности значения показателей качества электрической энергии, обусловленные работой энергопринимающих устройств Потребителя, соответствующие техническим регламентам и иным обязательным требованиям, в том числе соблюдать установленные договором значения соотношения потребления активной и реактивной мощности, определяемые для отдельных энергопринимающих устройств (групп энергопринимающих устройств). В случае несоблюдения установленного коэффициента мощности оплачивать услуги по компенсации реактивной мощности в соответствии с Приложением № 5 к настоящему договору.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Обеспечить доступ представителей Гарантирующего поставщика и (или) Сетевой организации к энергопринимающим устройствам, находящимся в границах балансовой принадлежности Потребителя, для осуществления проверок (замеров).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По запросу Гарантирующего поставщика или Сетевой организации предоставлять технологическую информацию (главные электрические схемы, характеристики оборудования, схемы устройств релейной защиты и противоаварийной автоматики, оперативные данные о технологических режимах работы оборудования).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Обеспечить своевременное выполнение диспетчерских команд (распоряжений) Гарантирующего поставщика и соответствующих требований Сетевой организации. 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Соблюдать заданные в установленном порядке Сетевой организацией требования к установке устройств релейной защиты и автоматики, а также поддерживать схему электроснабжения с выделением ответственных нагрузок на резервируемые внешние питающие линии, обеспечивающие отпуск электрической энергии для покрытия технологической и аварийной брони.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Выполнять требования Гарантирующего поставщика об ограничении режима потребления в соответствии с утвержденными графиками аварийного ограничения режима потребления электрической энергии при возникновении (угрозе возникновения) дефицита электрической энергии и мощности, а также в иных случаях, предусмотренных законодательством РФ в качестве основания для введения полного или частичного ограничения режима потребления.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Информировать Гарантирующего поставщика и Сетевую организацию об объеме участия в автоматическом либо оперативном противоаварийном управлении мощностью, в нормированном первичном регулировании частоты и во вторичном регулировании мощности (для электростанций), а также о перечне и мощности токоприемников, которые могут быть отключены устройствами противоаварийной автоматики..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Подтвердить в течение 10 рабочих дней со дня получения запроса сетевой организации с намерением установить (заменить) ПУ дату и время допуска к местам установки ПУ для совершения действий сетевой организации по установке (замене) и допуску в эксплуатацию ПУ, либо согласовать иные дату и (или) время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Обеспечить доступ к месту установки ПУ представителей организаций, уполномоченных на совершение действий по установке, вводу в эксплуатацию и демонтажу ПУ, а также для проверки и снятия показаний, в том числе контрольного снятия показаний, в согласованную дату и время.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Предоставить список лиц, ответственных за электрохозяйство, за эксплуатацию ПУ, лиц, имеющих право ведения оперативных переговоров, подписания заявок, принятия претензий, отчетов, актов снятия показаний расчетных приборов учета, актов о неучтенном потреблении электрической энергии и иных актов (Приложение № 9). Список должен содержать должности и фамилии уполномоченных лиц, номер их телефона, факса для оперативной связи. Потребитель обязуется незамедлительно извещать Гарантирующего поставщика об изменении данных, указанных в настоящем пункте.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В течение 3-х дней с момента соответствующего изменения письменно сообщать Гарантирующему поставщику об изменениях юридического адреса, места нахождения, банковских реквизитов, наименования, ведомственной принадлежности и/или формы собственности, перечне обслуживаемых объектов и других обстоятельствах, влияющих на надлежащее исполнение настоящего договора, с приложением соответствующих изменениям документов.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В случае отказа Потребителя от исполнения настоящего договора в одностороннем порядке не позднее чем за 20 рабочих дней до заявляемой им даты расторжения дней с даты принятия указанного решения, направить письменное уведомление Гарантирующему поставщику  способом, позволяющим подтвердить факт и дачу получения уведомления.</w:t>
        <w:tab/>
      </w:r>
    </w:p>
    <w:p>
      <w:pPr>
        <w:pStyle w:val="Normal"/>
        <w:widowControl w:val="false"/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При этом Потребитель обязан оплатить Гарантирующему поставщику стоимость потребленной электрической энергии (мощности), что должно быть подтверждено оплатой счета.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При изменении настоящего договора направить Гарантирующему поставщику письменное уведомление об этом не позднее чем за 20 рабочих дней до заявляемой даты изменения настоящего договора способом, позволяющим подтвердить факт и дату получения уведомления.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Обеспечить предоставление Гарантирующему поставщику показаний ПУ, используемых для расчетов по договору, на дату расторжения или изменения договора, для осуществления окончательных расчетов за электрическую энергию (мощность).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Оплатить объем бездоговорного потребления электрической энергии по счету в течение 10 дней со дня получения счета.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Потребитель не вправе по своему усмотрению демонтировать ПУ</w:t>
      </w:r>
      <w:r>
        <w:rPr/>
        <w:t>,</w:t>
      </w:r>
      <w:r>
        <w:rPr>
          <w:sz w:val="22"/>
          <w:szCs w:val="22"/>
        </w:rPr>
        <w:t xml:space="preserve"> ограничивать к ним доступ, вмешиваться в процесс удаленного сбора, обработки и передачи показаний ПУ (измерительных трансформаторов), в любой иной форме препятствовать их использованию для обеспечения и осуществления контроля коммерческого учета электрической энергии (мощности), в том числе препятствовать проведению проверок целостности и корректности их работы, использованию для этих целей данных, получаемых с принадлежащих им ПУ электрической энергии.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Выполнять иные обязанности и требования, установленные отраслевым законодательством в сфере энергоснабжения.</w:t>
      </w:r>
    </w:p>
    <w:p>
      <w:pPr>
        <w:pStyle w:val="Normal"/>
        <w:widowControl w:val="false"/>
        <w:tabs>
          <w:tab w:val="left" w:pos="709" w:leader="none"/>
        </w:tabs>
        <w:ind w:left="1020" w:hanging="0"/>
        <w:rPr>
          <w:sz w:val="22"/>
          <w:szCs w:val="22"/>
          <w:highlight w:val="cyan"/>
        </w:rPr>
      </w:pPr>
      <w:r>
        <w:rPr>
          <w:sz w:val="22"/>
          <w:szCs w:val="22"/>
          <w:highlight w:val="cyan"/>
        </w:rPr>
      </w:r>
    </w:p>
    <w:p>
      <w:pPr>
        <w:pStyle w:val="Normal"/>
        <w:widowControl w:val="false"/>
        <w:numPr>
          <w:ilvl w:val="1"/>
          <w:numId w:val="2"/>
        </w:numPr>
        <w:tabs>
          <w:tab w:val="left" w:pos="709" w:leader="none"/>
        </w:tabs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Потребитель имеет право: 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Требовать поддержания на границе балансовой принадлежности электросетей показателей качества электроэнергии в соответствии с действующими нормативными документами.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Требовать обеспечения надежности энергоснабжения в соответствии с условиями настоящего договора и фактической схемой электроснабжения.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Использовать действующие расчетные ПУ вплоть до истечения установленного для них межповерочного интервала, срока эксплуатации, либо до момента выхода таких ПУ из строя или их утраты.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>Отказать Гарантирующему поставщику в установке ПУ при отсутствии технической возможности установки ПУ в месте, указанном Гарантирующим поставщиком в запросе на установку (замену) ПУ.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Требовать с сетевой организации выплату неустойки в случае неисполнения или ненадлежащего исполнения обязанностей по установке, замене и допуску в эксплуатацию ПУ по истечении 6 месяцев с момента наступления одного из событий, повлекших необходимость установки или замены ПУ и ввода его в эксплуатацию (выход ПУ из строя, истечение межповерочного интервала, срока эксплуатации, утрата ПУ) в размере, предусмотренном законодательством РФ, кроме случаев, когда неисполнение или ненадлежащее исполнение таких обязанностей возникло по причине недопуска Потребителем представителя Гарантирующего поставщика к местам установки ПУ, в то время как техническая возможность установки ПУ в ином месте, максимально приближенном к границе балансовой принадлежности, отсутствует. Проводить проверки соблюдения сетевой организацией или гарантирующим поставщиком требований законодательства Российской Федерации об обеспечении единства измерений, в том числе к месту установки, классу точности, наличия неповрежденных контрольных пломб и (или) знаков визуального контроля допущенных в эксплуатацию расчетных ПУ, а также подлежащих к установке ПУ. которые могут быть присоединены к интеллектуальной системе учета электрической энергии (мощности), в соответствии с правилами предоставления доступа к минимальному набору функций интеллектуальных систем учета электрической энергии (мощности) в том числе с привлечением аккредитованных в установленном порядке в области обеспечения единства измерений юридических лиц (индивидуальных предпринимателей).</w:t>
      </w:r>
    </w:p>
    <w:p>
      <w:pPr>
        <w:pStyle w:val="Normal"/>
        <w:widowControl w:val="false"/>
        <w:numPr>
          <w:ilvl w:val="2"/>
          <w:numId w:val="2"/>
        </w:numPr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С даты утраты Гарантирующим поставщиком его статуса перейти на обслуживание к организации, которой присвоен статус Гарантирующего поставщика или к энергосбытовой (энергоснабжающей) организации или производителю электрической энергии (мощности) на розничном рынке, при условии соблюдения установленных законодательством условий заключения договоров с указанными субъектами. </w:t>
      </w:r>
    </w:p>
    <w:p>
      <w:pPr>
        <w:pStyle w:val="Normal"/>
        <w:widowControl w:val="false"/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left" w:pos="426" w:leader="none"/>
        </w:tabs>
        <w:suppressAutoHyphens w:val="true"/>
        <w:spacing w:before="0" w:after="0"/>
        <w:contextualSpacing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ПОРЯДОК УЧЕТА ЭЛЕКТРИЧЕСКОЙ ЭНЕРГИИ (МОЩНОСТИ) С ИСПОЛЬЗОВАНИЕМ ПУ И ПОРЯДОК ВЗАИМОДЕЙСТВИЯ СТОРОН В ПРОЦЕССЕ ТАКОГО УЧЕТА.</w:t>
      </w:r>
    </w:p>
    <w:p>
      <w:pPr>
        <w:pStyle w:val="Normal"/>
        <w:widowControl w:val="false"/>
        <w:tabs>
          <w:tab w:val="left" w:pos="0" w:leader="none"/>
        </w:tabs>
        <w:suppressAutoHyphens w:val="true"/>
        <w:spacing w:before="0" w:after="0"/>
        <w:ind w:left="0" w:hanging="0"/>
        <w:contextualSpacing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ListParagraph"/>
        <w:numPr>
          <w:ilvl w:val="1"/>
          <w:numId w:val="2"/>
        </w:numPr>
        <w:tabs>
          <w:tab w:val="left" w:pos="0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Для учета электрической энергии (мощности), потребляемой Потребителем, подлежат использованию ПУ, соответстветстующие требованиям законодательства Российской Федерации об обеспечении единства измерений, а также нормативно-правовыми актами, регулирующими правоотношения в сфере энергоснабжения, в том числе по их классу точности, быть допущенными в эксплуатацию в установленном порядке, иметь неповрежденные контрольные пломбы и (или) знаки визуального контроля.</w:t>
      </w:r>
    </w:p>
    <w:p>
      <w:pPr>
        <w:pStyle w:val="ListParagraph"/>
        <w:numPr>
          <w:ilvl w:val="1"/>
          <w:numId w:val="2"/>
        </w:numPr>
        <w:tabs>
          <w:tab w:val="left" w:pos="0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Сетевые организации обеспечивают коммерческий учет электрической энергии (мощности) энергопринимающих устройств потребителей электрической энергии (мощности), в том числе путем приобретения, установки, замены, допуска в эксплуатацию ПУ электрической энергии и (или) иного оборудования, а также нематериальных активов, которые необходимы для обеспечения коммерческого учета электрической энергии (мощности), и последующей их эксплуатации, том числе посредством интеллектуальных систем учета электрической энергии (мощности):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при отсутствии, выходе из строя, утрате, истечении срока эксплуатации или истечении интервала между поверками ПУ электрической энергии и (или) иного оборудования, которые используются для коммерческого учета электрической энергии (мощности), в том числе не принадлежащих сетевой организации (гарантирующему поставщику);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 xml:space="preserve">в процессе технологического присоединения энергопринимающих устройств. 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426" w:leader="none"/>
        </w:tabs>
        <w:suppressAutoHyphens w:val="true"/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ПУ подлежат установке (в порядке убывания приоритета):</w:t>
      </w:r>
    </w:p>
    <w:p>
      <w:pPr>
        <w:pStyle w:val="Normal"/>
        <w:widowControl w:val="false"/>
        <w:tabs>
          <w:tab w:val="left" w:pos="426" w:leader="none"/>
        </w:tabs>
        <w:suppressAutoHyphens w:val="true"/>
        <w:spacing w:before="0" w:after="0"/>
        <w:ind w:left="0" w:hanging="0"/>
        <w:contextualSpacing/>
        <w:rPr>
          <w:bCs/>
          <w:sz w:val="22"/>
          <w:szCs w:val="22"/>
        </w:rPr>
      </w:pPr>
      <w:r>
        <w:rPr>
          <w:sz w:val="22"/>
          <w:szCs w:val="22"/>
        </w:rPr>
        <w:t>-</w:t>
        <w:tab/>
        <w:t xml:space="preserve">в местах, указанных в документах о технологическом присоединении и (или) актах допуска в эксплуатацию ПУ электрической </w:t>
      </w:r>
      <w:r>
        <w:rPr>
          <w:bCs/>
          <w:sz w:val="22"/>
          <w:szCs w:val="22"/>
        </w:rPr>
        <w:t xml:space="preserve">энергии. </w:t>
      </w:r>
    </w:p>
    <w:p>
      <w:pPr>
        <w:pStyle w:val="Normal"/>
        <w:widowControl w:val="false"/>
        <w:tabs>
          <w:tab w:val="left" w:pos="426" w:leader="none"/>
        </w:tabs>
        <w:suppressAutoHyphens w:val="true"/>
        <w:spacing w:before="0" w:after="0"/>
        <w:ind w:left="0" w:hanging="0"/>
        <w:contextualSpacing/>
        <w:rPr>
          <w:bCs/>
          <w:sz w:val="22"/>
          <w:szCs w:val="22"/>
        </w:rPr>
      </w:pPr>
      <w:r>
        <w:rPr>
          <w:bCs/>
          <w:sz w:val="22"/>
          <w:szCs w:val="22"/>
        </w:rPr>
        <w:t>-</w:t>
        <w:tab/>
        <w:t>на границе балансовой принадлежности объектов энергопринимающих устройств смежных субъектов. При этом ПУ может быть установлен в границах объектов электроэнергетики (энергопринимающих устройств) смежного субъекта.</w:t>
      </w:r>
    </w:p>
    <w:p>
      <w:pPr>
        <w:pStyle w:val="Normal"/>
        <w:widowControl w:val="false"/>
        <w:tabs>
          <w:tab w:val="left" w:pos="426" w:leader="none"/>
        </w:tabs>
        <w:suppressAutoHyphens w:val="true"/>
        <w:spacing w:before="0" w:after="0"/>
        <w:ind w:left="0" w:hanging="0"/>
        <w:contextualSpacing/>
        <w:rPr>
          <w:b/>
          <w:b/>
          <w:bCs/>
          <w:sz w:val="22"/>
          <w:szCs w:val="22"/>
        </w:rPr>
      </w:pPr>
      <w:r>
        <w:rPr>
          <w:bCs/>
          <w:sz w:val="22"/>
          <w:szCs w:val="22"/>
        </w:rPr>
        <w:t>-</w:t>
        <w:tab/>
        <w:t>в месте, максимально приближенном к границе балансовой принадлежности, в котором имеется техническая возможность его установки</w:t>
      </w:r>
      <w:r>
        <w:rPr>
          <w:b/>
          <w:bCs/>
          <w:sz w:val="22"/>
          <w:szCs w:val="22"/>
        </w:rPr>
        <w:t>.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426" w:leader="none"/>
        </w:tabs>
        <w:suppressAutoHyphens w:val="true"/>
        <w:ind w:left="0" w:hanging="0"/>
        <w:rPr>
          <w:b/>
          <w:b/>
          <w:bCs/>
          <w:sz w:val="22"/>
          <w:szCs w:val="22"/>
        </w:rPr>
      </w:pPr>
      <w:r>
        <w:rPr>
          <w:bCs/>
          <w:sz w:val="22"/>
          <w:szCs w:val="22"/>
        </w:rPr>
        <w:t>Установка (замена) ПУ и допуск в эксплуатацию ПУ электрической энергии должны быть осуществлены не позднее 6 месяцев:</w:t>
      </w:r>
    </w:p>
    <w:p>
      <w:pPr>
        <w:pStyle w:val="ListParagraph"/>
        <w:widowControl w:val="false"/>
        <w:tabs>
          <w:tab w:val="left" w:pos="426" w:leader="none"/>
        </w:tabs>
        <w:suppressAutoHyphens w:val="true"/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-</w:t>
        <w:tab/>
        <w:t>с даты истечения интервала между поверками или срока эксплуатации ПУ, если соответствующая дата (срок) установлена в договоре энергоснабжения (Приложение № 1)</w:t>
      </w:r>
    </w:p>
    <w:p>
      <w:pPr>
        <w:pStyle w:val="ListParagraph"/>
        <w:widowControl w:val="false"/>
        <w:tabs>
          <w:tab w:val="left" w:pos="426" w:leader="none"/>
        </w:tabs>
        <w:suppressAutoHyphens w:val="true"/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-</w:t>
        <w:tab/>
        <w:t xml:space="preserve">в иных случаях при нахождении ПУ в границах балансовой принадлежности энергопринимающих устройств (объектов электросетевого хозяйства) - с даты получения обращения потребителя электрической энергии об истечении интервала между поверками, срока эксплуатации, а также об утрате, о выходе ПУ из строя и (или) его неисправности. </w:t>
      </w:r>
    </w:p>
    <w:p>
      <w:pPr>
        <w:pStyle w:val="ListParagraph"/>
        <w:widowControl w:val="false"/>
        <w:tabs>
          <w:tab w:val="left" w:pos="426" w:leader="none"/>
        </w:tabs>
        <w:suppressAutoHyphens w:val="true"/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-</w:t>
        <w:tab/>
        <w:t>с даты выявления истечения срока поверки, срока эксплуатации, неисправности ПУ в ходе проведения его проверки в установленном настоящим документом порядке;</w:t>
      </w:r>
    </w:p>
    <w:p>
      <w:pPr>
        <w:pStyle w:val="ListParagraph"/>
        <w:widowControl w:val="false"/>
        <w:tabs>
          <w:tab w:val="left" w:pos="426" w:leader="none"/>
        </w:tabs>
        <w:suppressAutoHyphens w:val="true"/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-</w:t>
        <w:tab/>
        <w:t>с даты признания ПУ утраченным.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426" w:leader="none"/>
        </w:tabs>
        <w:suppressAutoHyphens w:val="true"/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Сетевая организация, имеющая намерение установить либо заменить ПУ, направляет в адрес гарантирующего поставщика и потребителя запрос на установку (замену) ПУ способом, позволяющим подтвердить факт его получения.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426" w:leader="none"/>
        </w:tabs>
        <w:suppressAutoHyphens w:val="true"/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В подтвержденные дату и время сетевая организация осуществляют действия по установке (замене) ПУ.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426" w:leader="none"/>
        </w:tabs>
        <w:suppressAutoHyphens w:val="true"/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При ненаправлении потребителем сетевой организации в установленный срок ответа на запрос на установку (замену) ПУ, при получении ответа об отказе в установке ПУ или при двукратном недопуске к месту установки ПУ, но не ранее 4 месяцев с момента первого недопуска, ПУ подлежит установке в ином месте, максимально приближенном к границе балансовой принадлежности, с уведомлением лиц, которым направлялся запрос на установку (замену) ПУ, о смене места установки с указанием адреса такого места иных лиц, которые принимают участие в процедуре допуска ПУ в эксплуатацию</w:t>
      </w:r>
    </w:p>
    <w:p>
      <w:pPr>
        <w:pStyle w:val="Normal"/>
        <w:widowControl w:val="false"/>
        <w:numPr>
          <w:ilvl w:val="1"/>
          <w:numId w:val="2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Установленный ПУ должен быть допущен в эксплуатацию. Под допуском ПУ в эксплуатацию понимается процедура, в ходе которой сетевой организацией проверяется и определяется готовность ПУ, в том числе входящего в состав измерительного комплекса или системы учета, к его использованию при осуществлении расчетов за электрическую энергию (мощность) и которая завершается документальным оформлением результатов допуска.</w:t>
      </w:r>
    </w:p>
    <w:p>
      <w:pPr>
        <w:pStyle w:val="Normal"/>
        <w:widowControl w:val="false"/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Допуск в эксплуатацию ПУ осуществляется при участии уполномоченных представителей лиц, которым направлялся запрос на установку (замену) ПУ или приглашение для участия в процедуре допуска.</w:t>
      </w:r>
    </w:p>
    <w:p>
      <w:pPr>
        <w:pStyle w:val="Normal"/>
        <w:widowControl w:val="false"/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По окончании допуска в эксплуатацию ПУ организацией, осуществляющей допуск в эксплуатацию ПУ, в местах и способом, которые определены в соответствии с законодательством Российской Федерации об обеспечении единства измерений и о техническом регулировании, подлежит установке контрольная одноразовая номерная пломба (далее - контрольная пломба) и (или) знаки визуального контроля.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В случае неявки потребителя для участия в процедуре допуска ПУ в эксплуатацию такая процедура проводится без его участия. 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В качестве расчетного ПУ принимается ПУ (в порядке убывания приоритета):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установленный и допущенный в эксплуатацию сетевой организацией. Такой ПУ становится расчетным с даты допуска его в эксплуатацию;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 xml:space="preserve">обеспечивающий проведение измерений с минимальной величиной потерь электрической энергии от места его установки до точки поставки (при номинальных токах и напряжениях); 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обеспечивающий минимальную величину погрешности измерительного канала. Погрешность измерительного канала определяется в соответствии с нормативным правовым актом уполномоченного федерального органа, регламентирующим расчет нормативов технологических потерь электрической энергии при ее передаче;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позволяющий измерять почасовые объемы потребления (производства) электрической энергии, в том числе входящий в измерительный комплекс;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входящий в состав автоматизированной информационно-измерительной системы учета.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 xml:space="preserve">При этом ПУ, расположенные по иную сторону границы балансовой принадлежности от расчетных ПУ могут быть определены как контрольные ПУ. </w:t>
      </w:r>
    </w:p>
    <w:p>
      <w:pPr>
        <w:pStyle w:val="Normal"/>
        <w:widowControl w:val="false"/>
        <w:numPr>
          <w:ilvl w:val="1"/>
          <w:numId w:val="2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В случае, если ПУ расположен не на границе балансовой принадлежности объектов электроэнергетики (энергопринимающих устройств), то объем потребления (производства, передачи) электрической энергии (мощности), определенный на основании показаний такого ПУ, в целях осуществления расчетов по настоящему договору подлежит корректировке на величину потерь электрической энергии, возникающих на участке сети от границы балансовой принадлежности объектов электроэнергетики (энергопринимающих устройств) до места установки ПУ.</w:t>
      </w:r>
    </w:p>
    <w:p>
      <w:pPr>
        <w:pStyle w:val="ListParagraph"/>
        <w:numPr>
          <w:ilvl w:val="1"/>
          <w:numId w:val="2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Лицами, ответственными за снятие показаний расчетного ПУ, являются: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сетевые организации в отношении ПУ, присоединенных к интеллектуальным системам учета электрической энергии (мощности) соответствующей сетевой организации, а также иных расчетных ПУ, расположенных в границах объектов электросетевого хозяйства сетевых организаций или в границах бесхозяйных объектов электросетевого хозяйства;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потребители, собственники (владельцы) объектов электросетевого хозяйства в отношении расчетных ПУ, установленных в границах объектов таких лиц и не присоединенных к интеллектуальным системам учета электрической энергии (мощности).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Снятие показаний расчетных ПУ осуществляется по состоянию на 00 часов 00 минут первого дня месяца, следующего за расчетным периодом, а в отношении ПУ, установленных в многоквартирных жилых домах, - до окончания 25-го дня расчетного месяца, а также по состоянию на 00 часов 00 минут дня расторжения (заключения) договора энергоснабжения.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Снятие показаний расчетного ПУ, не присоединенного к интеллектуальной системе учета электрической энергии (мощности), оформляется актом снятия показаний расчетного ПУ (Приложение №7) и подписывается лицом, ответственным за снятие показаний ПУ, а также представителями сетевой организации и (или) гарантирующего поставщика в случае, если ими осуществляется совместное снятие показаний расчетного ПУ.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Лицо, ответственное за снятие показаний ПУ, обеспечивает представление показаний расчетного ПУ гарантирующему поставщику до окончания первого дня месяца, следующего за расчетным периодом, а ПУ, установленных в многоквартирных жилых домах, - до окончания 26-го дня расчетного месяца, а также в течение суток, следующих за датой расторжения (заключения) настоящего договора.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В отношении расчетных ПУ, не присоединенных к интеллектуальным системам учета электрической энергии (мощности), показания представляются с использованием телефонной связи, электронной почты или иным способом, позволяющим подтвердить факт их получения, а также при необходимости в письменной форме или в виде электронного документа, подписанного электронной подписью - Акта снятия показаний расчетных ПУ (Приложение № 7).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В отношении расчетных ПУ, присоединенных к интеллектуальным системам учета электрической энергии (мощности), показания представляются с использованием интеллектуальной системы учета электрической энергии (мощности) в соответствии с требованиями правил предоставления доступа к минимальному набору функций интеллектуальных систем учета электрической энергии (мощности).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Проверка правильности снятия показаний расчетных ПУ (далее - контрольное снятие показаний), не включенных в интеллектуальную систему учета гарантирующего поставщика или сете</w:t>
      </w:r>
      <w:r>
        <w:rPr>
          <w:sz w:val="22"/>
          <w:szCs w:val="22"/>
        </w:rPr>
        <w:t>вой организации осуществляется не чаще одного раза в месяц.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  <w:highlight w:val="cyan"/>
        </w:rPr>
      </w:pPr>
      <w:r>
        <w:rPr>
          <w:sz w:val="22"/>
          <w:szCs w:val="22"/>
        </w:rPr>
        <w:t>По факту выявленного безучетного потребления расчетный прибор учета признается выш</w:t>
      </w:r>
      <w:r>
        <w:rPr>
          <w:sz w:val="22"/>
          <w:szCs w:val="22"/>
        </w:rPr>
        <w:t>едшим из строя.</w:t>
      </w:r>
    </w:p>
    <w:p>
      <w:pPr>
        <w:pStyle w:val="ListParagraph"/>
        <w:widowControl w:val="false"/>
        <w:tabs>
          <w:tab w:val="left" w:pos="709" w:leader="none"/>
          <w:tab w:val="left" w:pos="1134" w:leader="none"/>
        </w:tabs>
        <w:ind w:left="102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widowControl w:val="false"/>
        <w:tabs>
          <w:tab w:val="left" w:pos="709" w:leader="none"/>
          <w:tab w:val="left" w:pos="1134" w:leader="none"/>
        </w:tabs>
        <w:ind w:left="1020" w:hanging="0"/>
        <w:rPr>
          <w:sz w:val="22"/>
          <w:szCs w:val="22"/>
          <w:highlight w:val="cyan"/>
        </w:rPr>
      </w:pPr>
      <w:r>
        <w:rPr>
          <w:sz w:val="22"/>
          <w:szCs w:val="22"/>
          <w:highlight w:val="cyan"/>
        </w:rPr>
      </w:r>
    </w:p>
    <w:p>
      <w:pPr>
        <w:pStyle w:val="ListParagraph"/>
        <w:widowControl w:val="false"/>
        <w:numPr>
          <w:ilvl w:val="0"/>
          <w:numId w:val="2"/>
        </w:numPr>
        <w:tabs>
          <w:tab w:val="left" w:pos="426" w:leader="none"/>
        </w:tabs>
        <w:suppressAutoHyphens w:val="true"/>
        <w:ind w:left="0" w:hanging="0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ПОРЯДОК ОПРЕДЕЛЕНИЯ СТОИМОСТИ И ОБЪЕМА ПОКУПКИ ЭЛЕКТРИЧЕСКОЙ ЭНЕРГИИ (МОЩНОСТИ) ЗА РАСЧЕТНЫЙ ПЕРИОД. </w:t>
      </w:r>
    </w:p>
    <w:p>
      <w:pPr>
        <w:pStyle w:val="Normal"/>
        <w:widowControl w:val="false"/>
        <w:tabs>
          <w:tab w:val="left" w:pos="0" w:leader="none"/>
        </w:tabs>
        <w:suppressAutoHyphens w:val="true"/>
        <w:spacing w:before="0" w:after="0"/>
        <w:ind w:left="0" w:hanging="0"/>
        <w:contextualSpacing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widowControl w:val="false"/>
        <w:numPr>
          <w:ilvl w:val="1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Определение объема покупки электрической энергии (мощности), поставленной в точках поставки по настоящему договору за расчетный период, осуществляется на основании данных об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объемах потребления электрической энергии (мощности), определенных в соответствии с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использованием ПУ, указанных в Приложении № 1, а в случаях, указанных в п. 5.2 настоящего раздела, на основании расчетных способов.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Стоимость фактически потребленной электрической энергии (мощности), поставленной в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точках поставки по настоящему договору за расчетный период, определяется исходя из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фактического объема потребления электрической энергии (мощности) и регулируемой цены на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электрическую энергию (мощность), установленной органом исполнительной власти субъекта Российской Федерации в области государственного регулирования тарифов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Определение объема потребленной электрической энергии (мощности) осуществляется в соответствии с расчетными способами, определенными Основными положениями функционирования розничных рынков электрической энергии, утвержденными Постановлением Правительства Российской Федерации от 4 мая 2012г. № 442 (далее – Основные положения), и в случаях, определенных Основными положениями, в том числе: </w:t>
      </w:r>
    </w:p>
    <w:p>
      <w:pPr>
        <w:pStyle w:val="Normal"/>
        <w:widowControl w:val="false"/>
        <w:tabs>
          <w:tab w:val="left" w:pos="567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при непредставлении Потребителем показаний расчетных ПУ электрической энергии;</w:t>
      </w:r>
    </w:p>
    <w:p>
      <w:pPr>
        <w:pStyle w:val="Normal"/>
        <w:widowControl w:val="false"/>
        <w:tabs>
          <w:tab w:val="left" w:pos="567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 xml:space="preserve">при выявлении неисправности, утраты или истечения срока межповерочного интервала расчетного измерительного комплекса либо его демонтажа в связи с поверкой, ремонтом или заменой, в случае отсутствия контрольного измерительного комплекса; </w:t>
      </w:r>
    </w:p>
    <w:p>
      <w:pPr>
        <w:pStyle w:val="Normal"/>
        <w:widowControl w:val="false"/>
        <w:tabs>
          <w:tab w:val="left" w:pos="567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при недопуске представителей Сетевой организации или Гарантирующего поставщика к расчетному ПУ, установленному в границах энергопринимающих устройств Потребителя, для проведения контрольного снятия показаний или проведения проверки ПУ.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Расчет объема потребления электрической энергии (мощности) Потребителю осуществляется с применением расчетного способа, предусмотренного Приложением № 3 к Основным положениям в случае потребления Потребителем электрической энергии (мощности) с нарушением установленного настоящим договором и (или) соответствующими нормативно-правовыми актами порядка учета электрической энергии (безучетное потребление), выразившимся во вмешательство в работу ПУ в случаях нарушения целостности (повреждения) прибора учета, измерительного комплекса, измерительных трансформаторов, нарушения (повреждения) пломб и (или) знаков визуального контроля, нанесенных на прибор учета, измерительный комплекс, измерительные трансформаторы, систему учета, компоненты интеллектуальной системы электрической энергии (мощности), на приспособления, препятствующие доступу к ним, расположенные до места установки ПУ электрической энергии (точки измерения прибором учета), когда ПУ установлены в границах балансовой принадлежности потребителя и (или) в границах земельного участка, принадлежащего потребителю на праве собственности или ином законном основании, на котором расположены энергопринимающие устройства потребителя или, если обязанность по обеспечению целостности и сохранности ПУ возложена на потребителя, а также с нарушением указанного порядка, обнаруженным в границах балансовой принадлежности потребителя подключения энергопринимающих устройств до точки измерения прибором учета или в границах земельного участка потребителя подключения до точки измерения прибором учета энергопринимающих устройств, расположенных в границах этого земельного участка.</w:t>
      </w:r>
    </w:p>
    <w:p>
      <w:pPr>
        <w:pStyle w:val="Normal"/>
        <w:widowControl w:val="false"/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left" w:pos="0" w:leader="none"/>
        </w:tabs>
        <w:suppressAutoHyphens w:val="true"/>
        <w:spacing w:before="0" w:after="0"/>
        <w:ind w:left="0" w:hanging="1020"/>
        <w:contextualSpacing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РАСЧЕТЫ ЗА ЭЛЕКТРИЧЕСКУЮ ЭНЕРГИЮ (МОЩНОСТЬ).</w:t>
      </w:r>
    </w:p>
    <w:p>
      <w:pPr>
        <w:pStyle w:val="Normal"/>
        <w:widowControl w:val="false"/>
        <w:tabs>
          <w:tab w:val="left" w:pos="0" w:leader="none"/>
        </w:tabs>
        <w:suppressAutoHyphens w:val="true"/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Расчетным периодом по настоящему договору является один календарный месяц.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ПОТРЕБИТЕЛЬ оплачивает стоимость электрической энергии (мощности) за расчетный период до </w:t>
      </w:r>
      <w:r>
        <w:rPr>
          <w:b/>
          <w:sz w:val="22"/>
          <w:szCs w:val="22"/>
        </w:rPr>
        <w:t>15-го числа месяца</w:t>
      </w:r>
      <w:r>
        <w:rPr>
          <w:sz w:val="22"/>
          <w:szCs w:val="22"/>
        </w:rPr>
        <w:t xml:space="preserve">, следующего за расчетным периодом 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При получении сумм оплаты, частичной оплаты в счет предстоящих поставок электрической энергии (мощности) Гарантирующий поставщик выставляет счета-фактуры в порядке и сроки, предусмотренные законодательством РФ.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  <w:lang w:eastAsia="en-US"/>
        </w:rPr>
      </w:pPr>
      <w:r>
        <w:rPr>
          <w:sz w:val="22"/>
          <w:szCs w:val="22"/>
        </w:rPr>
        <w:t xml:space="preserve">По окончании расчетного периода Гарантирующий поставщик предъявляет Потребителю счет-фактуру, счет и Акт выполненных работ (приема-передачи) в 2-х экземплярах. Потребитель возвращает один экземпляр Акта выполненных работ (приема-передачи), подписанный руководителем и скрепленный печатью, </w:t>
      </w:r>
      <w:r>
        <w:rPr>
          <w:sz w:val="22"/>
          <w:szCs w:val="22"/>
          <w:lang w:eastAsia="en-US"/>
        </w:rPr>
        <w:t xml:space="preserve">в адрес </w:t>
      </w:r>
      <w:r>
        <w:rPr>
          <w:sz w:val="22"/>
          <w:szCs w:val="22"/>
        </w:rPr>
        <w:t>Гарантирующего поставщика</w:t>
      </w:r>
      <w:r>
        <w:rPr>
          <w:sz w:val="22"/>
          <w:szCs w:val="22"/>
          <w:lang w:eastAsia="en-US"/>
        </w:rPr>
        <w:t xml:space="preserve"> не позднее 5-ти рабочих дней с момента получения. В случае н</w:t>
      </w:r>
      <w:r>
        <w:rPr>
          <w:rFonts w:eastAsia="Calibri"/>
          <w:sz w:val="22"/>
          <w:szCs w:val="22"/>
          <w:lang w:eastAsia="en-US"/>
        </w:rPr>
        <w:t xml:space="preserve">евозврата </w:t>
      </w:r>
      <w:r>
        <w:rPr>
          <w:sz w:val="22"/>
          <w:szCs w:val="22"/>
        </w:rPr>
        <w:t>Потребителем</w:t>
      </w:r>
      <w:r>
        <w:rPr>
          <w:rFonts w:eastAsia="Calibri"/>
          <w:sz w:val="22"/>
          <w:szCs w:val="22"/>
          <w:lang w:eastAsia="en-US"/>
        </w:rPr>
        <w:t xml:space="preserve"> подписанного Акта </w:t>
      </w:r>
      <w:r>
        <w:rPr>
          <w:sz w:val="22"/>
          <w:szCs w:val="22"/>
        </w:rPr>
        <w:t xml:space="preserve">выполненных работ (приема-передачи) </w:t>
      </w:r>
      <w:r>
        <w:rPr>
          <w:rFonts w:eastAsia="Calibri"/>
          <w:sz w:val="22"/>
          <w:szCs w:val="22"/>
          <w:lang w:eastAsia="en-US"/>
        </w:rPr>
        <w:t xml:space="preserve">по истечении установленного выше срока указанный </w:t>
      </w:r>
      <w:r>
        <w:rPr>
          <w:sz w:val="22"/>
          <w:szCs w:val="22"/>
        </w:rPr>
        <w:t>Акт считается принятым, объемы согласованными.</w:t>
      </w:r>
    </w:p>
    <w:p>
      <w:pPr>
        <w:pStyle w:val="Normal"/>
        <w:widowControl w:val="false"/>
        <w:suppressAutoHyphens w:val="true"/>
        <w:ind w:left="0" w:firstLine="709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В случае частичного отказа от объема потребления </w:t>
      </w:r>
      <w:r>
        <w:rPr>
          <w:sz w:val="22"/>
          <w:szCs w:val="22"/>
        </w:rPr>
        <w:t>электрической энергии (мощности)</w:t>
      </w:r>
      <w:r>
        <w:rPr>
          <w:sz w:val="22"/>
          <w:szCs w:val="22"/>
          <w:lang w:eastAsia="en-US"/>
        </w:rPr>
        <w:t xml:space="preserve">, указанного в Акте </w:t>
      </w:r>
      <w:r>
        <w:rPr>
          <w:sz w:val="22"/>
          <w:szCs w:val="22"/>
        </w:rPr>
        <w:t>выполненных работ (приема-передачи)</w:t>
      </w:r>
      <w:r>
        <w:rPr>
          <w:sz w:val="22"/>
          <w:szCs w:val="22"/>
          <w:lang w:eastAsia="en-US"/>
        </w:rPr>
        <w:t xml:space="preserve">, Потребитель обязан оплатить стоимость неоспариваемой части потребления в срок, установленный настоящим договором и направить Гарантирующему поставщику мотивированный отказ от оплаты оспариваемой части объема потребления. </w:t>
      </w:r>
    </w:p>
    <w:p>
      <w:pPr>
        <w:pStyle w:val="Normal"/>
        <w:widowControl w:val="false"/>
        <w:suppressAutoHyphens w:val="true"/>
        <w:ind w:left="0" w:firstLine="709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В случае если Потребитель не направил в адрес Гарантирующего поставщика мотивированного отказа в течение 5-ти рабочих дней с момента получения Акта </w:t>
      </w:r>
      <w:r>
        <w:rPr>
          <w:sz w:val="22"/>
          <w:szCs w:val="22"/>
        </w:rPr>
        <w:t>выполненных работ (приема-передачи)</w:t>
      </w:r>
      <w:r>
        <w:rPr>
          <w:sz w:val="22"/>
          <w:szCs w:val="22"/>
          <w:lang w:eastAsia="en-US"/>
        </w:rPr>
        <w:t xml:space="preserve">, претензии по объему и качеству не принимаются. </w:t>
      </w:r>
    </w:p>
    <w:p>
      <w:pPr>
        <w:pStyle w:val="Normal"/>
        <w:widowControl w:val="false"/>
        <w:suppressAutoHyphens w:val="true"/>
        <w:spacing w:before="0" w:after="0"/>
        <w:ind w:left="0" w:firstLine="709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Размер оспариваемых обязательств по оплате определяется Сторонами путём переговоров, а в случае недостижения согласия – в судебном порядке. 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Обязательство по оплате считается исполненным в день поступления денежных средств на расчетный счет Гарантирующего поставщика. 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Стороны обязуются ежеквартально проводить сверку расчетов по настоящему договору с составлением Акта сверки. </w:t>
      </w:r>
      <w:r>
        <w:rPr>
          <w:sz w:val="22"/>
          <w:szCs w:val="22"/>
        </w:rPr>
        <w:t xml:space="preserve">Гарантирующий Поставщик </w:t>
      </w:r>
      <w:r>
        <w:rPr>
          <w:rFonts w:eastAsia="Calibri"/>
          <w:sz w:val="22"/>
          <w:szCs w:val="22"/>
          <w:lang w:eastAsia="en-US"/>
        </w:rPr>
        <w:t xml:space="preserve">в течение 10 дней по истечении квартала направляет </w:t>
      </w:r>
      <w:r>
        <w:rPr>
          <w:sz w:val="22"/>
          <w:szCs w:val="22"/>
        </w:rPr>
        <w:t>Потребителю</w:t>
      </w:r>
      <w:r>
        <w:rPr>
          <w:rFonts w:eastAsia="Calibri"/>
          <w:sz w:val="22"/>
          <w:szCs w:val="22"/>
          <w:lang w:eastAsia="en-US"/>
        </w:rPr>
        <w:t xml:space="preserve"> оформленный со своей стороны Акт сверки, подписанный руководителем и главным бухгалтером.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suppressAutoHyphens w:val="true"/>
        <w:ind w:left="0" w:firstLine="709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>Потребитель</w:t>
      </w:r>
      <w:r>
        <w:rPr>
          <w:rFonts w:eastAsia="Calibri"/>
          <w:sz w:val="22"/>
          <w:szCs w:val="22"/>
          <w:lang w:eastAsia="en-US"/>
        </w:rPr>
        <w:t xml:space="preserve"> обязан рассмотреть полученный от </w:t>
      </w:r>
      <w:r>
        <w:rPr>
          <w:sz w:val="22"/>
          <w:szCs w:val="22"/>
        </w:rPr>
        <w:t xml:space="preserve">Гарантирующего поставщика </w:t>
      </w:r>
      <w:r>
        <w:rPr>
          <w:rFonts w:eastAsia="Calibri"/>
          <w:sz w:val="22"/>
          <w:szCs w:val="22"/>
          <w:lang w:eastAsia="en-US"/>
        </w:rPr>
        <w:t xml:space="preserve">Акт сверки в течение 10 календарных дней с момента получения Акта сверки, подписать и направить один экземпляр </w:t>
      </w:r>
      <w:r>
        <w:rPr>
          <w:sz w:val="22"/>
          <w:szCs w:val="22"/>
        </w:rPr>
        <w:t>Гарантирующему поставщику</w:t>
      </w:r>
      <w:r>
        <w:rPr>
          <w:rFonts w:eastAsia="Calibri"/>
          <w:sz w:val="22"/>
          <w:szCs w:val="22"/>
          <w:lang w:eastAsia="en-US"/>
        </w:rPr>
        <w:t>.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suppressAutoHyphens w:val="true"/>
        <w:ind w:left="0" w:firstLine="709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left" w:pos="0" w:leader="none"/>
        </w:tabs>
        <w:suppressAutoHyphens w:val="true"/>
        <w:rPr>
          <w:rFonts w:eastAsia="Calibri"/>
          <w:sz w:val="22"/>
          <w:szCs w:val="22"/>
          <w:lang w:eastAsia="en-US"/>
        </w:rPr>
      </w:pPr>
      <w:r>
        <w:rPr>
          <w:b/>
          <w:sz w:val="22"/>
          <w:szCs w:val="22"/>
        </w:rPr>
        <w:t>ПОРЯДОК ОГРАНИЧЕНИЯ РЕЖИМА ПОТРЕБЛЕНИЯ ЭЛЕКТРИЧЕСКОЙ ЭНЕРГИИ (МОЩНОСТИ).</w:t>
      </w:r>
    </w:p>
    <w:p>
      <w:pPr>
        <w:pStyle w:val="Normal"/>
        <w:widowControl w:val="false"/>
        <w:tabs>
          <w:tab w:val="left" w:pos="1134" w:leader="none"/>
        </w:tabs>
        <w:spacing w:before="0" w:after="0"/>
        <w:ind w:left="0" w:hanging="0"/>
        <w:contextualSpacing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Ограничение режима потребления электрической энергии (мощности) вводится в соответствии с действующим законодательством РФ при наступлении любого из следующих обстоятельств: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а) </w:t>
        <w:tab/>
        <w:t>получение законного требования судебного пристава-исполнителя о введении ограничения режима потребления;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б) нарушение Потребителем своих обязательств, выразившееся в следующих действиях: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неисполнение или ненадлежащее исполнение обязательств по оплате электрической энергии (мощности) и услуг по передаче электрической энергии, если это привело к образованию задолженности потребителя перед Гарантирующим поставщиком по основному обязательству, в том числе обязательству по предварительной оплате электрической энергии (мощности);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неисполнение или ненадлежащее исполнение Потребителем условий договора, касающихся обеспечения функционирования устройств релейной защиты, противоаварийной и режимной автоматики, устройств компенсации реактивной мощности;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нарушение характеристик технологического присоединения, указанных в документах о технологическом присоединении (в том числе превышение максимальной мощности энергопринимающего устройства потребителя), вызванное подключением Потребителем к принадлежащим ему энергопринимающим устройствам и (или) объектам электроэнергетики электропотребляющего оборудования либо изменением потребителем режима работы подключенного электропотребляющего оборудования;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в) </w:t>
        <w:tab/>
        <w:t>прекращение обязательств по поставке электрической энергии (мощности) по настоящему договору энергоснабжения в отношении энергопринимающих устройств Потребителя;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г) </w:t>
        <w:tab/>
        <w:t>выявление факта бездоговорного потребления электрической энергии;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д) </w:t>
        <w:tab/>
        <w:t>выявление ненадлежащего технологического присоединения энергопринимающих устройств Потребителя при отсутствии документов, подтверждающих технологическое присоединение и (или) разграничение балансовой принадлежности;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е) </w:t>
        <w:tab/>
        <w:t>поступление от Потребителя заявления о введении в отношении его энергопринимающих устройств и (или) объектов электроэнергетики ограничения режима потребления в случае, если у потребителя отсутствует техническая возможность самостоятельного ограничения режима потребления;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ж) </w:t>
        <w:tab/>
        <w:t>окончание срока, на который осуществлялось технологическое присоединение с применением временной схемы электроснабжения, или возникновение основания для его досрочного прекращения;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з) </w:t>
        <w:tab/>
        <w:t>возникновение (угроза возникновения) аварийных электроэнергетических режимов;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и) </w:t>
        <w:tab/>
        <w:t>необходимость проведения ремонтных работ на объектах электросетевого хозяйства Сетевой организации, к которым присоединены энергопринимающие устройства и (или) объекты электроэнергетики Потребителя, или необходимость проведения ремонтных работ на объектах электросетевого хозяйства смежных сетевых организаций (объектах электросетевого хозяйства иных владельцев) либо на объектах по производству электрической энергии в случае, если проведение этих работ невозможно без ограничения режима потребления.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В случае введения ограничения режима потребления в отношении Потребителя, к энергопринимающим устройствам которого присоединены энергопринимающие устройства и (или) объекты электроэнергетики иных потребителей (субабонентов), то Потребитель обязан обеспечить переток электрической энергии таким потребителям (субабонентам) в объеме их потребления.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Ограничение режима потребления энергопринимающих устройств и (или) объектами электроэнергетики Потребителя, в отношении которых предоставлено обеспечение исполнения обязательств по оплате электрической энергии (мощности), в связи с наступлением обстоятельств, указанных в абзаце втором подпункта "б" пункта 6.1 настоящего договора, не вводится до прекращения действия предоставленного обеспечения исполнения обязательств по оплате электрической энергии (мощности).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Введение ограничения режима потребления в связи с наступлением обстоятельств, указанных в первом абзаце пп. «б» п. 6.1. настоящего договора осуществляется с учетом следующих особенностей: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а)</w:t>
        <w:tab/>
        <w:tab/>
        <w:t>в отношении энергопринимающего устройства Потребителя, не отнесенного к категориям потребителей, ограничение режима потребления электроэнергии которых может привести к экономическим, экологическим или социальным последствиям, вводится полное ограничение по истечении 10 дней после дня уведомления потребителя о введении ограничения.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В случае наличия у Потребителя акта согласования технологической и (или) аварийной брони с указанием в акте величины технологической брони, - по истечении 10 дней после дня уведомления потребителя вводится частичное ограничение до уровня технологической брони и далее по истечении 5 дней вводится полное ограничение режима потребления электрической энергии;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б)</w:t>
        <w:tab/>
        <w:t>в отношении энергопринимающего устройства Потребителя, ограничение режима потребления электроэнергии которого может привести к экономическим, экологическим или социальным последствиям и который в отношении этих устройств имеет акт согласования технологической и (или) аварийной брони, в котором указаны уровни технологической и аварийной брони, частичное ограничение режима потребления до уровня технологической брони вводится по истечении 10 дней после дня уведомления Потребителя о введении ограничения и далее  - по истечении 5 дней после дня введения частичного ограничения режима потребления до уровня технологической брони вводится частичное ограничение режима потребления до уровня аварийной брони. В случае отсутствия в акте уровня технологической брони частичное ограничение вводится до уровня аварийной брони по истечении 10 дней после дня уведомления Потребителя о введении ограничения.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 xml:space="preserve">Полное ограничение режима потребления вводится в течение одного рабочего дня после дня получения от Потребителя уведомления о готовности к введению полного ограничения режима потребления. 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Потребитель, ограничение режима потребления которого может привести к экономическим, экологическим или социальным последствиям, обязан после дня уведомления его о введении частичного ограничения: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в течение 3 дней представить Гарантирующему поставщику утвержденный план мероприятий по обеспечению готовности к введению полного ограничения;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в срок, предусмотренный планом, выполнить указанные мероприятия;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в течение 2 месяцев выполнить мероприятия по установке за свой счет автономных источников питания, обеспечивающих безопасное функционирование его энергопринимающих устройств и (или) объектов электроэнергетики без необходимости потребления электрической энергии из внешней сети, - в случае если в установленный срок им не был представлен утвержденный план указанных мероприятий либо если предусмотренный планом срок проведения указанных мероприятий превышает 6 месяцев.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После выполнения этих мероприятий Потребитель обязан направить Гарантирующему поставщику уведомление о готовности к введению полного ограничения режима потребления.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Введение ограничения режима потребления электрической энергии в связи с наступлением обстоятельств, указанных в п. 6.1 настоящего договора, за исключением первого абзаца пп. «б» п. 6.1. осуществляется с учетом особенностей, установленным действующим законодательством в сфере электроэнергетики.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Введение частичного (полного) ограничения режима потребления электрической энергии выполняется в следующем порядке: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а)</w:t>
        <w:tab/>
        <w:tab/>
        <w:t>Гарантирующий поставщик уведомляет Потребителя о планируемом введении ограничения режима потребления за 10 дней до планируемого ограничения, в котором указывается уровень вводимого ограничения, дата планируемого ограничения (частичного и полного), требование к Потребителю о самостоятельном ограничении режима потребления, а также указание на последствия невыполнения указанного требования;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б)</w:t>
        <w:tab/>
        <w:t xml:space="preserve">Потребитель обязан самостоятельно ввести ограничение режима потребления электрической энергии в дату и до уровня, указанные в уведомлении. Гарантирующий поставщик вправе присутствовать при введении Потребителем ограничения режима потребления электрической энергии. 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Потребитель в соответствии с действующим законодательством несет административную ответственность за невыполнение самостоятельного ограничения режима потребления электрической энергии, указанного в уведомлении о введении ограничения, а также за необеспечение допуска представителей Гарантирующего поставщика к энергопринимающим устройствам.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Уведомление о введении ограничения может быть направлено Гарантирующим поставщиком одним из следующих способов: 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посредством направления короткого текстового сообщения (смс-сообщение) на номер мобильного телефона Потребителя;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 xml:space="preserve">посредством направления сообщения на адрес электронной почты Потребителя с адреса электронной почты Гарантирующего Поставщика, указанного на сайте Гарантирующего Поставщика в сети Интернет www.kamenergo.ru; 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 xml:space="preserve">посредством включения текста уведомления в документах на оплату потребленной электрической энергии (мощности); 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посредством опубликования в периодическом печатном издании, являющемся источником официального опубликования нормативных правовых актов органов государственной власти Камчатского края;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 xml:space="preserve">направлением заказного письма с уведомлением о вручении; 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вручением представителю Потребителя под роспись с указанием даты вручения и расшифровкой подписи и занимаемой должности лица, получившего уведомление;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телефонограммой;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посредством факсимильной связи;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 xml:space="preserve">посредством направления сканированной копии уведомления на адрес электронной почты Потребителя однократно. В данном случае уведомление считается доставленным, а Потребитель уведомленным в день направления такого документа. 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Адрес электронной почты, телефон и (или) факс, на которые Гарантирующим поставщиком направляются уведомления о погашении задолженности и введении ограничения, указаны в разделе 10 настоящего Договора.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В случае, если до указанной даты в уведомлении о планируемом введении ограничения режима Потребителем в полном объеме исполнено требование о погашении задолженности или представлены документы, свидетельствующие об отсутствии у него задолженности, либо устранены иные причины, обусловившие введение ограничения режима потребления, то ограничение режима потребления не вводится.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Отказ Потребителя от признания задолженности или указанного в уведомлении о планируемом введении ограничения режима потребления размера задолженности не является препятствием для введения ограничения режима потребления.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Гарантирующий поставщик вправе потребовать с Потребителя, в отношении которого было введено ограничение режима потребления, компенсации расходов на оплату действий Гарантирующего поставщика по введению ограничения режима потребления такого Потребителя и возобновлению подачи электрической энергии.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Введение полного и (или) частичного ограничения режима потребления электрической энергии (мощности) в отношении Потребителя по настоящему договору не освобождает Потребителя от обязанности оплатить Гарантирующему поставщику в полном размере стоимость электрической энергии (мощности), поставленной до его введения, а также от ответственности за ненадлежащее исполнение Потребителем своих обязательств по настоящему договору.</w:t>
      </w:r>
    </w:p>
    <w:p>
      <w:pPr>
        <w:pStyle w:val="Normal"/>
        <w:widowControl w:val="false"/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left" w:pos="0" w:leader="none"/>
        </w:tabs>
        <w:suppressAutoHyphens w:val="true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ОТВЕТСТВЕННОСТЬ СТОРОН.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color w:val="0070C0"/>
          <w:sz w:val="22"/>
          <w:szCs w:val="22"/>
        </w:rPr>
      </w:pPr>
      <w:r>
        <w:rPr>
          <w:sz w:val="22"/>
          <w:szCs w:val="22"/>
        </w:rPr>
        <w:t>Стороны несут ответственность за неисполнение или ненадлежащее исполнение обязательств по настоящему договору в случаях и порядке, определенном законодательством РФ и настоящим договором, в том числе за нарушение порядка полного и (или) частичного ограничения режима потребления электрической энергии</w:t>
      </w:r>
      <w:r>
        <w:rPr>
          <w:color w:val="0070C0"/>
          <w:sz w:val="22"/>
          <w:szCs w:val="22"/>
        </w:rPr>
        <w:t xml:space="preserve">. 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Потребитель несет ответственность за необеспечение допуска представителей сетевой организации (Гарантирующего поставщика) к месту установки прибора учета.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ГАРАНТИРУЮЩИЙ ПОСТАВЩИК несет ответственность за нарушение условий поставки, в том числе за надежность снабжения электрической энергией и ее качество в пределах границ балансовой принадлежности объектов электросетевого хозяйства Сетевой организации.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Стороны несут ответственность за состояние и обслуживание объектов электросетевого хозяйства, которая определяется балансовой принадлежностью Сетевой организации и Потребителем и фиксируется в документах о технологическом присоединении.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В случае несвоевременной и (или) неполной оплаты электрической энергии (мощности) Потребитель несет ответственность, предусмотренную действующим законодательством РФ.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Все споры и разногласия, возникающие в связи с исполнением, заключением и расторжением настоящего договора, подлежат разрешению в Арбитражном суде Камчатского края или судах общей юрисдикции в зависимости от подсудности. Каждая из Сторон имеет право обратиться с заявлением об урегулировании разногласий, возникших при заключении, изменении настоящего договора.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Спор, возникающий из настоящего договора, может быть передан на разрешение Арбитражного суда после принятия Сторонами мер по досудебному урегулированию по истечении десяти календарных дней со дня направления претензии (требования).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Стороны освобождаются от всех или части взятых на себя обязательств, в случае возникновения непредвиденных и независящих от их воли обстоятельств (форс-мажорные обстоятельства).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Сторона, ссылающаяся на форс-мажорные обстоятельства, обязана незамедлительно информировать другую Сторону и Сетевую организацию о наступлении подобных обстоятельств в письменной форме. В этом случае по требованию любой из Сторон может быть создана комиссия для определения возможности (способа) дальнейшего выполнения настоящего договора.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Надлежащим подтверждением наличия форс-мажорных обстоятельств будут служить решения (заявления) компетентных государственных органов или сообщения в официальных средствах массовой информации.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Споры между Сторонами договора по ненадлежащему качеству электрической энергии рассматриваются с обязательным привлечением Сетевой организации, к чьим сетям присоединены энергопринимающие установки Потребителя.</w:t>
      </w:r>
    </w:p>
    <w:p>
      <w:pPr>
        <w:pStyle w:val="Normal"/>
        <w:widowControl w:val="false"/>
        <w:tabs>
          <w:tab w:val="left" w:pos="0" w:leader="none"/>
        </w:tabs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left" w:pos="0" w:leader="none"/>
        </w:tabs>
        <w:suppressAutoHyphens w:val="true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СРОК ДЕЙСТВИЯ ДОГОВОРА.</w:t>
      </w:r>
    </w:p>
    <w:p>
      <w:pPr>
        <w:pStyle w:val="Normal"/>
        <w:widowControl w:val="false"/>
        <w:tabs>
          <w:tab w:val="left" w:pos="0" w:leader="none"/>
        </w:tabs>
        <w:suppressAutoHyphens w:val="true"/>
        <w:spacing w:before="0" w:after="0"/>
        <w:ind w:left="0" w:hanging="0"/>
        <w:contextualSpacing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Настоящий договор вступает в силу с момента подписания, распространяет свое действие на правоотношения сторон, возникшие с «__»___________года, действует по «31» декабря 20___ года включительно и считается продленным на каждый </w:t>
      </w:r>
      <w:r>
        <w:rPr>
          <w:color w:val="000000"/>
          <w:sz w:val="22"/>
          <w:szCs w:val="22"/>
        </w:rPr>
        <w:t xml:space="preserve">следующий календарный год </w:t>
      </w:r>
      <w:r>
        <w:rPr>
          <w:sz w:val="22"/>
          <w:szCs w:val="22"/>
        </w:rPr>
        <w:t>и на тех же условиях, если до окончания срока его действия ни одна из сторон не заявит о его прекращении или изменении.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bCs/>
          <w:sz w:val="22"/>
          <w:szCs w:val="22"/>
        </w:rPr>
      </w:pPr>
      <w:r>
        <w:rPr>
          <w:sz w:val="22"/>
          <w:szCs w:val="22"/>
        </w:rPr>
        <w:t xml:space="preserve">В случае если договор заключается в отношении энергопринимающих устройств до завершения процедуры их технологического присоединения, настоящий договор считается заключенным </w:t>
      </w:r>
      <w:r>
        <w:rPr>
          <w:bCs/>
          <w:sz w:val="22"/>
          <w:szCs w:val="22"/>
        </w:rPr>
        <w:t>с даты фактической подачи сетевой организацией напряжения и мощности на объекты потребителя, соответствующей дате фактического присоединения, указанной в акте об осуществлении технологического присоединения.</w:t>
      </w:r>
    </w:p>
    <w:p>
      <w:pPr>
        <w:pStyle w:val="Normal"/>
        <w:widowControl w:val="false"/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>В случае, если договор заключается в отношении энергопринимающих устройств по второй или третьей категории надежности, максимальная мощность которых составляет до 150 кВт, или физическим лицом в отношении энергопринимающих устройств, максимальная мощность которых составляет до 15 кВт включительно (с учетом ранее присоединенных в данной точке присоединения энергопринимающих устройств), которые используются для бытовых и иных нужд, не связанных с осуществлением предпринимательской деятельности и электроснабжение которых предусматривается по одному источнику - со дня составления и размещения в личном кабинете потребителя на официальном сайте сетевой организации акта об осуществлении технологического присоединения, подписанного со стороны сетевой организации.</w:t>
      </w:r>
    </w:p>
    <w:p>
      <w:pPr>
        <w:pStyle w:val="Normal"/>
        <w:widowControl w:val="false"/>
        <w:numPr>
          <w:ilvl w:val="1"/>
          <w:numId w:val="2"/>
        </w:numPr>
        <w:tabs>
          <w:tab w:val="left" w:pos="0" w:leader="none"/>
        </w:tabs>
        <w:suppressAutoHyphens w:val="true"/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Предложение об изменении, расторжении настоящего договора, а также о заключении нового договора может быть заявлено Стороной договора не менее чем за двадцать дней до предлагаемой даты изменения, расторжения или заключения нового договора.</w:t>
      </w:r>
    </w:p>
    <w:p>
      <w:pPr>
        <w:pStyle w:val="Normal"/>
        <w:keepNext w:val="true"/>
        <w:widowControl w:val="false"/>
        <w:numPr>
          <w:ilvl w:val="0"/>
          <w:numId w:val="0"/>
        </w:numPr>
        <w:tabs>
          <w:tab w:val="left" w:pos="709" w:leader="none"/>
        </w:tabs>
        <w:ind w:left="0" w:hanging="0"/>
        <w:outlineLvl w:val="1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left" w:pos="0" w:leader="none"/>
        </w:tabs>
        <w:suppressAutoHyphens w:val="true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ПРИЛОЖЕНИЯ К ДОГОВОРУ.</w:t>
      </w:r>
    </w:p>
    <w:p>
      <w:pPr>
        <w:pStyle w:val="Normal"/>
        <w:widowControl w:val="false"/>
        <w:tabs>
          <w:tab w:val="left" w:pos="0" w:leader="none"/>
        </w:tabs>
        <w:suppressAutoHyphens w:val="true"/>
        <w:spacing w:before="0" w:after="0"/>
        <w:ind w:left="0" w:hanging="0"/>
        <w:contextualSpacing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widowControl w:val="false"/>
        <w:ind w:left="0" w:hanging="0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 № 1 </w:t>
        <w:tab/>
        <w:t>«Перечень объектов энергопотребления с указанием точек учета».</w:t>
      </w:r>
    </w:p>
    <w:p>
      <w:pPr>
        <w:pStyle w:val="Normal"/>
        <w:widowControl w:val="false"/>
        <w:ind w:left="0" w:hanging="0"/>
        <w:rPr>
          <w:iCs/>
          <w:sz w:val="26"/>
          <w:szCs w:val="26"/>
        </w:rPr>
      </w:pPr>
      <w:r>
        <w:rPr>
          <w:b/>
          <w:bCs/>
          <w:sz w:val="22"/>
          <w:szCs w:val="22"/>
        </w:rPr>
        <w:t>Приложение № 2 </w:t>
        <w:tab/>
      </w:r>
      <w:r>
        <w:rPr>
          <w:b/>
          <w:iCs/>
          <w:sz w:val="22"/>
          <w:szCs w:val="22"/>
        </w:rPr>
        <w:t>«Договорной объем (в кВтч)».</w:t>
      </w:r>
      <w:r>
        <w:rPr>
          <w:iCs/>
          <w:sz w:val="26"/>
          <w:szCs w:val="26"/>
        </w:rPr>
        <w:t xml:space="preserve"> </w:t>
      </w:r>
    </w:p>
    <w:p>
      <w:pPr>
        <w:pStyle w:val="Normal"/>
        <w:widowControl w:val="false"/>
        <w:ind w:left="0" w:hanging="0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 № 3</w:t>
        <w:tab/>
        <w:t> «</w:t>
      </w:r>
      <w:r>
        <w:rPr>
          <w:sz w:val="22"/>
          <w:szCs w:val="22"/>
        </w:rPr>
        <w:t>Акт об осуществлении технологического присоединения и (или</w:t>
      </w:r>
      <w:r>
        <w:rPr>
          <w:b/>
          <w:sz w:val="22"/>
          <w:szCs w:val="22"/>
        </w:rPr>
        <w:t>)</w:t>
      </w:r>
      <w:r>
        <w:rPr>
          <w:b/>
          <w:bCs/>
          <w:sz w:val="22"/>
          <w:szCs w:val="22"/>
        </w:rPr>
        <w:t xml:space="preserve"> «</w:t>
      </w:r>
      <w:r>
        <w:rPr>
          <w:b/>
          <w:sz w:val="22"/>
          <w:szCs w:val="22"/>
        </w:rPr>
        <w:t>Акт разграничения балансовой принадлежности электросетей и эксплуатационной ответственности сторон</w:t>
      </w:r>
      <w:r>
        <w:rPr>
          <w:b/>
          <w:bCs/>
          <w:sz w:val="22"/>
          <w:szCs w:val="22"/>
        </w:rPr>
        <w:t xml:space="preserve">» - </w:t>
      </w:r>
      <w:r>
        <w:rPr>
          <w:bCs/>
          <w:sz w:val="22"/>
          <w:szCs w:val="22"/>
        </w:rPr>
        <w:t>оформляется (обновляется)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Потребителем в Сетевой организации.</w:t>
      </w:r>
    </w:p>
    <w:p>
      <w:pPr>
        <w:pStyle w:val="Normal"/>
        <w:widowControl w:val="false"/>
        <w:ind w:left="0" w:hanging="0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 № 4 </w:t>
        <w:tab/>
        <w:t>«</w:t>
      </w:r>
      <w:r>
        <w:rPr>
          <w:b/>
          <w:sz w:val="22"/>
          <w:szCs w:val="22"/>
        </w:rPr>
        <w:t>Точки присоединения и величина максимальной мощности энергопринимающих устройств».</w:t>
      </w:r>
    </w:p>
    <w:p>
      <w:pPr>
        <w:pStyle w:val="Normal"/>
        <w:widowControl w:val="false"/>
        <w:ind w:left="0" w:hanging="0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 № 5 </w:t>
        <w:tab/>
        <w:t>«Условия потребления и генерации реактивной электроэнергии».</w:t>
      </w:r>
    </w:p>
    <w:p>
      <w:pPr>
        <w:pStyle w:val="Normal"/>
        <w:widowControl w:val="false"/>
        <w:ind w:left="0" w:hanging="0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 № 6 </w:t>
        <w:tab/>
        <w:t xml:space="preserve">Форма «Акт согласования аварийной и технологической брони» - </w:t>
      </w:r>
      <w:r>
        <w:rPr>
          <w:bCs/>
          <w:sz w:val="22"/>
          <w:szCs w:val="22"/>
        </w:rPr>
        <w:t>оформляется Потребителем и согласовывается Гарантирующим поставщиком, ответственный – Отдел диспетчерского контроля тел. 29-62-10.</w:t>
      </w:r>
    </w:p>
    <w:p>
      <w:pPr>
        <w:pStyle w:val="Normal"/>
        <w:widowControl w:val="false"/>
        <w:ind w:left="0" w:hanging="0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</w:t>
      </w:r>
      <w:r>
        <w:rPr>
          <w:b/>
          <w:bCs/>
          <w:sz w:val="22"/>
          <w:szCs w:val="22"/>
          <w:lang w:val="en-US"/>
        </w:rPr>
        <w:t> </w:t>
      </w:r>
      <w:r>
        <w:rPr>
          <w:b/>
          <w:bCs/>
          <w:sz w:val="22"/>
          <w:szCs w:val="22"/>
        </w:rPr>
        <w:t>№ 7</w:t>
      </w:r>
      <w:r>
        <w:rPr>
          <w:b/>
          <w:bCs/>
          <w:sz w:val="22"/>
          <w:szCs w:val="22"/>
          <w:lang w:val="en-US"/>
        </w:rPr>
        <w:t> </w:t>
      </w:r>
      <w:r>
        <w:rPr>
          <w:b/>
          <w:bCs/>
          <w:sz w:val="22"/>
          <w:szCs w:val="22"/>
        </w:rPr>
        <w:tab/>
        <w:t xml:space="preserve">Форма «Акт снятия показаний расчетных приборов учета» - </w:t>
      </w:r>
      <w:r>
        <w:rPr>
          <w:bCs/>
          <w:sz w:val="22"/>
          <w:szCs w:val="22"/>
        </w:rPr>
        <w:t>заполняется Потребителем и предоставляется Гарантирующему поставщику ежемесячно.</w:t>
      </w:r>
    </w:p>
    <w:p>
      <w:pPr>
        <w:pStyle w:val="Normal"/>
        <w:widowControl w:val="false"/>
        <w:ind w:left="0" w:hanging="0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</w:t>
      </w:r>
      <w:r>
        <w:rPr>
          <w:b/>
          <w:bCs/>
          <w:sz w:val="22"/>
          <w:szCs w:val="22"/>
          <w:lang w:val="en-US"/>
        </w:rPr>
        <w:t> </w:t>
      </w:r>
      <w:r>
        <w:rPr>
          <w:b/>
          <w:bCs/>
          <w:sz w:val="22"/>
          <w:szCs w:val="22"/>
        </w:rPr>
        <w:t>№ 8</w:t>
      </w:r>
      <w:r>
        <w:rPr>
          <w:b/>
          <w:bCs/>
          <w:sz w:val="22"/>
          <w:szCs w:val="22"/>
          <w:lang w:val="en-US"/>
        </w:rPr>
        <w:t> </w:t>
      </w:r>
      <w:r>
        <w:rPr>
          <w:b/>
          <w:bCs/>
          <w:sz w:val="22"/>
          <w:szCs w:val="22"/>
        </w:rPr>
        <w:tab/>
        <w:t xml:space="preserve">Форма «Акт выполненных работ (приема-передачи электрической энергии)» - </w:t>
      </w:r>
      <w:r>
        <w:rPr>
          <w:bCs/>
          <w:sz w:val="22"/>
          <w:szCs w:val="22"/>
        </w:rPr>
        <w:t xml:space="preserve">ежемесячно оформляется Гарантирующим поставщиком и направляется </w:t>
      </w:r>
      <w:r>
        <w:rPr>
          <w:sz w:val="22"/>
          <w:szCs w:val="22"/>
        </w:rPr>
        <w:t>Потребителю</w:t>
      </w:r>
      <w:r>
        <w:rPr>
          <w:bCs/>
          <w:sz w:val="22"/>
          <w:szCs w:val="22"/>
        </w:rPr>
        <w:t>.</w:t>
      </w:r>
    </w:p>
    <w:p>
      <w:pPr>
        <w:pStyle w:val="Normal"/>
        <w:widowControl w:val="false"/>
        <w:ind w:left="0" w:hanging="0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 № 9 </w:t>
        <w:tab/>
        <w:t xml:space="preserve">«Список лиц, ответственных за электрохозяйство, за эксплуатацию ПУ, лиц, имеющих право проведения оперативных переговоров, принятия претензий, подписания документов» - </w:t>
      </w:r>
      <w:r>
        <w:rPr>
          <w:bCs/>
          <w:sz w:val="22"/>
          <w:szCs w:val="22"/>
        </w:rPr>
        <w:t>заполняется (обновляется) Потребителем и направляется Гарантирующему поставщику вместе с подписанным договором.</w:t>
      </w:r>
    </w:p>
    <w:p>
      <w:pPr>
        <w:pStyle w:val="Normal"/>
        <w:widowControl w:val="false"/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left" w:pos="0" w:leader="none"/>
        </w:tabs>
        <w:suppressAutoHyphens w:val="true"/>
        <w:jc w:val="center"/>
        <w:rPr/>
      </w:pPr>
      <w:r>
        <w:rPr>
          <w:b/>
          <w:bCs/>
          <w:sz w:val="22"/>
          <w:szCs w:val="22"/>
        </w:rPr>
        <w:t xml:space="preserve">РЕКВИЗИТЫ СТОРОН ПО ДОГОВОРУ </w:t>
      </w:r>
      <w:r>
        <w:rPr>
          <w:rStyle w:val="12"/>
          <w:sz w:val="22"/>
          <w:szCs w:val="22"/>
        </w:rPr>
        <w:t>№ __________ от _____________</w:t>
      </w:r>
    </w:p>
    <w:p>
      <w:pPr>
        <w:pStyle w:val="Normal"/>
        <w:keepNext w:val="true"/>
        <w:spacing w:before="0" w:after="0"/>
        <w:ind w:left="0" w:hanging="0"/>
        <w:contextualSpacing/>
        <w:rPr>
          <w:b/>
          <w:b/>
          <w:color w:val="3107A9"/>
          <w:sz w:val="22"/>
          <w:szCs w:val="22"/>
        </w:rPr>
      </w:pPr>
      <w:r>
        <w:rPr>
          <w:b/>
          <w:color w:val="3107A9"/>
          <w:sz w:val="22"/>
          <w:szCs w:val="22"/>
        </w:rPr>
      </w:r>
    </w:p>
    <w:tbl>
      <w:tblPr>
        <w:tblW w:w="9468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608"/>
        <w:gridCol w:w="4859"/>
      </w:tblGrid>
      <w:tr>
        <w:trPr>
          <w:trHeight w:val="3745" w:hRule="atLeast"/>
        </w:trPr>
        <w:tc>
          <w:tcPr>
            <w:tcW w:w="4608" w:type="dxa"/>
            <w:tcBorders/>
            <w:shd w:fill="auto" w:val="clear"/>
          </w:tcPr>
          <w:p>
            <w:pPr>
              <w:pStyle w:val="Normal"/>
              <w:keepNext w:val="true"/>
              <w:ind w:left="0" w:firstLine="35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Гарантирующий поставщик</w:t>
            </w:r>
          </w:p>
          <w:p>
            <w:pPr>
              <w:pStyle w:val="Normal"/>
              <w:keepNext w:val="true"/>
              <w:ind w:left="0" w:firstLine="35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Style15"/>
              <w:ind w:left="357" w:right="310" w:hanging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Публичное акционерное общество энергетики и электрификации «Камчатскэнерго»</w:t>
            </w:r>
          </w:p>
          <w:p>
            <w:pPr>
              <w:pStyle w:val="Style15"/>
              <w:ind w:left="357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683000, Камчатский край,</w:t>
            </w:r>
          </w:p>
          <w:p>
            <w:pPr>
              <w:pStyle w:val="Style15"/>
              <w:ind w:left="357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г. Петропавловск-Камчатский,</w:t>
            </w:r>
          </w:p>
          <w:p>
            <w:pPr>
              <w:pStyle w:val="Style15"/>
              <w:ind w:left="357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ул. Набережная, д. 10 </w:t>
            </w:r>
          </w:p>
          <w:p>
            <w:pPr>
              <w:pStyle w:val="Style15"/>
              <w:ind w:left="357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ИНН 4100000668</w:t>
            </w:r>
          </w:p>
          <w:p>
            <w:pPr>
              <w:pStyle w:val="Style15"/>
              <w:ind w:left="357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КПП 410101001 </w:t>
            </w:r>
          </w:p>
          <w:p>
            <w:pPr>
              <w:pStyle w:val="Style15"/>
              <w:ind w:left="357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КПП 775050001 поставлено на учет в качестве крупнейшего налогоплательщика с 08.02.2019</w:t>
            </w:r>
          </w:p>
          <w:p>
            <w:pPr>
              <w:pStyle w:val="Style15"/>
              <w:ind w:left="357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ОКТМО 30701000001</w:t>
            </w:r>
          </w:p>
          <w:p>
            <w:pPr>
              <w:pStyle w:val="Style15"/>
              <w:ind w:left="357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ОКПО 00106106</w:t>
            </w:r>
          </w:p>
          <w:p>
            <w:pPr>
              <w:pStyle w:val="Style15"/>
              <w:ind w:left="357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постановки на учет в ИФНС: 18.01.1994</w:t>
            </w:r>
          </w:p>
          <w:p>
            <w:pPr>
              <w:pStyle w:val="Style15"/>
              <w:ind w:left="357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 «Дальневосточный» в ФИЛИАЛ «ХАБАРОВСКИЙ»</w:t>
            </w:r>
          </w:p>
          <w:p>
            <w:pPr>
              <w:pStyle w:val="Style15"/>
              <w:ind w:left="357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«АЛЬФА-БАНК»</w:t>
            </w:r>
          </w:p>
          <w:p>
            <w:pPr>
              <w:pStyle w:val="Style15"/>
              <w:ind w:left="357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Р/счет  40702810020020005559</w:t>
              <w:tab/>
            </w:r>
          </w:p>
          <w:p>
            <w:pPr>
              <w:pStyle w:val="Style15"/>
              <w:ind w:left="357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К/счет  30101810800000000770</w:t>
            </w:r>
          </w:p>
          <w:p>
            <w:pPr>
              <w:pStyle w:val="Style15"/>
              <w:ind w:left="357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БИК  040813770</w:t>
            </w:r>
          </w:p>
          <w:p>
            <w:pPr>
              <w:pStyle w:val="Style15"/>
              <w:ind w:left="357" w:hanging="0"/>
              <w:rPr/>
            </w:pPr>
            <w:r>
              <w:rPr>
                <w:color w:val="000000"/>
                <w:sz w:val="20"/>
                <w:szCs w:val="20"/>
              </w:rPr>
              <w:t xml:space="preserve">E-mail: </w:t>
            </w:r>
            <w:r>
              <w:rPr>
                <w:rStyle w:val="Style9"/>
                <w:sz w:val="20"/>
                <w:szCs w:val="20"/>
              </w:rPr>
              <w:t>kamenergo@rushydro.ru</w:t>
            </w:r>
          </w:p>
          <w:p>
            <w:pPr>
              <w:pStyle w:val="Style15"/>
              <w:ind w:left="0" w:right="255" w:hanging="0"/>
              <w:jc w:val="left"/>
              <w:rPr/>
            </w:pPr>
            <w:r>
              <w:rPr>
                <w:rStyle w:val="Style9"/>
                <w:b/>
                <w:iCs/>
                <w:color w:val="000000"/>
                <w:sz w:val="20"/>
                <w:szCs w:val="20"/>
              </w:rPr>
              <w:t xml:space="preserve">Официальный сайт ПАО «Камчатскэнерго»: </w:t>
            </w:r>
            <w:hyperlink r:id="rId4">
              <w:r>
                <w:rPr>
                  <w:rStyle w:val="Style9"/>
                  <w:b/>
                  <w:iCs/>
                  <w:sz w:val="20"/>
                  <w:szCs w:val="20"/>
                </w:rPr>
                <w:t>www.kamenergo.ru</w:t>
              </w:r>
            </w:hyperlink>
          </w:p>
          <w:p>
            <w:pPr>
              <w:pStyle w:val="Normal"/>
              <w:keepNext w:val="true"/>
              <w:ind w:left="0" w:hanging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4859" w:type="dxa"/>
            <w:tcBorders/>
            <w:shd w:fill="auto" w:val="clear"/>
          </w:tcPr>
          <w:p>
            <w:pPr>
              <w:pStyle w:val="Normal"/>
              <w:keepNext w:val="true"/>
              <w:ind w:left="0" w:firstLine="35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Потребитель</w:t>
            </w:r>
          </w:p>
          <w:p>
            <w:pPr>
              <w:pStyle w:val="Normal"/>
              <w:keepNext w:val="true"/>
              <w:ind w:left="0" w:firstLine="35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103"/>
              <w:keepNext w:val="true"/>
              <w:rPr/>
            </w:pPr>
            <w:r>
              <w:rPr/>
              <w:t>____________________________________________</w:t>
            </w:r>
          </w:p>
          <w:p>
            <w:pPr>
              <w:pStyle w:val="104"/>
              <w:keepNext w:val="true"/>
              <w:rPr>
                <w:u w:val="single"/>
              </w:rPr>
            </w:pPr>
            <w:r>
              <w:rPr>
                <w:b/>
                <w:u w:val="single"/>
              </w:rPr>
              <w:t>Фактический адрес</w:t>
            </w:r>
            <w:r>
              <w:rPr/>
              <w:t>___________________________</w:t>
            </w:r>
          </w:p>
          <w:p>
            <w:pPr>
              <w:pStyle w:val="Normal"/>
              <w:keepNext w:val="true"/>
              <w:ind w:left="0" w:hanging="0"/>
              <w:rPr/>
            </w:pPr>
            <w:r>
              <w:rPr/>
              <w:t>Телефон____________________________________</w:t>
            </w:r>
          </w:p>
          <w:p>
            <w:pPr>
              <w:pStyle w:val="Normal"/>
              <w:keepNext w:val="true"/>
              <w:ind w:left="0" w:hanging="0"/>
              <w:rPr/>
            </w:pPr>
            <w:r>
              <w:rPr/>
              <w:t>Факс_______________________________________</w:t>
            </w:r>
          </w:p>
          <w:p>
            <w:pPr>
              <w:pStyle w:val="Normal"/>
              <w:keepNext w:val="true"/>
              <w:ind w:left="0" w:hanging="0"/>
              <w:jc w:val="left"/>
              <w:rPr/>
            </w:pPr>
            <w:r>
              <w:rPr/>
              <w:t>ИНН _______________/КПП __________________</w:t>
            </w:r>
          </w:p>
          <w:p>
            <w:pPr>
              <w:pStyle w:val="Normal"/>
              <w:keepNext w:val="true"/>
              <w:ind w:left="0" w:hanging="0"/>
              <w:jc w:val="left"/>
              <w:rPr/>
            </w:pPr>
            <w:r>
              <w:rPr/>
              <w:t>ОКВЭД ____________________________________</w:t>
            </w:r>
          </w:p>
          <w:p>
            <w:pPr>
              <w:pStyle w:val="Normal"/>
              <w:keepNext w:val="true"/>
              <w:ind w:left="0" w:hanging="0"/>
              <w:jc w:val="left"/>
              <w:rPr/>
            </w:pPr>
            <w:r>
              <w:rPr/>
              <w:t>ОГРН ______________________________________</w:t>
            </w:r>
          </w:p>
          <w:p>
            <w:pPr>
              <w:pStyle w:val="Normal"/>
              <w:keepNext w:val="true"/>
              <w:ind w:left="0" w:hanging="0"/>
              <w:jc w:val="left"/>
              <w:rPr/>
            </w:pPr>
            <w:r>
              <w:rPr/>
              <w:t>Банк  _______________________________________</w:t>
            </w:r>
          </w:p>
          <w:p>
            <w:pPr>
              <w:pStyle w:val="Normal"/>
              <w:keepNext w:val="true"/>
              <w:ind w:left="0" w:hanging="0"/>
              <w:jc w:val="left"/>
              <w:rPr/>
            </w:pPr>
            <w:r>
              <w:rPr/>
              <w:t>Р/счет ______________________________________</w:t>
            </w:r>
          </w:p>
          <w:p>
            <w:pPr>
              <w:pStyle w:val="Normal"/>
              <w:keepNext w:val="true"/>
              <w:ind w:left="0" w:hanging="0"/>
              <w:jc w:val="left"/>
              <w:rPr/>
            </w:pPr>
            <w:r>
              <w:rPr/>
              <w:t>БИК ________________________________________</w:t>
            </w:r>
          </w:p>
          <w:p>
            <w:pPr>
              <w:pStyle w:val="Normal"/>
              <w:keepNext w:val="true"/>
              <w:ind w:left="0" w:hanging="0"/>
              <w:jc w:val="left"/>
              <w:rPr/>
            </w:pPr>
            <w:r>
              <w:rPr>
                <w:color w:val="3333FF"/>
              </w:rPr>
              <w:t>Режим системы налогообложения _______________</w:t>
            </w:r>
          </w:p>
          <w:p>
            <w:pPr>
              <w:pStyle w:val="Normal"/>
              <w:keepNext w:val="true"/>
              <w:ind w:left="0" w:hanging="0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675" w:hRule="atLeast"/>
        </w:trPr>
        <w:tc>
          <w:tcPr>
            <w:tcW w:w="4608" w:type="dxa"/>
            <w:tcBorders/>
            <w:shd w:fill="auto" w:val="clear"/>
          </w:tcPr>
          <w:p>
            <w:pPr>
              <w:pStyle w:val="Normal"/>
              <w:ind w:left="0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ind w:left="0" w:hanging="0"/>
              <w:rPr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__________________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А.А. Дмитриева</w:t>
            </w:r>
            <w:r>
              <w:rPr>
                <w:bCs/>
                <w:sz w:val="22"/>
                <w:szCs w:val="22"/>
              </w:rPr>
              <w:t xml:space="preserve">         </w:t>
            </w:r>
          </w:p>
          <w:p>
            <w:pPr>
              <w:pStyle w:val="Normal"/>
              <w:ind w:left="0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</w:t>
            </w:r>
            <w:r>
              <w:rPr>
                <w:b/>
                <w:sz w:val="24"/>
                <w:szCs w:val="24"/>
              </w:rPr>
              <w:t>м.п.</w:t>
            </w:r>
          </w:p>
          <w:p>
            <w:pPr>
              <w:pStyle w:val="Normal"/>
              <w:ind w:left="0" w:hanging="0"/>
              <w:rPr/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«___»__________________  года</w:t>
            </w:r>
          </w:p>
        </w:tc>
        <w:tc>
          <w:tcPr>
            <w:tcW w:w="4859" w:type="dxa"/>
            <w:tcBorders/>
            <w:shd w:fill="auto" w:val="clear"/>
          </w:tcPr>
          <w:p>
            <w:pPr>
              <w:pStyle w:val="Normal"/>
              <w:ind w:left="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left="0" w:hanging="0"/>
              <w:rPr/>
            </w:pPr>
            <w:r>
              <w:rPr>
                <w:sz w:val="24"/>
                <w:szCs w:val="24"/>
              </w:rPr>
              <w:t>_______________</w:t>
            </w:r>
          </w:p>
          <w:p>
            <w:pPr>
              <w:pStyle w:val="Normal"/>
              <w:ind w:left="0" w:hanging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</w:t>
            </w:r>
            <w:r>
              <w:rPr>
                <w:b/>
                <w:bCs/>
                <w:sz w:val="24"/>
                <w:szCs w:val="24"/>
              </w:rPr>
              <w:t>м.п.</w:t>
            </w:r>
          </w:p>
          <w:p>
            <w:pPr>
              <w:pStyle w:val="Normal"/>
              <w:ind w:left="0" w:hanging="0"/>
              <w:rPr/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«___»___________________  года</w:t>
            </w:r>
          </w:p>
        </w:tc>
      </w:tr>
    </w:tbl>
    <w:p>
      <w:pPr>
        <w:pStyle w:val="Normal"/>
        <w:tabs>
          <w:tab w:val="left" w:pos="1302" w:leader="none"/>
        </w:tabs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left" w:pos="1302" w:leader="none"/>
        </w:tabs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left" w:pos="1302" w:leader="none"/>
        </w:tabs>
        <w:ind w:left="0" w:hanging="0"/>
        <w:jc w:val="left"/>
        <w:rPr>
          <w:b/>
          <w:b/>
          <w:sz w:val="22"/>
          <w:szCs w:val="22"/>
        </w:rPr>
      </w:pPr>
      <w:r>
        <w:rPr>
          <w:sz w:val="22"/>
          <w:szCs w:val="22"/>
        </w:rPr>
        <w:t>Исполнитель________________</w:t>
      </w:r>
      <w:r>
        <w:rPr>
          <w:b/>
          <w:sz w:val="22"/>
          <w:szCs w:val="22"/>
        </w:rPr>
        <w:t xml:space="preserve"> </w:t>
      </w:r>
      <w:r>
        <w:br w:type="page"/>
      </w:r>
    </w:p>
    <w:p>
      <w:pPr>
        <w:pStyle w:val="Normal"/>
        <w:jc w:val="right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Приложение № 5</w:t>
      </w:r>
    </w:p>
    <w:p>
      <w:pPr>
        <w:pStyle w:val="Normal"/>
        <w:ind w:left="9072" w:hanging="907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энергоснабжения </w:t>
      </w:r>
    </w:p>
    <w:p>
      <w:pPr>
        <w:pStyle w:val="Normal"/>
        <w:ind w:left="0" w:hanging="0"/>
        <w:jc w:val="right"/>
        <w:rPr/>
      </w:pPr>
      <w:r>
        <w:rPr>
          <w:sz w:val="22"/>
          <w:szCs w:val="22"/>
        </w:rPr>
        <w:t xml:space="preserve"> </w:t>
      </w:r>
      <w:r>
        <w:rPr>
          <w:rStyle w:val="12"/>
          <w:sz w:val="22"/>
          <w:szCs w:val="22"/>
        </w:rPr>
        <w:t>№ </w:t>
      </w:r>
      <w:r>
        <w:rPr>
          <w:rStyle w:val="12"/>
          <w:sz w:val="22"/>
          <w:szCs w:val="22"/>
        </w:rPr>
        <w:t>__________ от ______________</w:t>
      </w:r>
    </w:p>
    <w:p>
      <w:pPr>
        <w:pStyle w:val="Normal"/>
        <w:ind w:left="9072" w:hanging="9072"/>
        <w:jc w:val="right"/>
        <w:rPr>
          <w:b/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ind w:left="0" w:firstLine="357"/>
        <w:jc w:val="center"/>
        <w:rPr>
          <w:sz w:val="26"/>
          <w:szCs w:val="26"/>
        </w:rPr>
      </w:pPr>
      <w:r>
        <w:rPr>
          <w:sz w:val="26"/>
          <w:szCs w:val="26"/>
        </w:rPr>
        <w:t>Условия потребления и генерации реактивной электроэнергии</w:t>
      </w:r>
    </w:p>
    <w:p>
      <w:pPr>
        <w:pStyle w:val="Normal"/>
        <w:numPr>
          <w:ilvl w:val="0"/>
          <w:numId w:val="1"/>
        </w:numPr>
        <w:tabs>
          <w:tab w:val="left" w:pos="0" w:leader="none"/>
          <w:tab w:val="left" w:pos="709" w:leader="none"/>
        </w:tabs>
        <w:ind w:left="0" w:hanging="0"/>
        <w:jc w:val="left"/>
        <w:rPr/>
      </w:pPr>
      <w:r>
        <w:rPr/>
        <w:t>Установленная мощность компенсирующих устройств (КУ):</w:t>
      </w:r>
    </w:p>
    <w:p>
      <w:pPr>
        <w:pStyle w:val="Normal"/>
        <w:ind w:left="0" w:firstLine="357"/>
        <w:rPr/>
      </w:pPr>
      <w:r>
        <w:rPr/>
      </w:r>
    </w:p>
    <w:tbl>
      <w:tblPr>
        <w:tblW w:w="9356" w:type="dxa"/>
        <w:jc w:val="left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36"/>
        <w:gridCol w:w="4708"/>
        <w:gridCol w:w="1419"/>
        <w:gridCol w:w="1341"/>
        <w:gridCol w:w="1352"/>
      </w:tblGrid>
      <w:tr>
        <w:trPr>
          <w:trHeight w:val="486" w:hRule="atLeast"/>
          <w:cantSplit w:val="true"/>
        </w:trPr>
        <w:tc>
          <w:tcPr>
            <w:tcW w:w="5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</w:rPr>
            </w:pPr>
            <w:r>
              <w:rPr>
                <w:b/>
              </w:rPr>
              <w:t>№ </w:t>
            </w:r>
          </w:p>
        </w:tc>
        <w:tc>
          <w:tcPr>
            <w:tcW w:w="47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</w:rPr>
            </w:pPr>
            <w:r>
              <w:rPr>
                <w:b/>
              </w:rPr>
              <w:t>Тип компенсирующих устройств</w:t>
            </w:r>
          </w:p>
        </w:tc>
        <w:tc>
          <w:tcPr>
            <w:tcW w:w="27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</w:rPr>
            </w:pPr>
            <w:r>
              <w:rPr>
                <w:b/>
              </w:rPr>
              <w:t>Номинальное напряжение</w:t>
            </w:r>
          </w:p>
        </w:tc>
        <w:tc>
          <w:tcPr>
            <w:tcW w:w="13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</w:rPr>
            </w:pPr>
            <w:r>
              <w:rPr>
                <w:b/>
              </w:rPr>
              <w:t>Итого</w:t>
            </w:r>
          </w:p>
        </w:tc>
      </w:tr>
      <w:tr>
        <w:trPr>
          <w:trHeight w:val="243" w:hRule="atLeast"/>
        </w:trPr>
        <w:tc>
          <w:tcPr>
            <w:tcW w:w="53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firstLine="357"/>
              <w:jc w:val="center"/>
              <w:rPr/>
            </w:pPr>
            <w:r>
              <w:rPr/>
            </w:r>
          </w:p>
        </w:tc>
        <w:tc>
          <w:tcPr>
            <w:tcW w:w="4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left"/>
              <w:rPr/>
            </w:pPr>
            <w:r>
              <w:rPr/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  <w:t>До1000 В</w:t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  <w:t>Свыше 1000 В</w:t>
            </w:r>
          </w:p>
        </w:tc>
        <w:tc>
          <w:tcPr>
            <w:tcW w:w="13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</w:r>
          </w:p>
        </w:tc>
      </w:tr>
      <w:tr>
        <w:trPr>
          <w:trHeight w:val="243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ind w:left="0" w:hanging="0"/>
              <w:jc w:val="center"/>
              <w:rPr>
                <w:b/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left"/>
              <w:rPr>
                <w:b/>
                <w:b/>
              </w:rPr>
            </w:pPr>
            <w:r>
              <w:rPr>
                <w:b/>
              </w:rPr>
              <w:t>Конденсаторные установки, квар, в том числе: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firstLine="357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firstLine="357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firstLine="357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43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1.1.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left"/>
              <w:rPr>
                <w:b/>
                <w:b/>
              </w:rPr>
            </w:pPr>
            <w:r>
              <w:rPr>
                <w:b/>
              </w:rPr>
              <w:t>регулируемые автоматически, квар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firstLine="357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firstLine="357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firstLine="357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43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1.2.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left"/>
              <w:rPr>
                <w:b/>
                <w:b/>
              </w:rPr>
            </w:pPr>
            <w:r>
              <w:rPr>
                <w:b/>
              </w:rPr>
              <w:t>регулируемые вручную, квар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firstLine="357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firstLine="357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firstLine="357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59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ind w:left="0" w:hanging="0"/>
              <w:jc w:val="center"/>
              <w:rPr>
                <w:b/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left"/>
              <w:rPr>
                <w:b/>
                <w:b/>
              </w:rPr>
            </w:pPr>
            <w:r>
              <w:rPr>
                <w:b/>
              </w:rPr>
              <w:t>Синхронные двигатели (СД) и компенсаторы (СК), кВт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firstLine="357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firstLine="357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firstLine="357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spacing w:before="40" w:after="40"/>
        <w:ind w:left="0" w:hanging="0"/>
        <w:rPr>
          <w:b/>
          <w:b/>
        </w:rPr>
      </w:pPr>
      <w:r>
        <w:rPr>
          <w:b/>
        </w:rPr>
        <w:t xml:space="preserve">Примечание: </w:t>
      </w:r>
    </w:p>
    <w:p>
      <w:pPr>
        <w:pStyle w:val="Normal"/>
        <w:tabs>
          <w:tab w:val="center" w:pos="4153" w:leader="none"/>
          <w:tab w:val="right" w:pos="8306" w:leader="none"/>
        </w:tabs>
        <w:ind w:left="0" w:hanging="0"/>
        <w:rPr/>
      </w:pPr>
      <w:r>
        <w:rPr/>
        <w:t xml:space="preserve"> </w:t>
      </w:r>
      <w:r>
        <w:rPr/>
        <w:t>Потребитель согласовывает установку компенсирующих устройств с Сетевой организацией, сведения об установке и демонтаже компенсирующих устройств предоставляет в адрес Гарантирующего поставщика.</w:t>
      </w:r>
    </w:p>
    <w:p>
      <w:pPr>
        <w:pStyle w:val="Normal"/>
        <w:numPr>
          <w:ilvl w:val="0"/>
          <w:numId w:val="1"/>
        </w:numPr>
        <w:tabs>
          <w:tab w:val="left" w:pos="0" w:leader="none"/>
          <w:tab w:val="left" w:pos="709" w:leader="none"/>
        </w:tabs>
        <w:ind w:left="0" w:hanging="0"/>
        <w:jc w:val="left"/>
        <w:rPr/>
      </w:pPr>
      <w:r>
        <w:rPr/>
        <w:t>В случае отклонений Потребителем услуг от установленных договором значений соотношения потребления активной и реактивной мощности в часы максимальной и минимальной нагрузок  Потребитель в соответствии с «Правилами недискриминационного доступа к услугам по передаче электрической энергии и оказания этих услуг», утвержденных постановлением Правительства РФ от 27.12.2004 №  861, оплачивает потребление (генерацию) реактивной электроэнергии с учетом коэффициента к тарифу на активную электроэнергию.</w:t>
      </w:r>
    </w:p>
    <w:p>
      <w:pPr>
        <w:pStyle w:val="Normal"/>
        <w:tabs>
          <w:tab w:val="left" w:pos="709" w:leader="none"/>
        </w:tabs>
        <w:ind w:left="0" w:hanging="0"/>
        <w:rPr/>
      </w:pPr>
      <w:r>
        <w:rPr/>
      </w:r>
    </w:p>
    <w:tbl>
      <w:tblPr>
        <w:tblW w:w="9356" w:type="dxa"/>
        <w:jc w:val="left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276"/>
        <w:gridCol w:w="2124"/>
        <w:gridCol w:w="1985"/>
        <w:gridCol w:w="2"/>
        <w:gridCol w:w="1982"/>
        <w:gridCol w:w="2"/>
        <w:gridCol w:w="1985"/>
      </w:tblGrid>
      <w:tr>
        <w:trPr>
          <w:trHeight w:val="1166" w:hRule="atLeast"/>
        </w:trPr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right="-108" w:hanging="0"/>
              <w:jc w:val="center"/>
              <w:rPr>
                <w:b/>
                <w:b/>
              </w:rPr>
            </w:pPr>
            <w:r>
              <w:rPr>
                <w:b/>
              </w:rPr>
              <w:t>Расчетный период</w:t>
            </w:r>
          </w:p>
        </w:tc>
        <w:tc>
          <w:tcPr>
            <w:tcW w:w="41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right="-108" w:firstLine="357"/>
              <w:jc w:val="center"/>
              <w:rPr>
                <w:b/>
                <w:b/>
              </w:rPr>
            </w:pPr>
            <w:r>
              <w:rPr>
                <w:b/>
              </w:rPr>
              <w:t>Технические пределы</w:t>
            </w:r>
          </w:p>
        </w:tc>
        <w:tc>
          <w:tcPr>
            <w:tcW w:w="19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right="-108" w:hanging="0"/>
              <w:jc w:val="center"/>
              <w:rPr>
                <w:b/>
                <w:b/>
              </w:rPr>
            </w:pPr>
            <w:r>
              <w:rPr>
                <w:b/>
              </w:rPr>
              <w:t>Коэффициент к тарифу за Потребление реактивной энергии</w:t>
            </w:r>
          </w:p>
          <w:p>
            <w:pPr>
              <w:pStyle w:val="Normal"/>
              <w:ind w:left="0" w:right="-108" w:firstLine="357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right="-108" w:hanging="0"/>
              <w:jc w:val="center"/>
              <w:rPr>
                <w:b/>
                <w:b/>
              </w:rPr>
            </w:pPr>
            <w:r>
              <w:rPr>
                <w:b/>
              </w:rPr>
              <w:t>Коэффициент к тарифу за генерацию реактивной энергии</w:t>
            </w:r>
          </w:p>
          <w:p>
            <w:pPr>
              <w:pStyle w:val="Normal"/>
              <w:ind w:left="0" w:right="-108" w:firstLine="357"/>
              <w:jc w:val="center"/>
              <w:rPr>
                <w:b/>
                <w:b/>
              </w:rPr>
            </w:pPr>
            <w:r>
              <w:rPr>
                <w:b/>
              </w:rPr>
              <w:t> </w:t>
            </w:r>
          </w:p>
        </w:tc>
      </w:tr>
      <w:tr>
        <w:trPr>
          <w:trHeight w:val="250" w:hRule="atLeast"/>
        </w:trPr>
        <w:tc>
          <w:tcPr>
            <w:tcW w:w="12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right="-108" w:firstLine="357"/>
              <w:rPr/>
            </w:pPr>
            <w:r>
              <w:rPr/>
            </w: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right="-108" w:hanging="0"/>
              <w:jc w:val="center"/>
              <w:rPr>
                <w:b/>
                <w:b/>
              </w:rPr>
            </w:pPr>
            <w:r>
              <w:rPr>
                <w:b/>
              </w:rPr>
              <w:t>Потребления</w:t>
            </w:r>
          </w:p>
          <w:p>
            <w:pPr>
              <w:pStyle w:val="Normal"/>
              <w:ind w:left="0" w:right="-108" w:hanging="0"/>
              <w:jc w:val="center"/>
              <w:rPr>
                <w:b/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lang w:val="en-US"/>
              </w:rPr>
              <w:t>tg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φ</w:t>
            </w:r>
            <w:r>
              <w:rPr>
                <w:b/>
              </w:rPr>
              <w:t xml:space="preserve"> в период максимальной нагрузки)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right="-108" w:hanging="0"/>
              <w:jc w:val="center"/>
              <w:rPr>
                <w:b/>
                <w:b/>
              </w:rPr>
            </w:pPr>
            <w:r>
              <w:rPr>
                <w:b/>
              </w:rPr>
              <w:t>Генерации</w:t>
            </w:r>
          </w:p>
          <w:p>
            <w:pPr>
              <w:pStyle w:val="Normal"/>
              <w:ind w:left="0" w:right="-108" w:hanging="0"/>
              <w:jc w:val="center"/>
              <w:rPr>
                <w:b/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lang w:val="en-US"/>
              </w:rPr>
              <w:t>tg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φ</w:t>
            </w:r>
            <w:r>
              <w:rPr>
                <w:b/>
              </w:rPr>
              <w:t xml:space="preserve"> в период минимальной нагрузки)</w:t>
            </w:r>
          </w:p>
        </w:tc>
        <w:tc>
          <w:tcPr>
            <w:tcW w:w="19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bottom"/>
          </w:tcPr>
          <w:p>
            <w:pPr>
              <w:pStyle w:val="Normal"/>
              <w:ind w:left="0" w:right="-108" w:firstLine="357"/>
              <w:jc w:val="center"/>
              <w:rPr/>
            </w:pPr>
            <w:r>
              <w:rPr/>
            </w:r>
          </w:p>
        </w:tc>
        <w:tc>
          <w:tcPr>
            <w:tcW w:w="19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bottom"/>
          </w:tcPr>
          <w:p>
            <w:pPr>
              <w:pStyle w:val="Normal"/>
              <w:ind w:left="0" w:right="-108" w:firstLine="357"/>
              <w:jc w:val="center"/>
              <w:rPr/>
            </w:pPr>
            <w:r>
              <w:rPr/>
            </w:r>
          </w:p>
        </w:tc>
      </w:tr>
      <w:tr>
        <w:trPr>
          <w:trHeight w:val="350" w:hRule="atLeast"/>
        </w:trPr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right="-108" w:firstLine="357"/>
              <w:jc w:val="center"/>
              <w:rPr/>
            </w:pPr>
            <w:r>
              <w:rPr/>
            </w: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right="-108" w:firstLine="357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right="-108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right="-108" w:hanging="0"/>
              <w:jc w:val="center"/>
              <w:rPr>
                <w:b/>
                <w:b/>
              </w:rPr>
            </w:pPr>
            <w:r>
              <w:rPr>
                <w:b/>
              </w:rPr>
              <w:t>0,08</w:t>
            </w:r>
          </w:p>
        </w:tc>
        <w:tc>
          <w:tcPr>
            <w:tcW w:w="19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right="-108" w:hanging="0"/>
              <w:jc w:val="center"/>
              <w:rPr>
                <w:b/>
                <w:b/>
              </w:rPr>
            </w:pPr>
            <w:r>
              <w:rPr>
                <w:b/>
              </w:rPr>
              <w:t>0,12</w:t>
            </w:r>
          </w:p>
        </w:tc>
      </w:tr>
    </w:tbl>
    <w:p>
      <w:pPr>
        <w:pStyle w:val="Normal"/>
        <w:ind w:left="0" w:hanging="0"/>
        <w:jc w:val="left"/>
        <w:rPr>
          <w:b/>
          <w:b/>
        </w:rPr>
      </w:pPr>
      <w:r>
        <w:rPr>
          <w:b/>
        </w:rPr>
        <w:t xml:space="preserve">Примечание: </w:t>
      </w:r>
    </w:p>
    <w:p>
      <w:pPr>
        <w:pStyle w:val="Normal"/>
        <w:numPr>
          <w:ilvl w:val="0"/>
          <w:numId w:val="3"/>
        </w:numPr>
        <w:tabs>
          <w:tab w:val="left" w:pos="0" w:leader="none"/>
        </w:tabs>
        <w:spacing w:before="40" w:after="40"/>
        <w:ind w:left="0" w:hanging="0"/>
        <w:jc w:val="left"/>
        <w:rPr>
          <w:vertAlign w:val="subscript"/>
        </w:rPr>
      </w:pPr>
      <w:r>
        <w:rPr/>
        <w:t xml:space="preserve">Потребление реактивной энергии за расчетный период определяется по приборам учета электроэнергии, при отсутствии прибора учета </w:t>
      </w:r>
      <w:r>
        <w:rPr>
          <w:lang w:val="en-US"/>
        </w:rPr>
        <w:t>W</w:t>
      </w:r>
      <w:r>
        <w:rPr>
          <w:vertAlign w:val="subscript"/>
          <w:lang w:val="en-US"/>
        </w:rPr>
        <w:t>Q</w:t>
      </w:r>
      <w:r>
        <w:rPr>
          <w:vertAlign w:val="subscript"/>
        </w:rPr>
        <w:t xml:space="preserve"> потр. = </w:t>
      </w:r>
      <w:r>
        <w:rPr>
          <w:lang w:val="en-US"/>
        </w:rPr>
        <w:t>tg</w:t>
      </w:r>
      <w:r>
        <w:rPr/>
        <w:t xml:space="preserve"> </w:t>
      </w:r>
      <w:r>
        <w:rPr>
          <w:lang w:val="en-US"/>
        </w:rPr>
        <w:t>φ</w:t>
      </w:r>
      <w:r>
        <w:rPr>
          <w:vertAlign w:val="subscript"/>
        </w:rPr>
        <w:t xml:space="preserve">* </w:t>
      </w:r>
      <w:r>
        <w:rPr>
          <w:lang w:val="en-US"/>
        </w:rPr>
        <w:t>W</w:t>
      </w:r>
      <w:r>
        <w:rPr>
          <w:vertAlign w:val="subscript"/>
        </w:rPr>
        <w:t>А</w:t>
      </w:r>
      <w:r>
        <w:rPr/>
        <w:t xml:space="preserve">; генерация реактивной энергии определяется по приборам учета, при отсутствии прибора учета </w:t>
      </w:r>
      <w:r>
        <w:rPr>
          <w:lang w:val="en-US"/>
        </w:rPr>
        <w:t>W</w:t>
      </w:r>
      <w:r>
        <w:rPr>
          <w:vertAlign w:val="subscript"/>
          <w:lang w:val="en-US"/>
        </w:rPr>
        <w:t>Q</w:t>
      </w:r>
      <w:r>
        <w:rPr>
          <w:vertAlign w:val="subscript"/>
        </w:rPr>
        <w:t xml:space="preserve"> генер. = </w:t>
      </w:r>
      <w:r>
        <w:rPr>
          <w:lang w:val="en-US"/>
        </w:rPr>
        <w:t>Q</w:t>
      </w:r>
      <w:r>
        <w:rPr>
          <w:vertAlign w:val="subscript"/>
        </w:rPr>
        <w:t xml:space="preserve">К * </w:t>
      </w:r>
      <w:r>
        <w:rPr>
          <w:lang w:val="en-US"/>
        </w:rPr>
        <w:t>T</w:t>
      </w:r>
      <w:r>
        <w:rPr/>
        <w:t xml:space="preserve"> – </w:t>
      </w:r>
      <w:r>
        <w:rPr>
          <w:lang w:val="en-US"/>
        </w:rPr>
        <w:t>tg</w:t>
      </w:r>
      <w:r>
        <w:rPr/>
        <w:t xml:space="preserve"> </w:t>
      </w:r>
      <w:r>
        <w:rPr>
          <w:lang w:val="en-US"/>
        </w:rPr>
        <w:t>φ</w:t>
      </w:r>
      <w:r>
        <w:rPr>
          <w:vertAlign w:val="subscript"/>
        </w:rPr>
        <w:t xml:space="preserve">* </w:t>
      </w:r>
      <w:r>
        <w:rPr>
          <w:lang w:val="en-US"/>
        </w:rPr>
        <w:t>W</w:t>
      </w:r>
      <w:r>
        <w:rPr>
          <w:vertAlign w:val="subscript"/>
        </w:rPr>
        <w:t>А,</w:t>
      </w:r>
    </w:p>
    <w:p>
      <w:pPr>
        <w:pStyle w:val="Normal"/>
        <w:tabs>
          <w:tab w:val="left" w:pos="0" w:leader="none"/>
        </w:tabs>
        <w:spacing w:before="40" w:after="40"/>
        <w:ind w:left="0" w:hanging="0"/>
        <w:rPr/>
      </w:pPr>
      <w:r>
        <w:rPr/>
        <w:t xml:space="preserve">где: </w:t>
      </w:r>
      <w:r>
        <w:rPr>
          <w:lang w:val="en-US"/>
        </w:rPr>
        <w:t>Q</w:t>
      </w:r>
      <w:r>
        <w:rPr>
          <w:vertAlign w:val="subscript"/>
        </w:rPr>
        <w:t xml:space="preserve">К-  </w:t>
      </w:r>
      <w:r>
        <w:rPr/>
        <w:t>мощность компенсирующего устройства</w:t>
      </w:r>
      <w:r>
        <w:rPr>
          <w:vertAlign w:val="subscript"/>
        </w:rPr>
        <w:t xml:space="preserve">, </w:t>
      </w:r>
      <w:r>
        <w:rPr/>
        <w:t xml:space="preserve">Т- период времени, </w:t>
      </w:r>
      <w:r>
        <w:rPr>
          <w:lang w:val="en-US"/>
        </w:rPr>
        <w:t>tg</w:t>
      </w:r>
      <w:r>
        <w:rPr/>
        <w:t xml:space="preserve"> </w:t>
      </w:r>
      <w:r>
        <w:rPr>
          <w:lang w:val="en-US"/>
        </w:rPr>
        <w:t>φ</w:t>
      </w:r>
      <w:r>
        <w:rPr/>
        <w:t xml:space="preserve"> – коэффициент мощности, </w:t>
      </w:r>
      <w:r>
        <w:rPr>
          <w:lang w:val="en-US"/>
        </w:rPr>
        <w:t>W</w:t>
      </w:r>
      <w:r>
        <w:rPr>
          <w:vertAlign w:val="subscript"/>
        </w:rPr>
        <w:t xml:space="preserve">А-  </w:t>
      </w:r>
      <w:r>
        <w:rPr/>
        <w:t>Потребление активной энергии за расчетный период времени.</w:t>
      </w:r>
    </w:p>
    <w:p>
      <w:pPr>
        <w:pStyle w:val="Normal"/>
        <w:numPr>
          <w:ilvl w:val="0"/>
          <w:numId w:val="3"/>
        </w:numPr>
        <w:tabs>
          <w:tab w:val="left" w:pos="0" w:leader="none"/>
        </w:tabs>
        <w:spacing w:before="40" w:after="40"/>
        <w:ind w:left="0" w:hanging="0"/>
        <w:jc w:val="left"/>
        <w:rPr>
          <w:b/>
          <w:b/>
        </w:rPr>
      </w:pPr>
      <w:r>
        <w:rPr/>
        <w:t xml:space="preserve">При отсутствии прибора учета реактивной энергии, имеющего нормированные метрологические характеристики, воспроизводящие и хранящие величину, размер которой принимается неизменным в течение определенного интервала времени (максимальных, минимальных нагрузок), отклонение выявляется на основании результата замеров мощности. </w:t>
      </w:r>
    </w:p>
    <w:p>
      <w:pPr>
        <w:pStyle w:val="Normal"/>
        <w:numPr>
          <w:ilvl w:val="0"/>
          <w:numId w:val="3"/>
        </w:numPr>
        <w:tabs>
          <w:tab w:val="left" w:pos="0" w:leader="none"/>
        </w:tabs>
        <w:spacing w:before="40" w:after="40"/>
        <w:ind w:left="0" w:hanging="0"/>
        <w:jc w:val="left"/>
        <w:rPr/>
      </w:pPr>
      <w:r>
        <w:rPr/>
        <w:t xml:space="preserve">Замеры мощности выполняются на границе раздела балансовой принадлежности электросетей или по согласованию с Гарантирующим поставщиком в энергопринимающем устройстве </w:t>
      </w:r>
      <w:r>
        <w:rPr>
          <w:sz w:val="22"/>
          <w:szCs w:val="22"/>
        </w:rPr>
        <w:t xml:space="preserve"> Потребителя</w:t>
      </w:r>
      <w:r>
        <w:rPr/>
        <w:t>.</w:t>
      </w:r>
    </w:p>
    <w:tbl>
      <w:tblPr>
        <w:tblpPr w:bottomFromText="0" w:horzAnchor="margin" w:leftFromText="180" w:rightFromText="180" w:tblpX="0" w:tblpY="293" w:topFromText="0" w:vertAnchor="text"/>
        <w:tblW w:w="9658" w:type="dxa"/>
        <w:jc w:val="left"/>
        <w:tblInd w:w="10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829"/>
        <w:gridCol w:w="4828"/>
      </w:tblGrid>
      <w:tr>
        <w:trPr>
          <w:trHeight w:val="178" w:hRule="atLeast"/>
        </w:trPr>
        <w:tc>
          <w:tcPr>
            <w:tcW w:w="4829" w:type="dxa"/>
            <w:tcBorders/>
            <w:shd w:fill="auto" w:val="clear"/>
          </w:tcPr>
          <w:p>
            <w:pPr>
              <w:pStyle w:val="Normal"/>
              <w:ind w:left="0" w:hanging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Гарантирующий поставщик</w:t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firstLine="357"/>
              <w:jc w:val="center"/>
              <w:outlineLvl w:val="1"/>
              <w:rPr>
                <w:rFonts w:eastAsia="Arial Unicode MS"/>
                <w:b/>
                <w:b/>
                <w:sz w:val="24"/>
                <w:szCs w:val="24"/>
              </w:rPr>
            </w:pPr>
            <w:r>
              <w:rPr>
                <w:rFonts w:eastAsia="Arial Unicode MS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al Unicode MS"/>
                <w:b/>
                <w:sz w:val="24"/>
                <w:szCs w:val="24"/>
              </w:rPr>
              <w:t>Потребитель</w:t>
            </w:r>
          </w:p>
        </w:tc>
      </w:tr>
      <w:tr>
        <w:trPr/>
        <w:tc>
          <w:tcPr>
            <w:tcW w:w="4829" w:type="dxa"/>
            <w:tcBorders/>
            <w:shd w:fill="auto" w:val="clear"/>
          </w:tcPr>
          <w:p>
            <w:pPr>
              <w:pStyle w:val="Normal"/>
              <w:ind w:left="0" w:firstLine="3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Normal"/>
              <w:ind w:left="0" w:firstLine="3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829" w:type="dxa"/>
            <w:tcBorders/>
            <w:shd w:fill="auto" w:val="clear"/>
          </w:tcPr>
          <w:p>
            <w:pPr>
              <w:pStyle w:val="Normal"/>
              <w:ind w:left="0" w:firstLine="3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Normal"/>
              <w:tabs>
                <w:tab w:val="left" w:pos="708" w:leader="none"/>
                <w:tab w:val="center" w:pos="4153" w:leader="none"/>
                <w:tab w:val="right" w:pos="8306" w:leader="none"/>
              </w:tabs>
              <w:ind w:left="0" w:firstLine="3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829" w:type="dxa"/>
            <w:tcBorders/>
            <w:shd w:fill="auto" w:val="clear"/>
          </w:tcPr>
          <w:p>
            <w:pPr>
              <w:pStyle w:val="Normal"/>
              <w:ind w:left="0" w:hanging="0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___________________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А.А. Дмитриева</w:t>
            </w:r>
            <w:r>
              <w:rPr>
                <w:bCs/>
                <w:sz w:val="22"/>
                <w:szCs w:val="22"/>
              </w:rPr>
              <w:t xml:space="preserve">          </w:t>
            </w:r>
          </w:p>
          <w:p>
            <w:pPr>
              <w:pStyle w:val="Normal"/>
              <w:ind w:left="0" w:hanging="0"/>
              <w:rPr>
                <w:sz w:val="24"/>
                <w:szCs w:val="24"/>
              </w:rPr>
            </w:pPr>
            <w:r>
              <w:rPr>
                <w:b/>
              </w:rPr>
              <w:t xml:space="preserve">                               </w:t>
            </w:r>
            <w:r>
              <w:rPr>
                <w:b/>
              </w:rPr>
              <w:t>М.п.</w:t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Normal"/>
              <w:ind w:left="0" w:hanging="0"/>
              <w:rPr/>
            </w:pPr>
            <w:r>
              <w:rPr>
                <w:sz w:val="24"/>
                <w:szCs w:val="24"/>
              </w:rPr>
              <w:t>______________</w:t>
            </w:r>
          </w:p>
          <w:p>
            <w:pPr>
              <w:pStyle w:val="Normal"/>
              <w:ind w:left="0" w:hanging="0"/>
              <w:rPr>
                <w:b/>
                <w:b/>
                <w:bCs/>
                <w:sz w:val="24"/>
                <w:szCs w:val="24"/>
              </w:rPr>
            </w:pPr>
            <w:r>
              <w:rPr>
                <w:rStyle w:val="125"/>
                <w:sz w:val="24"/>
                <w:szCs w:val="24"/>
              </w:rPr>
              <w:t xml:space="preserve">               </w:t>
            </w:r>
            <w:r>
              <w:rPr>
                <w:rStyle w:val="125"/>
                <w:sz w:val="24"/>
                <w:szCs w:val="24"/>
              </w:rPr>
              <w:t>М.п.</w:t>
            </w:r>
          </w:p>
        </w:tc>
      </w:tr>
    </w:tbl>
    <w:p>
      <w:pPr>
        <w:pStyle w:val="Normal"/>
        <w:ind w:left="0" w:hanging="0"/>
        <w:rPr/>
      </w:pPr>
      <w:r>
        <w:rPr/>
      </w:r>
    </w:p>
    <w:p>
      <w:pPr>
        <w:pStyle w:val="Normal"/>
        <w:ind w:left="0" w:hanging="0"/>
        <w:rPr/>
      </w:pPr>
      <w:r>
        <w:rPr>
          <w:b/>
        </w:rPr>
        <w:t xml:space="preserve">                                                                                        </w:t>
      </w:r>
    </w:p>
    <w:p>
      <w:pPr>
        <w:sectPr>
          <w:footerReference w:type="default" r:id="rId5"/>
          <w:type w:val="nextPage"/>
          <w:pgSz w:w="11906" w:h="16838"/>
          <w:pgMar w:left="1418" w:right="851" w:header="0" w:top="1134" w:footer="720" w:bottom="1276" w:gutter="0"/>
          <w:pgNumType w:fmt="decimal"/>
          <w:formProt w:val="false"/>
          <w:textDirection w:val="lrTb"/>
          <w:docGrid w:type="default" w:linePitch="272" w:charSpace="2047"/>
        </w:sectPr>
        <w:pStyle w:val="Normal"/>
        <w:ind w:left="0" w:hanging="0"/>
        <w:rPr>
          <w:b/>
          <w:b/>
        </w:rPr>
      </w:pPr>
      <w:r>
        <w:rPr/>
        <w:t xml:space="preserve">Исполнитель________________ </w:t>
      </w:r>
    </w:p>
    <w:p>
      <w:pPr>
        <w:pStyle w:val="Normal"/>
        <w:ind w:left="0" w:hanging="0"/>
        <w:jc w:val="right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Приложение № 6</w:t>
      </w:r>
    </w:p>
    <w:p>
      <w:pPr>
        <w:pStyle w:val="Normal"/>
        <w:ind w:left="9072" w:hanging="907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энергоснабжения </w:t>
      </w:r>
    </w:p>
    <w:p>
      <w:pPr>
        <w:pStyle w:val="Normal"/>
        <w:ind w:left="0" w:hanging="0"/>
        <w:jc w:val="right"/>
        <w:rPr/>
      </w:pPr>
      <w:r>
        <w:rPr>
          <w:rStyle w:val="12"/>
        </w:rPr>
        <w:t>№ </w:t>
      </w:r>
      <w:r>
        <w:rPr>
          <w:rStyle w:val="12"/>
        </w:rPr>
        <w:t>____________ от _____________</w:t>
      </w:r>
    </w:p>
    <w:p>
      <w:pPr>
        <w:pStyle w:val="Normal"/>
        <w:ind w:left="0" w:hanging="0"/>
        <w:jc w:val="center"/>
        <w:rPr>
          <w:sz w:val="24"/>
          <w:szCs w:val="24"/>
        </w:rPr>
      </w:pPr>
      <w:r>
        <w:rPr>
          <w:sz w:val="24"/>
          <w:szCs w:val="24"/>
        </w:rPr>
        <w:t>Форма</w:t>
      </w:r>
    </w:p>
    <w:p>
      <w:pPr>
        <w:pStyle w:val="Normal"/>
        <w:ind w:left="0" w:hanging="0"/>
        <w:jc w:val="center"/>
        <w:rPr>
          <w:sz w:val="24"/>
          <w:szCs w:val="24"/>
        </w:rPr>
      </w:pPr>
      <w:r>
        <w:rPr>
          <w:sz w:val="24"/>
          <w:szCs w:val="24"/>
        </w:rPr>
        <w:t>«Акт согласования технологической и (или) аварийной брони электроснабжения</w:t>
      </w:r>
    </w:p>
    <w:p>
      <w:pPr>
        <w:pStyle w:val="Normal"/>
        <w:tabs>
          <w:tab w:val="left" w:pos="9180" w:leader="none"/>
          <w:tab w:val="left" w:pos="9540" w:leader="none"/>
        </w:tabs>
        <w:ind w:left="0" w:hanging="0"/>
        <w:jc w:val="center"/>
        <w:rPr>
          <w:b/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Потребителя электрической энергии (мощности)»</w:t>
      </w:r>
    </w:p>
    <w:p>
      <w:pPr>
        <w:pStyle w:val="Normal"/>
        <w:ind w:left="0" w:hanging="0"/>
        <w:jc w:val="left"/>
        <w:rPr/>
      </w:pPr>
      <w:r>
        <w:rPr/>
      </w:r>
    </w:p>
    <w:p>
      <w:pPr>
        <w:pStyle w:val="Normal"/>
        <w:spacing w:before="120" w:after="0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  <w:t>Раздел I. ОБЩИЕ СВЕДЕНИЯ</w:t>
      </w:r>
    </w:p>
    <w:tbl>
      <w:tblPr>
        <w:tblW w:w="15451" w:type="dxa"/>
        <w:jc w:val="left"/>
        <w:tblInd w:w="63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top w:w="0" w:type="dxa"/>
          <w:left w:w="54" w:type="dxa"/>
          <w:bottom w:w="0" w:type="dxa"/>
          <w:right w:w="70" w:type="dxa"/>
        </w:tblCellMar>
        <w:tblLook w:val="0000" w:noVBand="0" w:noHBand="0" w:lastColumn="0" w:firstColumn="0" w:lastRow="0" w:firstRow="0"/>
      </w:tblPr>
      <w:tblGrid>
        <w:gridCol w:w="540"/>
        <w:gridCol w:w="6691"/>
        <w:gridCol w:w="8220"/>
      </w:tblGrid>
      <w:tr>
        <w:trPr>
          <w:trHeight w:val="271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   </w:t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 местонахождение организации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71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энергопринимающих устройств, подключенных к токоприемникам технологической брони, с указанием адресов места расположения соответствующих энергопринимающих устройств и наименованием питающих их линий электропередачи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8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энергопринимающих устройств, подключенных к токоприемникам аварийной брони, с указанием адресов места расположения соответствующих энергопринимающих устройств и наименованием питающих их линий электропередачи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   </w:t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Номер и дата заключения договора                   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Контактная информация (фамилия, имя, отчество и телефон):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widowControl w:val="false"/>
              <w:spacing w:lineRule="auto" w:line="276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руководителя организации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56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widowControl w:val="false"/>
              <w:spacing w:lineRule="auto" w:line="276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технического руководителя (главного инженера) организации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widowControl w:val="false"/>
              <w:spacing w:lineRule="auto" w:line="276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ответственного за электрохозяйство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widowControl w:val="false"/>
              <w:spacing w:lineRule="auto" w:line="276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дежурного 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34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widowControl w:val="false"/>
              <w:spacing w:lineRule="auto" w:line="276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дежурного по подстанции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   </w:t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Сменность работы потребителя (фактическая)          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   </w:t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Нагрузка, тыс. кВт:                                 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замеру в зимний период                           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замеру в летний период                           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   </w:t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right="-745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Суточное электропотребление, тыс. кВт.ч:            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замеру в зимний период                           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замеру в летний период                           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6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   </w:t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Потребление электрической энергии (мощности) в нерабочие (праздничные) дни, тыс. кВт.ч:            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зимний период                                     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летний период                                     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  </w:t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Величина аварийной брони электроснабжения, тыс. кВт 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зимний период                                     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летний период                                     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8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10.1 </w:t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Нагрузка токоприемников, имеющих аварийную бронь, не участвующую в работе потребителя в нормальном  режиме, тыс. кВт          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08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  </w:t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Нагрузка токоприемников, имеющих технологическую бронь электроснабжения, тыс. кВт:                   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  </w:t>
            </w:r>
          </w:p>
        </w:tc>
        <w:tc>
          <w:tcPr>
            <w:tcW w:w="6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Наличие средств дистанционного управления           </w:t>
            </w:r>
          </w:p>
        </w:tc>
        <w:tc>
          <w:tcPr>
            <w:tcW w:w="8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</w:p>
        </w:tc>
      </w:tr>
    </w:tbl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  <w:t>Раздел II. ТЕХНИЧЕСКИЕ ХАРАКТЕРИСТИКИ ЭЛЕКТРОСНАБЖЕНИЯ ПОТРЕБИТЕЛЯ</w:t>
      </w:r>
    </w:p>
    <w:p>
      <w:p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  <w:t>Часть 1. Таблица</w:t>
      </w:r>
    </w:p>
    <w:tbl>
      <w:tblPr>
        <w:tblW w:w="15452" w:type="dxa"/>
        <w:jc w:val="left"/>
        <w:tblInd w:w="63" w:type="dxa"/>
        <w:tblBorders>
          <w:top w:val="single" w:sz="6" w:space="0" w:color="00000A"/>
          <w:left w:val="single" w:sz="6" w:space="0" w:color="00000A"/>
          <w:right w:val="single" w:sz="6" w:space="0" w:color="00000A"/>
          <w:insideV w:val="single" w:sz="6" w:space="0" w:color="00000A"/>
        </w:tblBorders>
        <w:tblCellMar>
          <w:top w:w="0" w:type="dxa"/>
          <w:left w:w="54" w:type="dxa"/>
          <w:bottom w:w="0" w:type="dxa"/>
          <w:right w:w="70" w:type="dxa"/>
        </w:tblCellMar>
        <w:tblLook w:val="0000" w:noVBand="0" w:noHBand="0" w:lastColumn="0" w:firstColumn="0" w:lastRow="0" w:firstRow="0"/>
      </w:tblPr>
      <w:tblGrid>
        <w:gridCol w:w="540"/>
        <w:gridCol w:w="1728"/>
        <w:gridCol w:w="1701"/>
        <w:gridCol w:w="994"/>
        <w:gridCol w:w="1842"/>
        <w:gridCol w:w="1276"/>
        <w:gridCol w:w="1310"/>
        <w:gridCol w:w="1063"/>
        <w:gridCol w:w="2"/>
        <w:gridCol w:w="850"/>
        <w:gridCol w:w="1001"/>
        <w:gridCol w:w="1443"/>
        <w:gridCol w:w="1701"/>
      </w:tblGrid>
      <w:tr>
        <w:trPr>
          <w:trHeight w:val="240" w:hRule="atLeast"/>
          <w:cantSplit w:val="true"/>
        </w:trPr>
        <w:tc>
          <w:tcPr>
            <w:tcW w:w="54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/>
            </w:pPr>
            <w:r>
              <w:rPr/>
              <w:t xml:space="preserve">N </w:t>
              <w:br/>
              <w:t>п/п</w:t>
            </w:r>
          </w:p>
        </w:tc>
        <w:tc>
          <w:tcPr>
            <w:tcW w:w="172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left"/>
              <w:rPr/>
            </w:pPr>
            <w:r>
              <w:rPr/>
              <w:t xml:space="preserve">Наименование   </w:t>
              <w:br/>
              <w:t xml:space="preserve">(номер) питающего центра    </w:t>
              <w:br/>
              <w:t xml:space="preserve">сетевой  </w:t>
              <w:br/>
              <w:t xml:space="preserve">организации и  </w:t>
              <w:br/>
              <w:t xml:space="preserve">других источников электро   </w:t>
              <w:br/>
              <w:t xml:space="preserve">снабжения      </w:t>
            </w:r>
          </w:p>
        </w:tc>
        <w:tc>
          <w:tcPr>
            <w:tcW w:w="1701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/>
            </w:pPr>
            <w:r>
              <w:rPr/>
              <w:t xml:space="preserve">Наименование   </w:t>
              <w:br/>
              <w:t xml:space="preserve">(номер) </w:t>
            </w:r>
          </w:p>
          <w:p>
            <w:pPr>
              <w:pStyle w:val="Normal"/>
              <w:ind w:left="0" w:right="-10" w:hanging="0"/>
              <w:jc w:val="left"/>
              <w:rPr/>
            </w:pPr>
            <w:r>
              <w:rPr/>
              <w:t xml:space="preserve">питающей линии сетевой организации и других источни ков электро снабжения            </w:t>
            </w:r>
          </w:p>
        </w:tc>
        <w:tc>
          <w:tcPr>
            <w:tcW w:w="994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/>
            </w:pPr>
            <w:r>
              <w:rPr/>
              <w:t xml:space="preserve">Нагрузка </w:t>
              <w:br/>
              <w:t xml:space="preserve">линии в  </w:t>
              <w:br/>
              <w:t xml:space="preserve">нормаль </w:t>
              <w:br/>
              <w:t xml:space="preserve">ном </w:t>
            </w:r>
          </w:p>
          <w:p>
            <w:pPr>
              <w:pStyle w:val="Normal"/>
              <w:ind w:left="0" w:hanging="0"/>
              <w:jc w:val="left"/>
              <w:rPr/>
            </w:pPr>
            <w:r>
              <w:rPr/>
              <w:t xml:space="preserve">режиме работы, кВт  </w:t>
            </w:r>
          </w:p>
        </w:tc>
        <w:tc>
          <w:tcPr>
            <w:tcW w:w="549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Аварийная броня электроснабжения</w:t>
            </w:r>
          </w:p>
        </w:tc>
        <w:tc>
          <w:tcPr>
            <w:tcW w:w="499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Технологическая броня электроснабжения</w:t>
            </w:r>
          </w:p>
        </w:tc>
      </w:tr>
      <w:tr>
        <w:trPr>
          <w:trHeight w:val="1560" w:hRule="atLeast"/>
          <w:cantSplit w:val="true"/>
        </w:trPr>
        <w:tc>
          <w:tcPr>
            <w:tcW w:w="540" w:type="dxa"/>
            <w:vMerge w:val="continue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/>
            </w:pPr>
            <w:r>
              <w:rPr/>
            </w:r>
          </w:p>
        </w:tc>
        <w:tc>
          <w:tcPr>
            <w:tcW w:w="1728" w:type="dxa"/>
            <w:vMerge w:val="continue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/>
            </w:pPr>
            <w:r>
              <w:rPr/>
            </w:r>
          </w:p>
        </w:tc>
        <w:tc>
          <w:tcPr>
            <w:tcW w:w="1701" w:type="dxa"/>
            <w:vMerge w:val="continue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/>
            </w:pPr>
            <w:r>
              <w:rPr/>
            </w:r>
          </w:p>
        </w:tc>
        <w:tc>
          <w:tcPr>
            <w:tcW w:w="994" w:type="dxa"/>
            <w:vMerge w:val="continue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left"/>
              <w:rPr/>
            </w:pPr>
            <w:r>
              <w:rPr/>
              <w:t>Перечень токоприемников аварийной брони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right="-36" w:hanging="0"/>
              <w:jc w:val="left"/>
              <w:rPr/>
            </w:pPr>
            <w:r>
              <w:rPr/>
              <w:t>Максимальная мощность токоприемников аварийной брони, кВт</w:t>
            </w:r>
          </w:p>
        </w:tc>
        <w:tc>
          <w:tcPr>
            <w:tcW w:w="1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/>
            </w:pPr>
            <w:r>
              <w:rPr/>
              <w:t xml:space="preserve">Линии, на которые может быть переключена нагрузка, и средства переключения (АВР или вручную)     </w:t>
            </w:r>
          </w:p>
        </w:tc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left"/>
              <w:rPr/>
            </w:pPr>
            <w:r>
              <w:rPr/>
              <w:t>Сроки сокращения электроснабжения до уровня аварийной брони</w:t>
            </w:r>
          </w:p>
        </w:tc>
        <w:tc>
          <w:tcPr>
            <w:tcW w:w="8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right="-70" w:hanging="38"/>
              <w:jc w:val="left"/>
              <w:rPr/>
            </w:pPr>
            <w:r>
              <w:rPr/>
              <w:t xml:space="preserve">Перечень    </w:t>
              <w:br/>
              <w:t xml:space="preserve">токопри </w:t>
              <w:br/>
              <w:t xml:space="preserve">емников технологической брони   </w:t>
              <w:br/>
            </w:r>
          </w:p>
        </w:tc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/>
            </w:pPr>
            <w:r>
              <w:rPr/>
              <w:t>Максимальная мощность токоприемников технологической брони, кВт</w:t>
            </w:r>
          </w:p>
        </w:tc>
        <w:tc>
          <w:tcPr>
            <w:tcW w:w="1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left"/>
              <w:rPr/>
            </w:pPr>
            <w:r>
              <w:rPr/>
              <w:t>Продолжительность времени, необходимого для завершения технологического процесса, цикла производства, час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left"/>
              <w:rPr/>
            </w:pPr>
            <w:r>
              <w:rPr/>
              <w:t>Допустимое время перерыва электроснабжения энергопринимающего устройства, подключенного к токоприемникам технологической брони, час</w:t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>
        <w:trPr>
          <w:trHeight w:val="388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left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88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widowControl w:val="false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spacing w:before="120" w:after="0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  <w:t>Часть 2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1. При возникновении или угрозе возникновения аварийных электроэнергетических режимов могут быть немедленно отключены с питающих центров сетевой организации: питающие линии:____________________________________________________________________________________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2. Питающие линии  _____________________ могут быть  отключены  на  время, указанное в графе 12.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3. Питающие линии  _____________________ могут быть отключены по истечении времени, указанного в графе 11. 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4. По требованию сетевой организации  Потребитель немедленно отключает   ____ кВт;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5. Использование имеющихся в работе устройств автоматического включения резерва – ____________.</w:t>
      </w:r>
    </w:p>
    <w:tbl>
      <w:tblPr>
        <w:tblW w:w="15451" w:type="dxa"/>
        <w:jc w:val="left"/>
        <w:tblInd w:w="109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284"/>
        <w:gridCol w:w="7087"/>
        <w:gridCol w:w="8080"/>
      </w:tblGrid>
      <w:tr>
        <w:trPr>
          <w:trHeight w:val="1063" w:hRule="atLeast"/>
        </w:trPr>
        <w:tc>
          <w:tcPr>
            <w:tcW w:w="284" w:type="dxa"/>
            <w:tcBorders/>
            <w:shd w:color="auto" w:fill="auto" w:val="clear"/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  <w:p>
            <w:pPr>
              <w:pStyle w:val="Normal"/>
              <w:ind w:left="0" w:right="-108" w:hanging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tcBorders/>
            <w:shd w:color="auto" w:fill="auto" w:val="clear"/>
          </w:tcPr>
          <w:p>
            <w:pPr>
              <w:pStyle w:val="Normal"/>
              <w:ind w:left="0" w:hanging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ind w:left="0" w:hanging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Сетевая организация                                           </w:t>
            </w:r>
          </w:p>
          <w:p>
            <w:pPr>
              <w:pStyle w:val="Normal"/>
              <w:ind w:left="0" w:hanging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</w:p>
          <w:p>
            <w:pPr>
              <w:pStyle w:val="Normal"/>
              <w:ind w:left="0" w:hanging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Главный инженер ______________   ______________                                 </w:t>
            </w:r>
          </w:p>
          <w:p>
            <w:pPr>
              <w:pStyle w:val="Normal"/>
              <w:ind w:left="0" w:hanging="0"/>
              <w:rPr/>
            </w:pPr>
            <w:r>
              <w:rPr>
                <w:sz w:val="24"/>
                <w:szCs w:val="24"/>
              </w:rPr>
              <w:t xml:space="preserve">        </w:t>
            </w:r>
            <w:r>
              <w:rPr/>
              <w:t xml:space="preserve">                                       </w:t>
            </w:r>
            <w:r>
              <w:rPr/>
              <w:t>(подпись)               (ФИО)</w:t>
            </w:r>
          </w:p>
        </w:tc>
        <w:tc>
          <w:tcPr>
            <w:tcW w:w="8080" w:type="dxa"/>
            <w:tcBorders/>
            <w:shd w:color="auto" w:fill="auto" w:val="clear"/>
          </w:tcPr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left="0" w:right="-508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left="0" w:right="-508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Потребитель </w:t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left="0" w:right="-508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left="0" w:right="-508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 за электрохозяйство       _______________  _________________</w:t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left="0" w:right="-508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</w:t>
            </w:r>
            <w:r>
              <w:rPr/>
              <w:t xml:space="preserve">                                                                 </w:t>
            </w:r>
            <w:r>
              <w:rPr/>
              <w:t>(подпись)                     (ФИО)</w:t>
            </w:r>
          </w:p>
        </w:tc>
      </w:tr>
    </w:tbl>
    <w:p>
      <w:pPr>
        <w:pStyle w:val="Normal"/>
        <w:ind w:left="0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  <w:t>Форма «Акт согласования технологической и (или) аварийной брони электроснабжения</w:t>
      </w:r>
    </w:p>
    <w:p>
      <w:pPr>
        <w:pStyle w:val="Normal"/>
        <w:tabs>
          <w:tab w:val="left" w:pos="9180" w:leader="none"/>
          <w:tab w:val="left" w:pos="9540" w:leader="none"/>
        </w:tabs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  <w:t>Потребителя электрической энергии (мощности)» согласована.</w:t>
      </w:r>
    </w:p>
    <w:p>
      <w:pPr>
        <w:pStyle w:val="Normal"/>
        <w:tabs>
          <w:tab w:val="left" w:pos="9180" w:leader="none"/>
          <w:tab w:val="left" w:pos="9540" w:leader="none"/>
        </w:tabs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9180" w:leader="none"/>
          <w:tab w:val="left" w:pos="9540" w:leader="none"/>
        </w:tabs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margin">
                  <wp:posOffset>630555</wp:posOffset>
                </wp:positionH>
                <wp:positionV relativeFrom="paragraph">
                  <wp:posOffset>186055</wp:posOffset>
                </wp:positionV>
                <wp:extent cx="7636510" cy="1022350"/>
                <wp:effectExtent l="0" t="0" r="0" b="0"/>
                <wp:wrapSquare wrapText="bothSides"/>
                <wp:docPr id="2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960" cy="102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12025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7195"/>
                              <w:gridCol w:w="4829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ind w:left="0" w:hanging="0"/>
                                    <w:jc w:val="center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ind w:left="357" w:firstLine="357"/>
                                    <w:jc w:val="center"/>
                                    <w:outlineLvl w:val="1"/>
                                    <w:rPr/>
                                  </w:pPr>
                                  <w:r>
                                    <w:rPr>
                                      <w:rFonts w:eastAsia="Arial Unicode MS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Arial Unicode MS"/>
                                      <w:b/>
                                      <w:sz w:val="24"/>
                                      <w:szCs w:val="24"/>
                                    </w:rPr>
                                    <w:t>Потребитель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______________________ А.А. Дмитриева</w:t>
                                  </w:r>
                                  <w:r>
                                    <w:rPr>
                                      <w:bCs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</w:p>
                                <w:p>
                                  <w:pPr>
                                    <w:pStyle w:val="Normal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22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stroked="f" style="position:absolute;margin-left:49.65pt;margin-top:14.65pt;width:601.2pt;height:80.4pt;mso-position-horizontal-relative:margin">
                <w10:wrap type="none"/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12025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7195"/>
                        <w:gridCol w:w="4829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ind w:left="0" w:hanging="0"/>
                              <w:jc w:val="center"/>
                              <w:rPr/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ind w:left="357" w:firstLine="357"/>
                              <w:jc w:val="center"/>
                              <w:outlineLvl w:val="1"/>
                              <w:rPr/>
                            </w:pPr>
                            <w:r>
                              <w:rPr>
                                <w:rFonts w:eastAsia="Arial Unicode MS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/>
                                <w:b/>
                                <w:sz w:val="24"/>
                                <w:szCs w:val="24"/>
                              </w:rPr>
                              <w:t>Потребитель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ind w:left="0" w:hanging="0"/>
                              <w:rPr/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______________________ А.А. Дмитриева</w:t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Normal"/>
                              <w:ind w:left="0" w:hanging="0"/>
                              <w:rPr/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ind w:left="0" w:hanging="0"/>
                              <w:rPr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______________</w:t>
                            </w:r>
                          </w:p>
                          <w:p>
                            <w:pPr>
                              <w:pStyle w:val="Normal"/>
                              <w:ind w:left="0" w:hanging="0"/>
                              <w:rPr/>
                            </w:pPr>
                            <w:r>
                              <w:rPr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</w:tr>
                    </w:tbl>
                    <w:p>
                      <w:pPr>
                        <w:pStyle w:val="Style22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  <w:t>Исполнитель________________</w:t>
      </w:r>
      <w:r>
        <w:br w:type="page"/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Приложение № 7</w:t>
      </w:r>
    </w:p>
    <w:p>
      <w:pPr>
        <w:pStyle w:val="Normal"/>
        <w:ind w:left="9072" w:hanging="907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договору энергоснабжения </w:t>
      </w:r>
    </w:p>
    <w:p>
      <w:pPr>
        <w:pStyle w:val="Normal"/>
        <w:ind w:left="0" w:hanging="0"/>
        <w:jc w:val="right"/>
        <w:rPr/>
      </w:pPr>
      <w:r>
        <w:rPr>
          <w:rStyle w:val="12"/>
        </w:rPr>
        <w:t>№ </w:t>
      </w:r>
      <w:r>
        <w:rPr>
          <w:rStyle w:val="12"/>
        </w:rPr>
        <w:t>____________ от _________________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ФОРМА «Акт снятия показаний расчетных приборов учета»</w:t>
      </w:r>
    </w:p>
    <w:p>
      <w:pPr>
        <w:pStyle w:val="Normal"/>
        <w:tabs>
          <w:tab w:val="center" w:pos="4153" w:leader="none"/>
          <w:tab w:val="right" w:pos="8306" w:leader="none"/>
        </w:tabs>
        <w:rPr>
          <w:iCs/>
        </w:rPr>
      </w:pPr>
      <w:r>
        <w:rPr>
          <w:iCs/>
        </w:rPr>
      </w:r>
    </w:p>
    <w:tbl>
      <w:tblPr>
        <w:tblW w:w="14880" w:type="dxa"/>
        <w:jc w:val="left"/>
        <w:tblInd w:w="10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48"/>
        <w:gridCol w:w="5625"/>
        <w:gridCol w:w="2267"/>
        <w:gridCol w:w="2128"/>
        <w:gridCol w:w="2128"/>
        <w:gridCol w:w="1983"/>
      </w:tblGrid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-11" w:hanging="0"/>
              <w:jc w:val="center"/>
              <w:rPr>
                <w:b/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№ </w:t>
            </w:r>
            <w:r>
              <w:rPr>
                <w:b/>
                <w:sz w:val="19"/>
                <w:szCs w:val="19"/>
              </w:rPr>
              <w:t>п/п</w:t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-11" w:hanging="0"/>
              <w:jc w:val="center"/>
              <w:rPr>
                <w:b/>
                <w:b/>
                <w:sz w:val="19"/>
                <w:szCs w:val="19"/>
                <w:lang w:eastAsia="ar-SA"/>
              </w:rPr>
            </w:pPr>
            <w:r>
              <w:rPr>
                <w:b/>
                <w:sz w:val="19"/>
                <w:szCs w:val="19"/>
              </w:rPr>
              <w:t>Наименование объекта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34" w:hanging="34"/>
              <w:jc w:val="center"/>
              <w:rPr>
                <w:b/>
                <w:b/>
                <w:sz w:val="19"/>
                <w:szCs w:val="19"/>
                <w:lang w:eastAsia="ar-SA"/>
              </w:rPr>
            </w:pPr>
            <w:r>
              <w:rPr>
                <w:b/>
                <w:sz w:val="19"/>
                <w:szCs w:val="19"/>
              </w:rPr>
              <w:t xml:space="preserve">№  </w:t>
            </w:r>
            <w:r>
              <w:rPr>
                <w:b/>
                <w:sz w:val="19"/>
                <w:szCs w:val="19"/>
              </w:rPr>
              <w:t>счетчика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0" w:hanging="0"/>
              <w:jc w:val="center"/>
              <w:rPr>
                <w:b/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Показания на день снятия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34" w:hanging="0"/>
              <w:jc w:val="center"/>
              <w:rPr>
                <w:b/>
                <w:b/>
                <w:sz w:val="19"/>
                <w:szCs w:val="19"/>
                <w:lang w:eastAsia="ar-SA"/>
              </w:rPr>
            </w:pPr>
            <w:r>
              <w:rPr>
                <w:b/>
                <w:sz w:val="19"/>
                <w:szCs w:val="19"/>
              </w:rPr>
              <w:t>Предыдущие показания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0" w:hanging="0"/>
              <w:rPr>
                <w:b/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Разница показаний</w:t>
            </w:r>
          </w:p>
        </w:tc>
      </w:tr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ind w:left="357" w:right="468" w:firstLine="357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ind w:left="357" w:right="468" w:firstLine="357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ind w:left="357" w:right="468" w:firstLine="357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ind w:left="357" w:right="468" w:firstLine="357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ind w:left="357" w:right="468" w:firstLine="357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ind w:left="357" w:right="468" w:firstLine="357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ind w:left="357" w:right="468" w:firstLine="357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ind w:left="357" w:right="468" w:firstLine="357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Потребитель</w:t>
      </w:r>
      <w:r>
        <w:rPr/>
        <w:t xml:space="preserve"> ____________________________</w:t>
      </w:r>
    </w:p>
    <w:p>
      <w:pPr>
        <w:pStyle w:val="Normal"/>
        <w:rPr/>
      </w:pPr>
      <w:r>
        <w:rPr/>
      </w:r>
    </w:p>
    <w:p>
      <w:pPr>
        <w:pStyle w:val="Normal"/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  <w:t>Форма «Акт снятия показаний расчетных приборов учета» согласована.</w:t>
      </w:r>
    </w:p>
    <w:p>
      <w:pPr>
        <w:pStyle w:val="Normal"/>
        <w:tabs>
          <w:tab w:val="left" w:pos="9180" w:leader="none"/>
          <w:tab w:val="left" w:pos="9540" w:leader="none"/>
        </w:tabs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margin">
                  <wp:posOffset>630555</wp:posOffset>
                </wp:positionH>
                <wp:positionV relativeFrom="paragraph">
                  <wp:posOffset>186055</wp:posOffset>
                </wp:positionV>
                <wp:extent cx="7636510" cy="1022350"/>
                <wp:effectExtent l="0" t="0" r="0" b="0"/>
                <wp:wrapSquare wrapText="bothSides"/>
                <wp:docPr id="4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960" cy="102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12025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7195"/>
                              <w:gridCol w:w="4829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ind w:left="0" w:hanging="0"/>
                                    <w:jc w:val="center"/>
                                    <w:rPr/>
                                  </w:pPr>
                                  <w:bookmarkStart w:id="0" w:name="__UnoMark__1714_3499770688"/>
                                  <w:bookmarkEnd w:id="0"/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ind w:left="357" w:firstLine="357"/>
                                    <w:jc w:val="center"/>
                                    <w:outlineLvl w:val="1"/>
                                    <w:rPr/>
                                  </w:pPr>
                                  <w:bookmarkStart w:id="1" w:name="__UnoMark__1715_3499770688"/>
                                  <w:bookmarkEnd w:id="1"/>
                                  <w:r>
                                    <w:rPr>
                                      <w:rFonts w:eastAsia="Arial Unicode MS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bookmarkStart w:id="2" w:name="__UnoMark__1716_3499770688"/>
                                  <w:bookmarkEnd w:id="2"/>
                                  <w:r>
                                    <w:rPr>
                                      <w:rFonts w:eastAsia="Arial Unicode MS"/>
                                      <w:b/>
                                      <w:sz w:val="24"/>
                                      <w:szCs w:val="24"/>
                                    </w:rPr>
                                    <w:t>Потребитель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bookmarkStart w:id="3" w:name="__UnoMark__1717_3499770688"/>
                                  <w:bookmarkStart w:id="4" w:name="__UnoMark__1718_3499770688"/>
                                  <w:bookmarkStart w:id="5" w:name="__UnoMark__1717_3499770688"/>
                                  <w:bookmarkStart w:id="6" w:name="__UnoMark__1718_3499770688"/>
                                  <w:bookmarkEnd w:id="5"/>
                                  <w:bookmarkEnd w:id="6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bookmarkStart w:id="7" w:name="__UnoMark__1719_3499770688"/>
                                  <w:bookmarkStart w:id="8" w:name="__UnoMark__1720_3499770688"/>
                                  <w:bookmarkStart w:id="9" w:name="__UnoMark__1719_3499770688"/>
                                  <w:bookmarkStart w:id="10" w:name="__UnoMark__1720_3499770688"/>
                                  <w:bookmarkEnd w:id="9"/>
                                  <w:bookmarkEnd w:id="10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bookmarkStart w:id="11" w:name="__UnoMark__1721_3499770688"/>
                                  <w:bookmarkStart w:id="12" w:name="__UnoMark__1722_3499770688"/>
                                  <w:bookmarkStart w:id="13" w:name="__UnoMark__1721_3499770688"/>
                                  <w:bookmarkStart w:id="14" w:name="__UnoMark__1722_3499770688"/>
                                  <w:bookmarkEnd w:id="13"/>
                                  <w:bookmarkEnd w:id="14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bookmarkStart w:id="15" w:name="__UnoMark__1723_3499770688"/>
                                  <w:bookmarkStart w:id="16" w:name="__UnoMark__1724_3499770688"/>
                                  <w:bookmarkStart w:id="17" w:name="__UnoMark__1723_3499770688"/>
                                  <w:bookmarkStart w:id="18" w:name="__UnoMark__1724_3499770688"/>
                                  <w:bookmarkEnd w:id="17"/>
                                  <w:bookmarkEnd w:id="18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ind w:left="0" w:hanging="0"/>
                                    <w:rPr/>
                                  </w:pPr>
                                  <w:bookmarkStart w:id="19" w:name="__UnoMark__1725_3499770688"/>
                                  <w:bookmarkEnd w:id="19"/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______________________  А.А. Дмитриева</w:t>
                                  </w:r>
                                  <w:r>
                                    <w:rPr>
                                      <w:bCs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  <w:p>
                                  <w:pPr>
                                    <w:pStyle w:val="Normal"/>
                                    <w:ind w:left="0" w:hanging="0"/>
                                    <w:rPr/>
                                  </w:pPr>
                                  <w:bookmarkStart w:id="20" w:name="__UnoMark__1726_3499770688"/>
                                  <w:bookmarkEnd w:id="20"/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ind w:left="0" w:hanging="0"/>
                                    <w:rPr/>
                                  </w:pPr>
                                  <w:bookmarkStart w:id="21" w:name="__UnoMark__1727_3499770688"/>
                                  <w:bookmarkEnd w:id="21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___________________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22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2" stroked="f" style="position:absolute;margin-left:49.65pt;margin-top:14.65pt;width:601.2pt;height:80.4pt;mso-position-horizontal-relative:margin">
                <w10:wrap type="none"/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12025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7195"/>
                        <w:gridCol w:w="4829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ind w:left="0" w:hanging="0"/>
                              <w:jc w:val="center"/>
                              <w:rPr/>
                            </w:pPr>
                            <w:bookmarkStart w:id="22" w:name="__UnoMark__1714_3499770688"/>
                            <w:bookmarkEnd w:id="22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ind w:left="357" w:firstLine="357"/>
                              <w:jc w:val="center"/>
                              <w:outlineLvl w:val="1"/>
                              <w:rPr/>
                            </w:pPr>
                            <w:bookmarkStart w:id="23" w:name="__UnoMark__1715_3499770688"/>
                            <w:bookmarkEnd w:id="23"/>
                            <w:r>
                              <w:rPr>
                                <w:rFonts w:eastAsia="Arial Unicode MS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bookmarkStart w:id="24" w:name="__UnoMark__1716_3499770688"/>
                            <w:bookmarkEnd w:id="24"/>
                            <w:r>
                              <w:rPr>
                                <w:rFonts w:eastAsia="Arial Unicode MS"/>
                                <w:b/>
                                <w:sz w:val="24"/>
                                <w:szCs w:val="24"/>
                              </w:rPr>
                              <w:t>Потребитель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bookmarkStart w:id="25" w:name="__UnoMark__1717_3499770688"/>
                            <w:bookmarkStart w:id="26" w:name="__UnoMark__1718_3499770688"/>
                            <w:bookmarkStart w:id="27" w:name="__UnoMark__1717_3499770688"/>
                            <w:bookmarkStart w:id="28" w:name="__UnoMark__1718_3499770688"/>
                            <w:bookmarkEnd w:id="27"/>
                            <w:bookmarkEnd w:id="28"/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bookmarkStart w:id="29" w:name="__UnoMark__1719_3499770688"/>
                            <w:bookmarkStart w:id="30" w:name="__UnoMark__1720_3499770688"/>
                            <w:bookmarkStart w:id="31" w:name="__UnoMark__1719_3499770688"/>
                            <w:bookmarkStart w:id="32" w:name="__UnoMark__1720_3499770688"/>
                            <w:bookmarkEnd w:id="31"/>
                            <w:bookmarkEnd w:id="32"/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rPr>
                                <w:sz w:val="24"/>
                                <w:szCs w:val="24"/>
                              </w:rPr>
                            </w:pPr>
                            <w:bookmarkStart w:id="33" w:name="__UnoMark__1721_3499770688"/>
                            <w:bookmarkStart w:id="34" w:name="__UnoMark__1722_3499770688"/>
                            <w:bookmarkStart w:id="35" w:name="__UnoMark__1721_3499770688"/>
                            <w:bookmarkStart w:id="36" w:name="__UnoMark__1722_3499770688"/>
                            <w:bookmarkEnd w:id="35"/>
                            <w:bookmarkEnd w:id="36"/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bookmarkStart w:id="37" w:name="__UnoMark__1723_3499770688"/>
                            <w:bookmarkStart w:id="38" w:name="__UnoMark__1724_3499770688"/>
                            <w:bookmarkStart w:id="39" w:name="__UnoMark__1723_3499770688"/>
                            <w:bookmarkStart w:id="40" w:name="__UnoMark__1724_3499770688"/>
                            <w:bookmarkEnd w:id="39"/>
                            <w:bookmarkEnd w:id="40"/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ind w:left="0" w:hanging="0"/>
                              <w:rPr/>
                            </w:pPr>
                            <w:bookmarkStart w:id="41" w:name="__UnoMark__1725_3499770688"/>
                            <w:bookmarkEnd w:id="41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______________________  А.А. Дмитриева</w:t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  <w:p>
                            <w:pPr>
                              <w:pStyle w:val="Normal"/>
                              <w:ind w:left="0" w:hanging="0"/>
                              <w:rPr/>
                            </w:pPr>
                            <w:bookmarkStart w:id="42" w:name="__UnoMark__1726_3499770688"/>
                            <w:bookmarkEnd w:id="42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ind w:left="0" w:hanging="0"/>
                              <w:rPr/>
                            </w:pPr>
                            <w:bookmarkStart w:id="43" w:name="__UnoMark__1727_3499770688"/>
                            <w:bookmarkEnd w:id="43"/>
                            <w:r>
                              <w:rPr>
                                <w:sz w:val="24"/>
                                <w:szCs w:val="24"/>
                              </w:rPr>
                              <w:t>___________________</w:t>
                            </w:r>
                          </w:p>
                          <w:p>
                            <w:pPr>
                              <w:pStyle w:val="Normal"/>
                              <w:ind w:left="0" w:hanging="0"/>
                              <w:rPr/>
                            </w:pPr>
                            <w:r>
                              <w:rPr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</w:tr>
                    </w:tbl>
                    <w:p>
                      <w:pPr>
                        <w:pStyle w:val="Style22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footerReference w:type="default" r:id="rId6"/>
          <w:type w:val="nextPage"/>
          <w:pgSz w:orient="landscape" w:w="16838" w:h="11906"/>
          <w:pgMar w:left="851" w:right="907" w:header="0" w:top="1134" w:footer="720" w:bottom="1418" w:gutter="0"/>
          <w:pgNumType w:fmt="decimal"/>
          <w:formProt w:val="false"/>
          <w:textDirection w:val="lrTb"/>
          <w:docGrid w:type="default" w:linePitch="249" w:charSpace="2047"/>
        </w:sect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/>
        <w:t>Исполнитель________________</w:t>
      </w:r>
      <w:r>
        <w:rPr>
          <w:b/>
          <w:sz w:val="24"/>
          <w:szCs w:val="24"/>
        </w:rPr>
        <w:t>Приложение № 8</w:t>
      </w:r>
    </w:p>
    <w:p>
      <w:pPr>
        <w:pStyle w:val="Normal"/>
        <w:ind w:left="9072" w:hanging="907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договору энергоснабжения </w:t>
      </w:r>
    </w:p>
    <w:p>
      <w:pPr>
        <w:pStyle w:val="Normal"/>
        <w:ind w:left="0" w:hanging="0"/>
        <w:jc w:val="right"/>
        <w:rPr/>
      </w:pPr>
      <w:r>
        <w:rPr>
          <w:rStyle w:val="12"/>
        </w:rPr>
        <w:t>№ </w:t>
      </w:r>
      <w:r>
        <w:rPr>
          <w:rStyle w:val="12"/>
        </w:rPr>
        <w:t>________ от ____________</w:t>
      </w:r>
    </w:p>
    <w:p>
      <w:pPr>
        <w:pStyle w:val="Normal"/>
        <w:ind w:left="0" w:hanging="0"/>
        <w:jc w:val="right"/>
        <w:rPr>
          <w:b/>
          <w:b/>
          <w:bCs/>
          <w:color w:val="0000FF"/>
          <w:sz w:val="24"/>
          <w:szCs w:val="24"/>
        </w:rPr>
      </w:pPr>
      <w:r>
        <w:rPr>
          <w:b/>
          <w:bCs/>
          <w:color w:val="0000FF"/>
          <w:sz w:val="24"/>
          <w:szCs w:val="24"/>
        </w:rPr>
      </w:r>
    </w:p>
    <w:p>
      <w:pPr>
        <w:pStyle w:val="Normal"/>
        <w:ind w:left="0" w:hanging="0"/>
        <w:jc w:val="right"/>
        <w:rPr/>
      </w:pPr>
      <w:r>
        <w:rPr/>
      </w:r>
    </w:p>
    <w:p>
      <w:pPr>
        <w:pStyle w:val="Normal"/>
        <w:ind w:left="0" w:hanging="0"/>
        <w:jc w:val="right"/>
        <w:rPr/>
      </w:pPr>
      <w:r>
        <w:rPr/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Публичное акционерное общество энергетики и электрификации «Камчатскэнерго» 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683000, Камчатский край г. Петропавловск-Камчатский, ул. Набережная, 10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jc w:val="center"/>
        <w:rPr>
          <w:b/>
          <w:b/>
          <w:bCs/>
          <w:sz w:val="22"/>
          <w:szCs w:val="22"/>
        </w:rPr>
      </w:pPr>
      <w:r>
        <w:rPr>
          <w:sz w:val="26"/>
          <w:szCs w:val="26"/>
        </w:rPr>
        <w:t xml:space="preserve">Форма </w:t>
      </w:r>
    </w:p>
    <w:p>
      <w:pPr>
        <w:pStyle w:val="Normal"/>
        <w:ind w:left="0" w:hanging="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>«Акт выполненных работ (приема-передачи электрической энергии)</w:t>
      </w:r>
      <w:r>
        <w:rPr>
          <w:sz w:val="26"/>
          <w:szCs w:val="26"/>
        </w:rPr>
        <w:t>»</w:t>
      </w:r>
    </w:p>
    <w:p>
      <w:pPr>
        <w:pStyle w:val="Normal"/>
        <w:ind w:left="0" w:hanging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0" w:hanging="0"/>
        <w:rPr>
          <w:sz w:val="26"/>
          <w:szCs w:val="26"/>
        </w:rPr>
      </w:pPr>
      <w:r>
        <w:rPr>
          <w:sz w:val="26"/>
          <w:szCs w:val="26"/>
        </w:rPr>
        <w:t>ИНН                                 КПП</w:t>
      </w:r>
    </w:p>
    <w:tbl>
      <w:tblPr>
        <w:tblW w:w="16368" w:type="dxa"/>
        <w:jc w:val="left"/>
        <w:tblInd w:w="93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865"/>
        <w:gridCol w:w="1410"/>
        <w:gridCol w:w="1160"/>
        <w:gridCol w:w="100"/>
        <w:gridCol w:w="1161"/>
        <w:gridCol w:w="584"/>
        <w:gridCol w:w="802"/>
        <w:gridCol w:w="717"/>
        <w:gridCol w:w="1429"/>
        <w:gridCol w:w="425"/>
        <w:gridCol w:w="724"/>
        <w:gridCol w:w="1"/>
        <w:gridCol w:w="477"/>
        <w:gridCol w:w="1"/>
        <w:gridCol w:w="234"/>
        <w:gridCol w:w="2"/>
        <w:gridCol w:w="974"/>
        <w:gridCol w:w="2"/>
        <w:gridCol w:w="604"/>
        <w:gridCol w:w="1"/>
        <w:gridCol w:w="1504"/>
        <w:gridCol w:w="243"/>
        <w:gridCol w:w="820"/>
        <w:gridCol w:w="389"/>
        <w:gridCol w:w="369"/>
        <w:gridCol w:w="370"/>
      </w:tblGrid>
      <w:tr>
        <w:trPr>
          <w:trHeight w:val="330" w:hRule="exact"/>
        </w:trPr>
        <w:tc>
          <w:tcPr>
            <w:tcW w:w="1865" w:type="dxa"/>
            <w:tcBorders/>
            <w:shd w:fill="auto" w:val="clear"/>
            <w:vAlign w:val="bottom"/>
          </w:tcPr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70" w:type="dxa"/>
            <w:gridSpan w:val="3"/>
            <w:tcBorders/>
            <w:shd w:fill="auto" w:val="clear"/>
            <w:vAlign w:val="bottom"/>
          </w:tcPr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61" w:type="dxa"/>
            <w:tcBorders/>
            <w:shd w:fill="auto" w:val="clear"/>
            <w:vAlign w:val="bottom"/>
          </w:tcPr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86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71" w:type="dxa"/>
            <w:gridSpan w:val="3"/>
            <w:tcBorders/>
            <w:shd w:fill="auto" w:val="clear"/>
            <w:vAlign w:val="bottom"/>
          </w:tcPr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24" w:type="dxa"/>
            <w:tcBorders/>
            <w:shd w:fill="auto" w:val="clear"/>
            <w:vAlign w:val="bottom"/>
          </w:tcPr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8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5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76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06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5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3" w:type="dxa"/>
            <w:tcBorders/>
            <w:shd w:fill="auto" w:val="clear"/>
            <w:vAlign w:val="bottom"/>
          </w:tcPr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0" w:type="dxa"/>
            <w:tcBorders/>
            <w:shd w:fill="auto" w:val="clear"/>
            <w:vAlign w:val="bottom"/>
          </w:tcPr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9" w:type="dxa"/>
            <w:tcBorders/>
            <w:shd w:fill="auto" w:val="clear"/>
            <w:vAlign w:val="bottom"/>
          </w:tcPr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9" w:type="dxa"/>
            <w:tcBorders/>
            <w:shd w:fill="auto" w:val="clear"/>
            <w:vAlign w:val="bottom"/>
          </w:tcPr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0" w:type="dxa"/>
            <w:tcBorders/>
            <w:shd w:fill="auto" w:val="clear"/>
            <w:vAlign w:val="bottom"/>
          </w:tcPr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735" w:hRule="atLeast"/>
        </w:trPr>
        <w:tc>
          <w:tcPr>
            <w:tcW w:w="32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Наименование услуг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Ед. изм</w:t>
            </w:r>
          </w:p>
        </w:tc>
        <w:tc>
          <w:tcPr>
            <w:tcW w:w="1845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Кол-во</w:t>
            </w:r>
          </w:p>
        </w:tc>
        <w:tc>
          <w:tcPr>
            <w:tcW w:w="151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Цена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Сумма</w:t>
            </w:r>
          </w:p>
          <w:p>
            <w:pPr>
              <w:pStyle w:val="Normal"/>
              <w:ind w:left="0" w:hanging="0"/>
              <w:jc w:val="center"/>
              <w:rPr/>
            </w:pPr>
            <w:r>
              <w:rPr/>
              <w:t>(без налогов)</w:t>
            </w:r>
          </w:p>
        </w:tc>
        <w:tc>
          <w:tcPr>
            <w:tcW w:w="42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5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78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05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04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3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20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89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69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0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75" w:hRule="atLeast"/>
        </w:trPr>
        <w:tc>
          <w:tcPr>
            <w:tcW w:w="32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0" w:hanging="0"/>
              <w:rPr/>
            </w:pPr>
            <w:r>
              <w:rPr/>
              <w:t>Электроэнергия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кВт. ч</w:t>
            </w:r>
          </w:p>
        </w:tc>
        <w:tc>
          <w:tcPr>
            <w:tcW w:w="1845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1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2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2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5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78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05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04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3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20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89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69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0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tabs>
          <w:tab w:val="left" w:pos="3495" w:leader="none"/>
        </w:tabs>
        <w:ind w:left="0" w:hanging="0"/>
        <w:rPr>
          <w:b/>
          <w:b/>
        </w:rPr>
      </w:pPr>
      <w:r>
        <w:rPr>
          <w:b/>
        </w:rPr>
      </w:r>
    </w:p>
    <w:p>
      <w:pPr>
        <w:pStyle w:val="Normal"/>
        <w:tabs>
          <w:tab w:val="left" w:pos="3495" w:leader="none"/>
        </w:tabs>
        <w:ind w:left="0" w:hanging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</w:t>
      </w:r>
      <w:r>
        <w:rPr>
          <w:sz w:val="26"/>
          <w:szCs w:val="26"/>
        </w:rPr>
        <w:t>ИТОГО:                                                      НДС</w:t>
      </w:r>
    </w:p>
    <w:p>
      <w:pPr>
        <w:pStyle w:val="Normal"/>
        <w:tabs>
          <w:tab w:val="left" w:pos="3495" w:leader="none"/>
        </w:tabs>
        <w:ind w:left="0" w:hanging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</w:t>
      </w:r>
      <w:r>
        <w:rPr>
          <w:sz w:val="26"/>
          <w:szCs w:val="26"/>
        </w:rPr>
        <w:t>Всего с учетом НДС:</w:t>
      </w:r>
    </w:p>
    <w:p>
      <w:pPr>
        <w:pStyle w:val="Normal"/>
        <w:ind w:left="0" w:hanging="0"/>
        <w:rPr>
          <w:sz w:val="24"/>
          <w:szCs w:val="24"/>
        </w:rPr>
      </w:pPr>
      <w:r>
        <w:rPr>
          <w:sz w:val="24"/>
          <w:szCs w:val="24"/>
        </w:rPr>
        <w:t>оказано услуг на сумму:</w:t>
      </w:r>
    </w:p>
    <w:p>
      <w:pPr>
        <w:pStyle w:val="Normal"/>
        <w:ind w:left="0" w:hanging="0"/>
        <w:rPr>
          <w:b/>
          <w:b/>
        </w:rPr>
      </w:pPr>
      <w:r>
        <w:rPr>
          <w:b/>
        </w:rPr>
      </w:r>
    </w:p>
    <w:p>
      <w:pPr>
        <w:pStyle w:val="Normal"/>
        <w:ind w:left="0" w:hanging="0"/>
        <w:rPr>
          <w:sz w:val="24"/>
          <w:szCs w:val="24"/>
        </w:rPr>
      </w:pPr>
      <w:r>
        <w:rPr>
          <w:sz w:val="24"/>
          <w:szCs w:val="24"/>
        </w:rPr>
        <w:t>Перечисленные услуги выполнены полностью и в срок. Потребитель не имеет претензий по объему и качеству оказанных услуг.</w:t>
      </w:r>
    </w:p>
    <w:p>
      <w:pPr>
        <w:pStyle w:val="Normal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pPr w:bottomFromText="0" w:horzAnchor="margin" w:leftFromText="180" w:rightFromText="180" w:tblpX="0" w:tblpY="293" w:topFromText="0" w:vertAnchor="text"/>
        <w:tblW w:w="9660" w:type="dxa"/>
        <w:jc w:val="left"/>
        <w:tblInd w:w="10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830"/>
        <w:gridCol w:w="4829"/>
      </w:tblGrid>
      <w:tr>
        <w:trPr/>
        <w:tc>
          <w:tcPr>
            <w:tcW w:w="4830" w:type="dxa"/>
            <w:tcBorders/>
            <w:shd w:fill="auto" w:val="clear"/>
          </w:tcPr>
          <w:p>
            <w:pPr>
              <w:pStyle w:val="Normal"/>
              <w:ind w:left="0" w:hanging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Гарантирующий поставщик</w:t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jc w:val="center"/>
              <w:outlineLvl w:val="1"/>
              <w:rPr>
                <w:rFonts w:eastAsia="Arial Unicode MS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Потребитель</w:t>
            </w:r>
          </w:p>
        </w:tc>
      </w:tr>
      <w:tr>
        <w:trPr/>
        <w:tc>
          <w:tcPr>
            <w:tcW w:w="4830" w:type="dxa"/>
            <w:tcBorders/>
            <w:shd w:fill="auto" w:val="clear"/>
          </w:tcPr>
          <w:p>
            <w:pPr>
              <w:pStyle w:val="Normal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830" w:type="dxa"/>
            <w:tcBorders/>
            <w:shd w:fill="auto" w:val="clear"/>
          </w:tcPr>
          <w:p>
            <w:pPr>
              <w:pStyle w:val="Normal"/>
              <w:ind w:left="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tabs>
                <w:tab w:val="left" w:pos="708" w:leader="none"/>
                <w:tab w:val="center" w:pos="4153" w:leader="none"/>
                <w:tab w:val="right" w:pos="8306" w:leader="none"/>
              </w:tabs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830" w:type="dxa"/>
            <w:tcBorders/>
            <w:shd w:fill="auto" w:val="clear"/>
          </w:tcPr>
          <w:p>
            <w:pPr>
              <w:pStyle w:val="Normal"/>
              <w:ind w:left="0" w:hanging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______________________  </w:t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ind w:left="0" w:hanging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</w:t>
            </w:r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</w:tbl>
    <w:p>
      <w:pPr>
        <w:pStyle w:val="Normal"/>
        <w:ind w:left="0" w:hanging="0"/>
        <w:jc w:val="center"/>
        <w:rPr/>
      </w:pPr>
      <w:r>
        <w:rPr/>
      </w:r>
    </w:p>
    <w:p>
      <w:pPr>
        <w:pStyle w:val="Normal"/>
        <w:ind w:left="0" w:hanging="0"/>
        <w:rPr/>
      </w:pPr>
      <w:r>
        <w:rPr>
          <w:b/>
        </w:rPr>
        <w:t xml:space="preserve">                        </w:t>
      </w:r>
      <w:r>
        <w:rPr>
          <w:b/>
        </w:rPr>
        <w:t>М.п.                                                                                        М.п.</w:t>
      </w:r>
    </w:p>
    <w:p>
      <w:pPr>
        <w:pStyle w:val="Normal"/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Форма </w:t>
      </w:r>
      <w:r>
        <w:rPr>
          <w:bCs/>
          <w:sz w:val="22"/>
          <w:szCs w:val="22"/>
        </w:rPr>
        <w:t>«Акт выполненных работ (приема-передачи электрической энергии)</w:t>
      </w:r>
      <w:r>
        <w:rPr>
          <w:sz w:val="26"/>
          <w:szCs w:val="26"/>
        </w:rPr>
        <w:t xml:space="preserve">» </w:t>
      </w:r>
      <w:r>
        <w:rPr>
          <w:sz w:val="24"/>
          <w:szCs w:val="24"/>
        </w:rPr>
        <w:t>согласована.</w:t>
      </w:r>
    </w:p>
    <w:p>
      <w:pPr>
        <w:pStyle w:val="Normal"/>
        <w:tabs>
          <w:tab w:val="left" w:pos="9180" w:leader="none"/>
          <w:tab w:val="left" w:pos="9540" w:leader="none"/>
        </w:tabs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9180" w:leader="none"/>
          <w:tab w:val="left" w:pos="9540" w:leader="none"/>
        </w:tabs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pPr w:bottomFromText="0" w:horzAnchor="margin" w:leftFromText="180" w:rightFromText="180" w:tblpX="75" w:tblpY="293" w:topFromText="0" w:vertAnchor="text"/>
        <w:tblW w:w="9473" w:type="dxa"/>
        <w:jc w:val="left"/>
        <w:tblInd w:w="10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643"/>
        <w:gridCol w:w="4829"/>
      </w:tblGrid>
      <w:tr>
        <w:trPr>
          <w:trHeight w:val="178" w:hRule="atLeast"/>
        </w:trPr>
        <w:tc>
          <w:tcPr>
            <w:tcW w:w="4643" w:type="dxa"/>
            <w:tcBorders/>
            <w:shd w:fill="auto" w:val="clear"/>
          </w:tcPr>
          <w:p>
            <w:pPr>
              <w:pStyle w:val="Normal"/>
              <w:ind w:left="0" w:hanging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Гарантирующий поставщик</w:t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1"/>
              <w:rPr>
                <w:rFonts w:eastAsia="Arial Unicode MS"/>
                <w:b/>
                <w:b/>
                <w:sz w:val="24"/>
                <w:szCs w:val="24"/>
              </w:rPr>
            </w:pPr>
            <w:r>
              <w:rPr>
                <w:rFonts w:eastAsia="Arial Unicode MS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al Unicode MS"/>
                <w:b/>
                <w:sz w:val="24"/>
                <w:szCs w:val="24"/>
              </w:rPr>
              <w:t>Потребитель</w:t>
            </w:r>
          </w:p>
        </w:tc>
      </w:tr>
      <w:tr>
        <w:trPr/>
        <w:tc>
          <w:tcPr>
            <w:tcW w:w="4643" w:type="dxa"/>
            <w:tcBorders/>
            <w:shd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34" w:hRule="atLeast"/>
        </w:trPr>
        <w:tc>
          <w:tcPr>
            <w:tcW w:w="4643" w:type="dxa"/>
            <w:tcBorders/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tabs>
                <w:tab w:val="left" w:pos="708" w:leader="none"/>
                <w:tab w:val="center" w:pos="4153" w:leader="none"/>
                <w:tab w:val="right" w:pos="830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643" w:type="dxa"/>
            <w:tcBorders/>
            <w:shd w:fill="auto" w:val="clear"/>
          </w:tcPr>
          <w:p>
            <w:pPr>
              <w:pStyle w:val="Normal"/>
              <w:ind w:left="0" w:hanging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___________________  А.А. Дмитриева</w:t>
            </w:r>
            <w:r>
              <w:rPr>
                <w:bCs/>
                <w:sz w:val="24"/>
                <w:szCs w:val="24"/>
              </w:rPr>
              <w:t xml:space="preserve">          </w:t>
            </w:r>
          </w:p>
          <w:p>
            <w:pPr>
              <w:pStyle w:val="Normal"/>
              <w:ind w:left="0" w:hanging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М.п.</w:t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ind w:left="0" w:hanging="0"/>
              <w:rPr/>
            </w:pPr>
            <w:r>
              <w:rPr>
                <w:sz w:val="24"/>
                <w:szCs w:val="24"/>
              </w:rPr>
              <w:t>_______________</w:t>
            </w:r>
          </w:p>
          <w:p>
            <w:pPr>
              <w:pStyle w:val="Normal"/>
              <w:ind w:left="0" w:hanging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FF"/>
                <w:sz w:val="24"/>
                <w:szCs w:val="24"/>
              </w:rPr>
              <w:t>М.п.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ind w:left="0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footerReference w:type="default" r:id="rId7"/>
          <w:type w:val="nextPage"/>
          <w:pgSz w:w="11906" w:h="16838"/>
          <w:pgMar w:left="1418" w:right="851" w:header="0" w:top="907" w:footer="720" w:bottom="851" w:gutter="0"/>
          <w:pgNumType w:fmt="decimal"/>
          <w:formProt w:val="false"/>
          <w:textDirection w:val="lrTb"/>
          <w:docGrid w:type="default" w:linePitch="249" w:charSpace="2047"/>
        </w:sectPr>
        <w:pStyle w:val="Normal"/>
        <w:tabs>
          <w:tab w:val="left" w:pos="1302" w:leader="none"/>
        </w:tabs>
        <w:ind w:left="0" w:hanging="0"/>
        <w:jc w:val="left"/>
        <w:rPr/>
      </w:pPr>
      <w:r>
        <w:rPr/>
        <w:t>Исполнитель________________</w:t>
      </w:r>
    </w:p>
    <w:p>
      <w:pPr>
        <w:pStyle w:val="Normal"/>
        <w:ind w:left="0" w:right="-3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Приложение № 9</w:t>
      </w:r>
    </w:p>
    <w:p>
      <w:pPr>
        <w:pStyle w:val="Normal"/>
        <w:ind w:left="9072" w:hanging="907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договору энергоснабжения </w:t>
      </w:r>
    </w:p>
    <w:p>
      <w:pPr>
        <w:pStyle w:val="Normal"/>
        <w:ind w:left="0" w:hanging="0"/>
        <w:jc w:val="right"/>
        <w:rPr/>
      </w:pPr>
      <w:r>
        <w:rPr>
          <w:rStyle w:val="12"/>
        </w:rPr>
        <w:t>№ </w:t>
      </w:r>
      <w:r>
        <w:rPr>
          <w:rStyle w:val="12"/>
        </w:rPr>
        <w:t>____________</w:t>
      </w:r>
      <w:r>
        <w:rPr>
          <w:rStyle w:val="12"/>
        </w:rPr>
        <w:t>-</w:t>
      </w:r>
      <w:r>
        <w:rPr>
          <w:rStyle w:val="12"/>
        </w:rPr>
        <w:t xml:space="preserve"> от _________________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keepNext w:val="true"/>
        <w:numPr>
          <w:ilvl w:val="0"/>
          <w:numId w:val="0"/>
        </w:numPr>
        <w:ind w:left="357" w:right="424" w:firstLine="357"/>
        <w:jc w:val="center"/>
        <w:outlineLvl w:val="2"/>
        <w:rPr>
          <w:iCs/>
          <w:sz w:val="26"/>
          <w:szCs w:val="26"/>
        </w:rPr>
      </w:pPr>
      <w:r>
        <w:rPr>
          <w:iCs/>
          <w:sz w:val="26"/>
          <w:szCs w:val="26"/>
        </w:rPr>
        <w:t>Список лиц, ответственных за электрохозяйство, эксплуатацию ПУ, имеющих право ведения оперативных переговоров, получения и принятия, подписания документов: в том числе, но без ограничения: счетов, актов сверки, претензий</w:t>
      </w:r>
    </w:p>
    <w:p>
      <w:pPr>
        <w:pStyle w:val="Normal"/>
        <w:keepNext w:val="true"/>
        <w:numPr>
          <w:ilvl w:val="0"/>
          <w:numId w:val="0"/>
        </w:numPr>
        <w:ind w:left="0" w:right="424" w:hanging="0"/>
        <w:outlineLvl w:val="2"/>
        <w:rPr>
          <w:sz w:val="24"/>
          <w:szCs w:val="24"/>
        </w:rPr>
      </w:pPr>
      <w:r>
        <w:rPr>
          <w:sz w:val="24"/>
          <w:szCs w:val="24"/>
        </w:rPr>
        <w:t>Гарантирующий поставщик</w:t>
      </w:r>
    </w:p>
    <w:tbl>
      <w:tblPr>
        <w:tblW w:w="10207" w:type="dxa"/>
        <w:jc w:val="left"/>
        <w:tblInd w:w="-43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25"/>
        <w:gridCol w:w="4424"/>
        <w:gridCol w:w="5358"/>
      </w:tblGrid>
      <w:tr>
        <w:trPr>
          <w:trHeight w:val="470" w:hRule="atLeast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99"/>
              <w:jc w:val="center"/>
              <w:outlineLvl w:val="3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99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Приемная телефон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4" w:hanging="20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8(415 2) 49-09-00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Приемная факс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4" w:hanging="20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8(415 2) 49-04-84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Инженер по договорам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4" w:hanging="20"/>
              <w:jc w:val="center"/>
              <w:outlineLvl w:val="3"/>
              <w:rPr>
                <w:sz w:val="22"/>
                <w:szCs w:val="22"/>
              </w:rPr>
            </w:pPr>
            <w:bookmarkStart w:id="44" w:name="_GoBack"/>
            <w:bookmarkStart w:id="45" w:name="_GoBack"/>
            <w:bookmarkEnd w:id="45"/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020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120" w:after="120"/>
              <w:ind w:left="357" w:hanging="20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Сетевые организации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филиал ПАО «Камчатскэнерго» Центральные электрические сети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ind w:left="0" w:hanging="0"/>
              <w:contextualSpacing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Горячая линия:  8 (800) 234-29-39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ind w:left="34" w:hanging="2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Сахалинская, 28 г. Петропавловск-Камчатский;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ind w:left="34" w:hanging="2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Амурская, д. 5, г. Петропавловск-Камчатский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ind w:left="0" w:hanging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АО «Оборонэнерго»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ind w:left="0" w:hanging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8(415 2) 42-05-57, 8(415 2) 42-07-10, 8(415 2) 42-07-14</w:t>
            </w:r>
          </w:p>
          <w:p>
            <w:pPr>
              <w:pStyle w:val="Normal"/>
              <w:spacing w:before="0" w:after="0"/>
              <w:ind w:left="0" w:hanging="0"/>
              <w:contextualSpacing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ул. Морская, д. 5, г. Петропавловск-Камчатский</w:t>
            </w:r>
          </w:p>
        </w:tc>
      </w:tr>
    </w:tbl>
    <w:p>
      <w:pPr>
        <w:pStyle w:val="Normal"/>
        <w:ind w:left="357" w:hanging="49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357" w:hanging="499"/>
        <w:rPr>
          <w:sz w:val="24"/>
          <w:szCs w:val="24"/>
        </w:rPr>
      </w:pPr>
      <w:r>
        <w:rPr>
          <w:sz w:val="24"/>
          <w:szCs w:val="24"/>
        </w:rPr>
        <w:t>Потребитель</w:t>
      </w:r>
    </w:p>
    <w:p>
      <w:pPr>
        <w:pStyle w:val="Normal"/>
        <w:ind w:left="357" w:hanging="499"/>
        <w:rPr>
          <w:sz w:val="24"/>
          <w:szCs w:val="24"/>
        </w:rPr>
      </w:pPr>
      <w:r>
        <w:rPr>
          <w:sz w:val="24"/>
          <w:szCs w:val="24"/>
        </w:rPr>
        <w:t>(При необходимости дополнить)</w:t>
      </w:r>
    </w:p>
    <w:tbl>
      <w:tblPr>
        <w:tblW w:w="10207" w:type="dxa"/>
        <w:jc w:val="left"/>
        <w:tblInd w:w="-43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08"/>
        <w:gridCol w:w="4383"/>
        <w:gridCol w:w="5416"/>
      </w:tblGrid>
      <w:tr>
        <w:trPr>
          <w:trHeight w:val="299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99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99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ФИО/ № телефона</w:t>
            </w:r>
          </w:p>
        </w:tc>
      </w:tr>
      <w:tr>
        <w:trPr>
          <w:trHeight w:val="299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99"/>
              <w:outlineLvl w:val="3"/>
              <w:rPr/>
            </w:pPr>
            <w:r>
              <w:rPr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5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99"/>
              <w:outlineLvl w:val="0"/>
              <w:rPr/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>
        <w:trPr>
          <w:trHeight w:val="656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Ответственный за электрохозяйство</w:t>
            </w:r>
          </w:p>
        </w:tc>
        <w:tc>
          <w:tcPr>
            <w:tcW w:w="5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707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Ответственный</w:t>
            </w:r>
            <w:r>
              <w:rPr>
                <w:sz w:val="22"/>
                <w:szCs w:val="22"/>
              </w:rPr>
              <w:t xml:space="preserve"> за </w:t>
            </w:r>
            <w:r>
              <w:rPr>
                <w:iCs/>
                <w:sz w:val="22"/>
                <w:szCs w:val="22"/>
              </w:rPr>
              <w:t>эксплуатацию ПУ</w:t>
            </w:r>
          </w:p>
        </w:tc>
        <w:tc>
          <w:tcPr>
            <w:tcW w:w="5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99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Ответственный за право ведения оперативных переговоров, получения и принятия, подписания документов</w:t>
            </w:r>
          </w:p>
        </w:tc>
        <w:tc>
          <w:tcPr>
            <w:tcW w:w="5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99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ind w:left="0" w:hanging="0"/>
              <w:rPr>
                <w:sz w:val="24"/>
                <w:szCs w:val="24"/>
              </w:rPr>
            </w:pPr>
            <w:r>
              <w:rPr>
                <w:bCs/>
              </w:rPr>
              <w:t>Номер мобильного телефона для направления уведомления о введении ограничения режима потребления электрической энергии</w:t>
            </w:r>
          </w:p>
        </w:tc>
        <w:tc>
          <w:tcPr>
            <w:tcW w:w="5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ind w:left="0" w:hanging="0"/>
              <w:rPr/>
            </w:pPr>
            <w:r>
              <w:rPr>
                <w:bCs/>
              </w:rPr>
              <w:t xml:space="preserve"> 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99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4"/>
                <w:szCs w:val="24"/>
              </w:rPr>
            </w:pPr>
            <w:r>
              <w:rPr>
                <w:bCs/>
              </w:rPr>
              <w:t>Адрес электронной почты для направления уведомления о введении ограничения режима потребления электрической энергии:</w:t>
            </w:r>
          </w:p>
        </w:tc>
        <w:tc>
          <w:tcPr>
            <w:tcW w:w="5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ind w:left="0" w:hanging="0"/>
              <w:rPr/>
            </w:pPr>
            <w:r>
              <w:rPr>
                <w:bCs/>
              </w:rPr>
              <w:t xml:space="preserve"> </w:t>
            </w:r>
          </w:p>
          <w:p>
            <w:pPr>
              <w:pStyle w:val="Normal"/>
              <w:suppressAutoHyphens w:val="true"/>
              <w:ind w:left="0" w:hanging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</w:tr>
      <w:tr>
        <w:trPr>
          <w:trHeight w:val="299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4"/>
                <w:szCs w:val="24"/>
              </w:rPr>
            </w:pPr>
            <w:r>
              <w:rPr>
                <w:bCs/>
              </w:rPr>
              <w:t xml:space="preserve">Адрес электронной почты для направления </w:t>
            </w:r>
            <w:r>
              <w:rPr>
                <w:bCs/>
                <w:sz w:val="21"/>
                <w:szCs w:val="21"/>
              </w:rPr>
              <w:t>платежных документов и иной переписки</w:t>
            </w:r>
            <w:r>
              <w:rPr>
                <w:bCs/>
              </w:rPr>
              <w:t>:</w:t>
            </w:r>
          </w:p>
        </w:tc>
        <w:tc>
          <w:tcPr>
            <w:tcW w:w="5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ind w:left="0" w:hanging="0"/>
              <w:rPr/>
            </w:pPr>
            <w:r>
              <w:rPr/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>
          <w:sz w:val="22"/>
          <w:szCs w:val="22"/>
        </w:rPr>
        <w:t>Сетевые организации</w:t>
      </w:r>
    </w:p>
    <w:tbl>
      <w:tblPr>
        <w:tblW w:w="10207" w:type="dxa"/>
        <w:jc w:val="left"/>
        <w:tblInd w:w="-43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25"/>
        <w:gridCol w:w="4424"/>
        <w:gridCol w:w="5358"/>
      </w:tblGrid>
      <w:tr>
        <w:trPr/>
        <w:tc>
          <w:tcPr>
            <w:tcW w:w="1020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outlineLvl w:val="3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ind w:left="0" w:righ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филиал ПАО «Камчатскэнерго» Центральные электрические сети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Горячая линия:  8 (800) 234-29-39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bidi w:val="0"/>
              <w:ind w:left="0" w:right="0" w:hanging="0"/>
              <w:jc w:val="left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ул. Сахалинская, 28 г. Петропавловск-Камчатский;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bidi w:val="0"/>
              <w:ind w:left="0" w:right="0" w:hanging="0"/>
              <w:jc w:val="left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ул. Амурская, д. 5, г. Петропавловск-Камчатский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ind w:left="0" w:righ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АО «Оборонэнерго»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3"/>
              <w:bidi w:val="0"/>
              <w:spacing w:before="0" w:after="0"/>
              <w:ind w:left="0" w:righ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A"/>
                <w:spacing w:val="0"/>
                <w:sz w:val="22"/>
                <w:szCs w:val="22"/>
                <w:lang w:eastAsia="ru-RU"/>
              </w:rPr>
              <w:t xml:space="preserve">8 800 222 32 20; 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ул. Морская, д. 5, </w:t>
            </w:r>
          </w:p>
          <w:p>
            <w:pPr>
              <w:pStyle w:val="3"/>
              <w:bidi w:val="0"/>
              <w:spacing w:before="0" w:after="0"/>
              <w:ind w:left="0" w:righ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г. Петропавловск-Камчатский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ind w:left="0" w:righ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 "РСО "Силуэт"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434343"/>
                <w:spacing w:val="0"/>
                <w:sz w:val="22"/>
                <w:szCs w:val="22"/>
                <w:lang w:eastAsia="ru-RU"/>
              </w:rPr>
              <w:t xml:space="preserve">+7 (963) 831-61-41; +7 (963) 830-14-14;  +7 (4152) 31-61-41 </w:t>
            </w:r>
            <w:hyperlink r:id="rId8">
              <w:r>
                <w:rPr>
                  <w:rStyle w:val="Strong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https://rsosiluet.ru/</w:t>
              </w:r>
            </w:hyperlink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ул. Бохняка 18, поз 101 (3 этаж) г. Петропавловск-Камчатский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ind w:left="0" w:righ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АО "ТЭСК"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8 (4152) 30-55-60, </w:t>
            </w:r>
            <w:hyperlink r:id="rId9">
              <w:r>
                <w:rPr>
                  <w:rStyle w:val="Style9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ttps://tesk</w:t>
              </w:r>
            </w:hyperlink>
            <w:hyperlink r:id="rId10">
              <w:r>
                <w:rPr>
                  <w:rStyle w:val="Style9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</w:t>
              </w:r>
            </w:hyperlink>
            <w:hyperlink r:id="rId11">
              <w:r>
                <w:rPr>
                  <w:rStyle w:val="Style9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pk.ru/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г. Петропавловск-Камчатский, ул. Владивостокская, д. 29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ind w:left="0" w:righ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 "41 Электрическая сеть"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8 800 700 47 11, </w:t>
            </w:r>
            <w:hyperlink r:id="rId12">
              <w:r>
                <w:rPr>
                  <w:rStyle w:val="Style9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https://41-es.ru/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Камчатский край, пгт. Вулканный, ул. Центральная, д. 1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ind w:left="0" w:righ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"Алеир"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>+7 (4152) 308 -688,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</w:t>
            </w:r>
            <w:hyperlink r:id="rId13">
              <w:r>
                <w:rPr>
                  <w:rStyle w:val="Style9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https://aleir-kamchatka.ru/</w:t>
              </w:r>
            </w:hyperlink>
          </w:p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>Проспект Победы 107 г. Петропавловск-Камчатский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ind w:left="0" w:righ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 "Петропавловск-Камчатский морской торговый порт"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EAEAEA" w:val="clear"/>
                <w:lang w:eastAsia="ru-RU"/>
              </w:rPr>
              <w:t>+7 (4152) 43-41-00, факс: +7 (4152) 43-44-19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(4152) 43-46-15 / 31-00-01, </w:t>
            </w:r>
            <w:hyperlink r:id="rId14">
              <w:r>
                <w:rPr>
                  <w:rStyle w:val="Style9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http://port.kamchatka.ru/</w:t>
              </w:r>
            </w:hyperlink>
          </w:p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г. Петропавловск-Камчатский, пл. Г. И. Щедрина, д. 2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ind w:left="0" w:righ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"28- Электросеть"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(41531) 6-16-78 Оперативный тлф: 8-914-027-5521 </w:t>
            </w:r>
            <w:hyperlink r:id="rId15">
              <w:r>
                <w:rPr>
                  <w:rStyle w:val="Style9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http://28elset.ru/about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684000, Российская Федерация, Камчатский край, Елизовский район, г. Елизово, ул. Магистральная, 2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ind w:left="0" w:righ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"Терминал "Сероглазка""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hyperlink r:id="rId16">
              <w:r>
                <w:rPr>
                  <w:rStyle w:val="Style9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highlight w:val="white"/>
                  <w:lang w:eastAsia="ru-RU"/>
                </w:rPr>
                <w:t>+7 (4152) 466-682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,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 xml:space="preserve"> </w:t>
            </w:r>
            <w:hyperlink r:id="rId17">
              <w:r>
                <w:rPr>
                  <w:rStyle w:val="Style9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http://seroglazka.com/</w:t>
              </w:r>
            </w:hyperlink>
          </w:p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 xml:space="preserve">г. Петропавловск-Камчатский, улица Мишенная, 131 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ind w:left="0" w:righ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"МК Транс"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2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eastAsia="ru-RU"/>
              </w:rPr>
              <w:t xml:space="preserve">+7 4152 252 055, </w:t>
            </w:r>
            <w:hyperlink r:id="rId18">
              <w:r>
                <w:rPr>
                  <w:rStyle w:val="Style9"/>
                  <w:rFonts w:eastAsia="Times New Roman" w:cs="Times New Roman"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color w:val="000000"/>
                  <w:spacing w:val="0"/>
                  <w:sz w:val="22"/>
                  <w:szCs w:val="22"/>
                  <w:lang w:eastAsia="ru-RU"/>
                </w:rPr>
                <w:t>https://mktranskam.ru/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eastAsia="ru-RU"/>
              </w:rPr>
              <w:t>, 683031, Камчатский край, г Петропавловск-Камчатский, пр-кт Карла Маркса, д 29/1, офис 205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ind w:left="0" w:righ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ООО «Камчатская энергетическая компания»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ind w:left="0" w:right="0"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+7 (800) 234-79-17, </w:t>
            </w:r>
            <w:hyperlink r:id="rId19">
              <w:r>
                <w:rPr>
                  <w:rStyle w:val="Style9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https://kek41.ru/</w:t>
              </w:r>
            </w:hyperlink>
          </w:p>
          <w:p>
            <w:pPr>
              <w:pStyle w:val="Normal"/>
              <w:bidi w:val="0"/>
              <w:ind w:left="0" w:righ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683031, Камчатский край, г. Петропавловск-Камчатский, пр. Карла Маркса, д. 11А, пом. 3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ind w:left="0" w:righ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"ОКЕАН-ГАЗ"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spacing w:lineRule="auto" w:line="240"/>
              <w:ind w:left="0" w:right="0"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2"/>
                <w:szCs w:val="22"/>
                <w:lang w:eastAsia="ru-RU"/>
              </w:rPr>
              <w:t xml:space="preserve">+7 (4152) 42-06-01, +7(914) 628 51 44, +7(4152) 21 56 70, </w:t>
            </w:r>
            <w:hyperlink r:id="rId20">
              <w:r>
                <w:rPr>
                  <w:rStyle w:val="Style9"/>
                  <w:rFonts w:eastAsia="Times New Roman" w:cs="Times New Roman" w:ascii="Times New Roman" w:hAnsi="Times New Roman"/>
                  <w:b w:val="false"/>
                  <w:bCs w:val="false"/>
                  <w:color w:val="00000A"/>
                  <w:sz w:val="22"/>
                  <w:szCs w:val="22"/>
                  <w:lang w:eastAsia="ru-RU"/>
                </w:rPr>
                <w:t>https://oceangas.ru/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2"/>
                <w:szCs w:val="22"/>
                <w:lang w:eastAsia="ru-RU"/>
              </w:rPr>
              <w:t>,</w:t>
            </w:r>
          </w:p>
          <w:p>
            <w:pPr>
              <w:pStyle w:val="3"/>
              <w:bidi w:val="0"/>
              <w:spacing w:lineRule="auto" w:line="240"/>
              <w:ind w:left="0" w:righ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A"/>
                <w:spacing w:val="0"/>
                <w:sz w:val="22"/>
                <w:szCs w:val="22"/>
                <w:lang w:eastAsia="ru-RU"/>
              </w:rPr>
              <w:t>Юридический адрес для отправки корреспонденции: 683009, Камчатский край, г. Петропавловск-Камчатский,  ул. Академика Королева, д. 35, кв. 25</w:t>
            </w:r>
          </w:p>
          <w:p>
            <w:pPr>
              <w:pStyle w:val="3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A"/>
                <w:spacing w:val="0"/>
                <w:sz w:val="22"/>
                <w:szCs w:val="22"/>
                <w:lang w:eastAsia="ru-RU"/>
              </w:rPr>
              <w:t>Фактический адрес для приема посетителей:</w:t>
            </w:r>
          </w:p>
          <w:p>
            <w:pPr>
              <w:pStyle w:val="Style15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A"/>
                <w:spacing w:val="0"/>
                <w:sz w:val="22"/>
                <w:szCs w:val="22"/>
                <w:lang w:eastAsia="ru-RU"/>
              </w:rPr>
              <w:t>г. Петропавловск-Камчатский, ул. Бохняка, д. 3, кв. первый этаж, вход со двора по центру здания (пластиковый модуль)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ind w:left="0" w:righ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"Марлин"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2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+7 (4152) 42-02-09, </w:t>
            </w:r>
            <w:hyperlink r:id="rId21">
              <w:r>
                <w:rPr>
                  <w:rStyle w:val="Style9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http://intarsia.nethouse.ru</w:t>
              </w:r>
            </w:hyperlink>
          </w:p>
          <w:p>
            <w:pPr>
              <w:pStyle w:val="2"/>
              <w:bidi w:val="0"/>
              <w:spacing w:before="0" w:after="0"/>
              <w:ind w:left="0" w:righ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683000, Россия, Петропавловск-Камчатский, УЛ. ОЗЕРНОВСКАЯ КОСА, Д. 11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ind w:left="0" w:righ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"Электролиния"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2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+7 962 291 53 68, </w:t>
            </w:r>
            <w:hyperlink r:id="rId22">
              <w:r>
                <w:rPr>
                  <w:rStyle w:val="Style9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http://protoktp.ru/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,</w:t>
            </w:r>
          </w:p>
          <w:p>
            <w:pPr>
              <w:pStyle w:val="2"/>
              <w:bidi w:val="0"/>
              <w:spacing w:before="0" w:after="0"/>
              <w:ind w:left="0" w:righ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683003, КАМЧАТСКИЙ КРАЙ, Г. ПЕТРОПАВЛОВСК-КАМЧАТСКИЙ, УЛ. ЛЕНИНГРАДСКАЯ, Д. 65\1, КВ. 45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ind w:left="0" w:righ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"ТАРГЕТЭН"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+7 (914) 022 7008, </w:t>
            </w:r>
            <w:hyperlink r:id="rId23">
              <w:r>
                <w:rPr>
                  <w:rStyle w:val="Style9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https://targeten.ru/</w:t>
              </w:r>
            </w:hyperlink>
          </w:p>
          <w:p>
            <w:pPr>
              <w:pStyle w:val="2"/>
              <w:bidi w:val="0"/>
              <w:spacing w:before="0" w:after="0"/>
              <w:ind w:left="0" w:righ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683003, Камчатский край, г Петропавловск-Камчатский, ул Ленинградская, д 124а, кв.50</w:t>
            </w:r>
          </w:p>
        </w:tc>
      </w:tr>
    </w:tbl>
    <w:p>
      <w:pPr>
        <w:pStyle w:val="Normal"/>
        <w:ind w:left="-142" w:hanging="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rPr>
          <w:b/>
          <w:b/>
        </w:rPr>
      </w:pPr>
      <w:r>
        <w:rPr>
          <w:b/>
        </w:rPr>
        <w:t>Примечание</w:t>
      </w:r>
    </w:p>
    <w:p>
      <w:pPr>
        <w:pStyle w:val="Normal"/>
        <w:tabs>
          <w:tab w:val="center" w:pos="4153" w:leader="none"/>
          <w:tab w:val="right" w:pos="8306" w:leader="none"/>
        </w:tabs>
        <w:ind w:left="0" w:hanging="0"/>
        <w:rPr/>
      </w:pPr>
      <w:r>
        <w:rPr/>
        <w:t>При отсутствии круглосуточного дежурства оперативного электротехнического персонала дополнительно в списке указать номер телефона дежурного по предприятию.</w:t>
      </w:r>
    </w:p>
    <w:p>
      <w:pPr>
        <w:pStyle w:val="Normal"/>
        <w:ind w:left="0" w:hanging="0"/>
        <w:rPr/>
      </w:pPr>
      <w:r>
        <w:rPr/>
      </w:r>
    </w:p>
    <w:tbl>
      <w:tblPr>
        <w:tblpPr w:bottomFromText="0" w:horzAnchor="margin" w:leftFromText="180" w:rightFromText="180" w:tblpX="0" w:tblpY="293" w:topFromText="0" w:vertAnchor="text"/>
        <w:tblW w:w="9658" w:type="dxa"/>
        <w:jc w:val="left"/>
        <w:tblInd w:w="10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829"/>
        <w:gridCol w:w="4828"/>
      </w:tblGrid>
      <w:tr>
        <w:trPr/>
        <w:tc>
          <w:tcPr>
            <w:tcW w:w="4829" w:type="dxa"/>
            <w:tcBorders/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Гарантирующий поставщик</w:t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1"/>
              <w:rPr>
                <w:rFonts w:eastAsia="Arial Unicode MS"/>
                <w:b/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Потребитель</w:t>
            </w:r>
          </w:p>
        </w:tc>
      </w:tr>
      <w:tr>
        <w:trPr/>
        <w:tc>
          <w:tcPr>
            <w:tcW w:w="4829" w:type="dxa"/>
            <w:tcBorders/>
            <w:shd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829" w:type="dxa"/>
            <w:tcBorders/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Normal"/>
              <w:tabs>
                <w:tab w:val="left" w:pos="708" w:leader="none"/>
                <w:tab w:val="center" w:pos="4153" w:leader="none"/>
                <w:tab w:val="right" w:pos="830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829" w:type="dxa"/>
            <w:tcBorders/>
            <w:shd w:fill="auto" w:val="clear"/>
          </w:tcPr>
          <w:p>
            <w:pPr>
              <w:pStyle w:val="Normal"/>
              <w:ind w:left="0" w:hanging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____________________ А.А. Дмитриева</w:t>
            </w:r>
            <w:r>
              <w:rPr>
                <w:bCs/>
                <w:sz w:val="22"/>
                <w:szCs w:val="22"/>
              </w:rPr>
              <w:t xml:space="preserve">          </w:t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Normal"/>
              <w:ind w:left="0" w:hanging="0"/>
              <w:rPr/>
            </w:pPr>
            <w:r>
              <w:rPr>
                <w:sz w:val="24"/>
                <w:szCs w:val="24"/>
              </w:rPr>
              <w:t>_________________</w:t>
            </w:r>
          </w:p>
        </w:tc>
      </w:tr>
    </w:tbl>
    <w:p>
      <w:pPr>
        <w:pStyle w:val="Normal"/>
        <w:ind w:left="0" w:hanging="0"/>
        <w:rPr/>
      </w:pPr>
      <w:r>
        <w:rPr/>
      </w:r>
    </w:p>
    <w:p>
      <w:pPr>
        <w:pStyle w:val="Normal"/>
        <w:ind w:left="0" w:hanging="0"/>
        <w:rPr/>
      </w:pPr>
      <w:r>
        <w:rPr>
          <w:b/>
        </w:rPr>
        <w:t xml:space="preserve"> </w:t>
      </w:r>
      <w:r>
        <w:rPr>
          <w:b/>
        </w:rPr>
        <w:t>М.п.                                                                                        М.п.</w:t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  <w:t>Исполнитель ________________</w:t>
      </w:r>
    </w:p>
    <w:sectPr>
      <w:footerReference w:type="default" r:id="rId24"/>
      <w:type w:val="nextPage"/>
      <w:pgSz w:w="11906" w:h="16838"/>
      <w:pgMar w:left="1134" w:right="851" w:header="0" w:top="1134" w:footer="720" w:bottom="1134" w:gutter="0"/>
      <w:pgNumType w:fmt="decimal"/>
      <w:formProt w:val="false"/>
      <w:textDirection w:val="lrTb"/>
      <w:docGrid w:type="default" w:linePitch="249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Style w:val="ae"/>
      <w:tblW w:w="9627" w:type="dxa"/>
      <w:jc w:val="left"/>
      <w:tblInd w:w="-5" w:type="dxa"/>
      <w:tblCellMar>
        <w:top w:w="0" w:type="dxa"/>
        <w:left w:w="103" w:type="dxa"/>
        <w:bottom w:w="0" w:type="dxa"/>
        <w:right w:w="108" w:type="dxa"/>
      </w:tblCellMar>
      <w:tblLook w:val="04a0" w:noVBand="1" w:noHBand="0" w:lastColumn="0" w:firstColumn="1" w:lastRow="0" w:firstRow="1"/>
    </w:tblPr>
    <w:tblGrid>
      <w:gridCol w:w="4813"/>
      <w:gridCol w:w="4813"/>
    </w:tblGrid>
    <w:tr>
      <w:trPr/>
      <w:tc>
        <w:tcPr>
          <w:tcW w:w="4813" w:type="dxa"/>
          <w:tcBorders/>
          <w:shd w:fill="auto" w:val="clear"/>
          <w:tcMar>
            <w:left w:w="103" w:type="dxa"/>
          </w:tcMar>
        </w:tcPr>
        <w:p>
          <w:pPr>
            <w:pStyle w:val="Normal"/>
            <w:ind w:left="0" w:hanging="0"/>
            <w:rPr>
              <w:sz w:val="18"/>
              <w:szCs w:val="18"/>
            </w:rPr>
          </w:pPr>
          <w:r>
            <w:rPr>
              <w:sz w:val="18"/>
              <w:szCs w:val="18"/>
            </w:rPr>
            <w:t>Исполнитель</w:t>
          </w:r>
        </w:p>
      </w:tc>
      <w:tc>
        <w:tcPr>
          <w:tcW w:w="4813" w:type="dxa"/>
          <w:tcBorders/>
          <w:shd w:fill="auto" w:val="clear"/>
          <w:tcMar>
            <w:left w:w="103" w:type="dxa"/>
          </w:tcMar>
        </w:tcPr>
        <w:p>
          <w:pPr>
            <w:pStyle w:val="Normal"/>
            <w:ind w:left="0" w:hanging="0"/>
            <w:rPr>
              <w:sz w:val="18"/>
              <w:szCs w:val="18"/>
            </w:rPr>
          </w:pPr>
          <w:r>
            <w:rPr>
              <w:sz w:val="18"/>
              <w:szCs w:val="18"/>
            </w:rPr>
            <w:t>Потребитель</w:t>
          </w:r>
        </w:p>
      </w:tc>
    </w:tr>
    <w:tr>
      <w:trPr/>
      <w:tc>
        <w:tcPr>
          <w:tcW w:w="9626" w:type="dxa"/>
          <w:gridSpan w:val="2"/>
          <w:tcBorders/>
          <w:shd w:fill="auto" w:val="clear"/>
          <w:tcMar>
            <w:left w:w="103" w:type="dxa"/>
          </w:tcMar>
        </w:tcPr>
        <w:p>
          <w:pPr>
            <w:pStyle w:val="Normal"/>
            <w:jc w:val="center"/>
            <w:rPr/>
          </w:pPr>
          <w:r>
            <w:rPr/>
            <w:t>Договор энергоснабжения с потребителем приравненным к категории «население»</w:t>
          </w:r>
        </w:p>
      </w:tc>
    </w:tr>
  </w:tbl>
  <w:p>
    <w:pPr>
      <w:pStyle w:val="Style20"/>
      <w:jc w:val="cen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jc w:val="center"/>
      <w:rPr/>
    </w:pPr>
    <w:r>
      <w:rPr/>
      <w:t xml:space="preserve">Договор энергоснабжения для Потребителей, приравненных к категории «население» </w:t>
    </w:r>
  </w:p>
  <w:p>
    <w:pPr>
      <w:pStyle w:val="Style20"/>
      <w:rPr/>
    </w:pPr>
    <w:r>
      <w:rPr/>
    </w:r>
  </w:p>
  <w:p>
    <w:pPr>
      <w:pStyle w:val="Style2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b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1020" w:hanging="1020"/>
      </w:pPr>
      <w:rPr>
        <w:sz w:val="22"/>
        <w:b/>
      </w:rPr>
    </w:lvl>
    <w:lvl w:ilvl="1">
      <w:start w:val="1"/>
      <w:numFmt w:val="decimal"/>
      <w:lvlText w:val="%1.%2."/>
      <w:lvlJc w:val="left"/>
      <w:pPr>
        <w:ind w:left="1020" w:hanging="1020"/>
      </w:pPr>
      <w:rPr>
        <w:sz w:val="22"/>
        <w:b/>
      </w:rPr>
    </w:lvl>
    <w:lvl w:ilvl="2">
      <w:start w:val="1"/>
      <w:numFmt w:val="decimal"/>
      <w:lvlText w:val="%1.%2.%3."/>
      <w:lvlJc w:val="left"/>
      <w:pPr>
        <w:ind w:left="1020" w:hanging="1020"/>
      </w:pPr>
      <w:rPr>
        <w:sz w:val="22"/>
        <w:b/>
      </w:rPr>
    </w:lvl>
    <w:lvl w:ilvl="3">
      <w:start w:val="1"/>
      <w:numFmt w:val="decimal"/>
      <w:lvlText w:val="%1.%2.%3.%4."/>
      <w:lvlJc w:val="left"/>
      <w:pPr>
        <w:ind w:left="1020" w:hanging="1020"/>
      </w:pPr>
      <w:rPr>
        <w:sz w:val="22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  <w:position w:val="0"/>
        <w:sz w:val="20"/>
        <w:sz w:val="20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ind w:left="-300" w:hanging="360"/>
      </w:pPr>
    </w:lvl>
    <w:lvl w:ilvl="1">
      <w:start w:val="1"/>
      <w:numFmt w:val="lowerLetter"/>
      <w:lvlText w:val="%2."/>
      <w:lvlJc w:val="left"/>
      <w:pPr>
        <w:ind w:left="420" w:hanging="360"/>
      </w:pPr>
    </w:lvl>
    <w:lvl w:ilvl="2">
      <w:start w:val="1"/>
      <w:numFmt w:val="lowerRoman"/>
      <w:lvlText w:val="%3."/>
      <w:lvlJc w:val="right"/>
      <w:pPr>
        <w:ind w:left="1140" w:hanging="180"/>
      </w:pPr>
    </w:lvl>
    <w:lvl w:ilvl="3">
      <w:start w:val="1"/>
      <w:numFmt w:val="decimal"/>
      <w:lvlText w:val="%4."/>
      <w:lvlJc w:val="left"/>
      <w:pPr>
        <w:ind w:left="1860" w:hanging="360"/>
      </w:pPr>
    </w:lvl>
    <w:lvl w:ilvl="4">
      <w:start w:val="1"/>
      <w:numFmt w:val="lowerLetter"/>
      <w:lvlText w:val="%5."/>
      <w:lvlJc w:val="left"/>
      <w:pPr>
        <w:ind w:left="2580" w:hanging="360"/>
      </w:pPr>
    </w:lvl>
    <w:lvl w:ilvl="5">
      <w:start w:val="1"/>
      <w:numFmt w:val="lowerRoman"/>
      <w:lvlText w:val="%6."/>
      <w:lvlJc w:val="right"/>
      <w:pPr>
        <w:ind w:left="3300" w:hanging="180"/>
      </w:pPr>
    </w:lvl>
    <w:lvl w:ilvl="6">
      <w:start w:val="1"/>
      <w:numFmt w:val="decimal"/>
      <w:lvlText w:val="%7."/>
      <w:lvlJc w:val="left"/>
      <w:pPr>
        <w:ind w:left="4020" w:hanging="360"/>
      </w:pPr>
    </w:lvl>
    <w:lvl w:ilvl="7">
      <w:start w:val="1"/>
      <w:numFmt w:val="lowerLetter"/>
      <w:lvlText w:val="%8."/>
      <w:lvlJc w:val="left"/>
      <w:pPr>
        <w:ind w:left="4740" w:hanging="360"/>
      </w:pPr>
    </w:lvl>
    <w:lvl w:ilvl="8">
      <w:start w:val="1"/>
      <w:numFmt w:val="lowerRoman"/>
      <w:lvlText w:val="%9."/>
      <w:lvlJc w:val="right"/>
      <w:pPr>
        <w:ind w:left="5460" w:hanging="18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6533c"/>
    <w:pPr>
      <w:widowControl/>
      <w:bidi w:val="0"/>
      <w:ind w:left="357" w:firstLine="357"/>
      <w:jc w:val="both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paragraph" w:styleId="1">
    <w:name w:val="Heading 1"/>
    <w:basedOn w:val="Normal"/>
    <w:qFormat/>
    <w:rsid w:val="0016533c"/>
    <w:pPr>
      <w:keepNext w:val="true"/>
      <w:jc w:val="center"/>
      <w:outlineLvl w:val="0"/>
    </w:pPr>
    <w:rPr>
      <w:rFonts w:ascii="Arial" w:hAnsi="Arial"/>
      <w:b/>
      <w:sz w:val="22"/>
    </w:rPr>
  </w:style>
  <w:style w:type="paragraph" w:styleId="2">
    <w:name w:val="Heading 2"/>
    <w:basedOn w:val="Normal"/>
    <w:link w:val="20"/>
    <w:qFormat/>
    <w:rsid w:val="0016533c"/>
    <w:pPr>
      <w:keepNext w:val="true"/>
      <w:outlineLvl w:val="1"/>
    </w:pPr>
    <w:rPr>
      <w:rFonts w:ascii="Arial" w:hAnsi="Arial"/>
      <w:b/>
      <w:sz w:val="22"/>
      <w:lang w:val="en-US"/>
    </w:rPr>
  </w:style>
  <w:style w:type="paragraph" w:styleId="3">
    <w:name w:val="Heading 3"/>
    <w:basedOn w:val="Normal"/>
    <w:qFormat/>
    <w:rsid w:val="0016533c"/>
    <w:pPr>
      <w:keepNext w:val="true"/>
      <w:jc w:val="center"/>
      <w:outlineLvl w:val="2"/>
    </w:pPr>
    <w:rPr>
      <w:rFonts w:ascii="Arial" w:hAnsi="Arial"/>
      <w:b/>
      <w:sz w:val="16"/>
      <w:lang w:val="en-US"/>
    </w:rPr>
  </w:style>
  <w:style w:type="paragraph" w:styleId="4">
    <w:name w:val="Heading 4"/>
    <w:basedOn w:val="Normal"/>
    <w:qFormat/>
    <w:rsid w:val="0016533c"/>
    <w:pPr>
      <w:keepNext w:val="true"/>
      <w:jc w:val="center"/>
      <w:outlineLvl w:val="3"/>
    </w:pPr>
    <w:rPr>
      <w:rFonts w:ascii="Arial" w:hAnsi="Arial"/>
      <w:b/>
      <w:lang w:val="en-US"/>
    </w:rPr>
  </w:style>
  <w:style w:type="paragraph" w:styleId="5">
    <w:name w:val="Heading 5"/>
    <w:basedOn w:val="Normal"/>
    <w:qFormat/>
    <w:rsid w:val="0016533c"/>
    <w:pPr>
      <w:keepNext w:val="true"/>
      <w:outlineLvl w:val="4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16533c"/>
    <w:rPr/>
  </w:style>
  <w:style w:type="character" w:styleId="Style9">
    <w:name w:val="Интернет-ссылка"/>
    <w:rsid w:val="00c84986"/>
    <w:rPr>
      <w:color w:val="0000FF"/>
      <w:u w:val="single"/>
    </w:rPr>
  </w:style>
  <w:style w:type="character" w:styleId="Style10" w:customStyle="1">
    <w:name w:val="Верхний колонтитул Знак"/>
    <w:basedOn w:val="DefaultParagraphFont"/>
    <w:link w:val="a3"/>
    <w:qFormat/>
    <w:rsid w:val="003a33d4"/>
    <w:rPr/>
  </w:style>
  <w:style w:type="character" w:styleId="11" w:customStyle="1">
    <w:name w:val="Стиль1_св-ва документа Знак"/>
    <w:link w:val="1-"/>
    <w:qFormat/>
    <w:rsid w:val="00f26e59"/>
    <w:rPr>
      <w:b/>
      <w:bCs/>
      <w:sz w:val="25"/>
      <w:szCs w:val="25"/>
    </w:rPr>
  </w:style>
  <w:style w:type="character" w:styleId="125" w:customStyle="1">
    <w:name w:val="Обычный125Жир Знак"/>
    <w:link w:val="125"/>
    <w:qFormat/>
    <w:rsid w:val="003c61f8"/>
    <w:rPr>
      <w:b/>
      <w:bCs/>
      <w:color w:val="0000FF"/>
      <w:sz w:val="25"/>
      <w:szCs w:val="25"/>
    </w:rPr>
  </w:style>
  <w:style w:type="character" w:styleId="12" w:customStyle="1">
    <w:name w:val="Об12жир Знак"/>
    <w:link w:val="12"/>
    <w:qFormat/>
    <w:rsid w:val="003c61f8"/>
    <w:rPr>
      <w:b/>
      <w:bCs/>
      <w:color w:val="0000FF"/>
      <w:sz w:val="24"/>
      <w:szCs w:val="24"/>
    </w:rPr>
  </w:style>
  <w:style w:type="character" w:styleId="13" w:customStyle="1">
    <w:name w:val="Об_13_Жир Знак"/>
    <w:link w:val="13"/>
    <w:qFormat/>
    <w:rsid w:val="003c61f8"/>
    <w:rPr>
      <w:b/>
      <w:color w:val="0000FF"/>
      <w:sz w:val="26"/>
      <w:szCs w:val="26"/>
    </w:rPr>
  </w:style>
  <w:style w:type="character" w:styleId="10" w:customStyle="1">
    <w:name w:val="ТР_10_Жир Знак"/>
    <w:link w:val="10"/>
    <w:qFormat/>
    <w:rsid w:val="003c61f8"/>
    <w:rPr>
      <w:b/>
      <w:color w:val="0000FF"/>
    </w:rPr>
  </w:style>
  <w:style w:type="character" w:styleId="101" w:customStyle="1">
    <w:name w:val="ТР_10 Знак"/>
    <w:link w:val="101"/>
    <w:qFormat/>
    <w:rsid w:val="003c61f8"/>
    <w:rPr>
      <w:color w:val="0000FF"/>
    </w:rPr>
  </w:style>
  <w:style w:type="character" w:styleId="102" w:customStyle="1">
    <w:name w:val="Тр_10_Жир Знак"/>
    <w:link w:val="103"/>
    <w:qFormat/>
    <w:rsid w:val="008910fe"/>
    <w:rPr>
      <w:b/>
      <w:color w:val="3333FF"/>
    </w:rPr>
  </w:style>
  <w:style w:type="character" w:styleId="21" w:customStyle="1">
    <w:name w:val="Заголовок 2 Знак"/>
    <w:link w:val="2"/>
    <w:qFormat/>
    <w:rsid w:val="00aa10ca"/>
    <w:rPr>
      <w:rFonts w:ascii="Arial" w:hAnsi="Arial"/>
      <w:b/>
      <w:sz w:val="22"/>
      <w:lang w:val="en-US"/>
    </w:rPr>
  </w:style>
  <w:style w:type="character" w:styleId="Style11" w:customStyle="1">
    <w:name w:val="Нижний колонтитул Знак"/>
    <w:basedOn w:val="DefaultParagraphFont"/>
    <w:link w:val="a5"/>
    <w:uiPriority w:val="99"/>
    <w:qFormat/>
    <w:rsid w:val="0051548c"/>
    <w:rPr/>
  </w:style>
  <w:style w:type="character" w:styleId="Annotationreference">
    <w:name w:val="annotation reference"/>
    <w:qFormat/>
    <w:rsid w:val="001b67d6"/>
    <w:rPr>
      <w:sz w:val="16"/>
      <w:szCs w:val="16"/>
    </w:rPr>
  </w:style>
  <w:style w:type="character" w:styleId="Style12" w:customStyle="1">
    <w:name w:val="Текст примечания Знак"/>
    <w:basedOn w:val="DefaultParagraphFont"/>
    <w:link w:val="af3"/>
    <w:qFormat/>
    <w:rsid w:val="001b67d6"/>
    <w:rPr/>
  </w:style>
  <w:style w:type="character" w:styleId="ListLabel1">
    <w:name w:val="ListLabel 1"/>
    <w:qFormat/>
    <w:rPr>
      <w:b/>
      <w:i w:val="false"/>
    </w:rPr>
  </w:style>
  <w:style w:type="character" w:styleId="ListLabel2">
    <w:name w:val="ListLabel 2"/>
    <w:qFormat/>
    <w:rPr>
      <w:b/>
    </w:rPr>
  </w:style>
  <w:style w:type="character" w:styleId="ListLabel3">
    <w:name w:val="ListLabel 3"/>
    <w:qFormat/>
    <w:rPr>
      <w:b/>
      <w:sz w:val="20"/>
      <w:szCs w:val="20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b/>
    </w:rPr>
  </w:style>
  <w:style w:type="character" w:styleId="ListLabel14">
    <w:name w:val="ListLabel 14"/>
    <w:qFormat/>
    <w:rPr>
      <w:b/>
      <w:sz w:val="20"/>
      <w:szCs w:val="20"/>
    </w:rPr>
  </w:style>
  <w:style w:type="character" w:styleId="ListLabel15">
    <w:name w:val="ListLabel 15"/>
    <w:qFormat/>
    <w:rPr>
      <w:b/>
      <w:sz w:val="22"/>
    </w:rPr>
  </w:style>
  <w:style w:type="character" w:styleId="ListLabel16">
    <w:name w:val="ListLabel 16"/>
    <w:qFormat/>
    <w:rPr>
      <w:b/>
      <w:sz w:val="22"/>
    </w:rPr>
  </w:style>
  <w:style w:type="character" w:styleId="ListLabel17">
    <w:name w:val="ListLabel 17"/>
    <w:qFormat/>
    <w:rPr>
      <w:b/>
      <w:sz w:val="22"/>
    </w:rPr>
  </w:style>
  <w:style w:type="character" w:styleId="ListLabel18">
    <w:name w:val="ListLabel 18"/>
    <w:qFormat/>
    <w:rPr>
      <w:b/>
      <w:sz w:val="22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b/>
      <w:position w:val="0"/>
      <w:sz w:val="20"/>
      <w:sz w:val="20"/>
      <w:vertAlign w:val="baseline"/>
    </w:rPr>
  </w:style>
  <w:style w:type="character" w:styleId="ListLabel26">
    <w:name w:val="ListLabel 26"/>
    <w:qFormat/>
    <w:rPr>
      <w:b/>
      <w:sz w:val="20"/>
      <w:szCs w:val="20"/>
    </w:rPr>
  </w:style>
  <w:style w:type="character" w:styleId="ListLabel27">
    <w:name w:val="ListLabel 27"/>
    <w:qFormat/>
    <w:rPr>
      <w:b/>
      <w:sz w:val="20"/>
      <w:szCs w:val="20"/>
    </w:rPr>
  </w:style>
  <w:style w:type="character" w:styleId="ListLabel28">
    <w:name w:val="ListLabel 28"/>
    <w:qFormat/>
    <w:rPr>
      <w:b/>
      <w:sz w:val="22"/>
    </w:rPr>
  </w:style>
  <w:style w:type="character" w:styleId="ListLabel29">
    <w:name w:val="ListLabel 29"/>
    <w:qFormat/>
    <w:rPr>
      <w:b/>
      <w:sz w:val="22"/>
    </w:rPr>
  </w:style>
  <w:style w:type="character" w:styleId="ListLabel30">
    <w:name w:val="ListLabel 30"/>
    <w:qFormat/>
    <w:rPr>
      <w:b/>
      <w:sz w:val="22"/>
    </w:rPr>
  </w:style>
  <w:style w:type="character" w:styleId="ListLabel31">
    <w:name w:val="ListLabel 31"/>
    <w:qFormat/>
    <w:rPr>
      <w:b/>
      <w:sz w:val="22"/>
    </w:rPr>
  </w:style>
  <w:style w:type="character" w:styleId="ListLabel32">
    <w:name w:val="ListLabel 32"/>
    <w:qFormat/>
    <w:rPr>
      <w:b/>
      <w:position w:val="0"/>
      <w:sz w:val="20"/>
      <w:sz w:val="20"/>
      <w:vertAlign w:val="baseline"/>
    </w:rPr>
  </w:style>
  <w:style w:type="character" w:styleId="Style13">
    <w:name w:val="Посещённая гиперссылка"/>
    <w:rPr>
      <w:color w:val="800000"/>
      <w:u w:val="single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5">
    <w:name w:val="Body Text"/>
    <w:basedOn w:val="Normal"/>
    <w:rsid w:val="0016533c"/>
    <w:pPr/>
    <w:rPr>
      <w:sz w:val="24"/>
    </w:rPr>
  </w:style>
  <w:style w:type="paragraph" w:styleId="Style16">
    <w:name w:val="List"/>
    <w:basedOn w:val="Style15"/>
    <w:pPr/>
    <w:rPr>
      <w:rFonts w:cs="Lohit Devanagari"/>
    </w:rPr>
  </w:style>
  <w:style w:type="paragraph" w:styleId="Style17" w:customStyle="1">
    <w:name w:val="Caption"/>
    <w:basedOn w:val="Normal"/>
    <w:qFormat/>
    <w:rsid w:val="005861ca"/>
    <w:pPr>
      <w:jc w:val="center"/>
    </w:pPr>
    <w:rPr>
      <w:b/>
      <w:bCs/>
      <w:sz w:val="22"/>
      <w:szCs w:val="22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Header"/>
    <w:basedOn w:val="Normal"/>
    <w:link w:val="a4"/>
    <w:rsid w:val="0016533c"/>
    <w:pPr>
      <w:tabs>
        <w:tab w:val="center" w:pos="4153" w:leader="none"/>
        <w:tab w:val="right" w:pos="8306" w:leader="none"/>
      </w:tabs>
    </w:pPr>
    <w:rPr/>
  </w:style>
  <w:style w:type="paragraph" w:styleId="Style20">
    <w:name w:val="Footer"/>
    <w:basedOn w:val="Normal"/>
    <w:link w:val="a6"/>
    <w:uiPriority w:val="99"/>
    <w:rsid w:val="0016533c"/>
    <w:pPr>
      <w:tabs>
        <w:tab w:val="center" w:pos="4153" w:leader="none"/>
        <w:tab w:val="right" w:pos="8306" w:leader="none"/>
      </w:tabs>
    </w:pPr>
    <w:rPr/>
  </w:style>
  <w:style w:type="paragraph" w:styleId="Caption">
    <w:name w:val="caption"/>
    <w:basedOn w:val="Normal"/>
    <w:qFormat/>
    <w:rsid w:val="0016533c"/>
    <w:pPr/>
    <w:rPr>
      <w:b/>
      <w:bCs/>
    </w:rPr>
  </w:style>
  <w:style w:type="paragraph" w:styleId="Style21">
    <w:name w:val="Body Text Indent"/>
    <w:basedOn w:val="Normal"/>
    <w:rsid w:val="0016533c"/>
    <w:pPr>
      <w:ind w:left="6096" w:firstLine="357"/>
    </w:pPr>
    <w:rPr>
      <w:rFonts w:ascii="Arial" w:hAnsi="Arial"/>
    </w:rPr>
  </w:style>
  <w:style w:type="paragraph" w:styleId="MessageHeader">
    <w:name w:val="Message Header"/>
    <w:basedOn w:val="Style15"/>
    <w:qFormat/>
    <w:rsid w:val="0016533c"/>
    <w:pPr>
      <w:keepLines/>
      <w:spacing w:lineRule="atLeast" w:line="415"/>
      <w:ind w:left="1985" w:right="-360" w:hanging="1145"/>
      <w:jc w:val="left"/>
    </w:pPr>
    <w:rPr>
      <w:sz w:val="20"/>
    </w:rPr>
  </w:style>
  <w:style w:type="paragraph" w:styleId="BodyTextIndent2">
    <w:name w:val="Body Text Indent 2"/>
    <w:basedOn w:val="Normal"/>
    <w:qFormat/>
    <w:rsid w:val="00c84986"/>
    <w:pPr>
      <w:spacing w:lineRule="auto" w:line="480" w:before="0" w:after="120"/>
      <w:ind w:left="283" w:firstLine="357"/>
    </w:pPr>
    <w:rPr>
      <w:sz w:val="24"/>
      <w:szCs w:val="24"/>
    </w:rPr>
  </w:style>
  <w:style w:type="paragraph" w:styleId="PlainText">
    <w:name w:val="Plain Text"/>
    <w:basedOn w:val="Normal"/>
    <w:qFormat/>
    <w:rsid w:val="006d5ed5"/>
    <w:pPr/>
    <w:rPr>
      <w:rFonts w:ascii="Courier New" w:hAnsi="Courier New" w:cs="Courier New"/>
    </w:rPr>
  </w:style>
  <w:style w:type="paragraph" w:styleId="BalloonText">
    <w:name w:val="Balloon Text"/>
    <w:basedOn w:val="Normal"/>
    <w:semiHidden/>
    <w:qFormat/>
    <w:rsid w:val="00b85c86"/>
    <w:pPr/>
    <w:rPr>
      <w:rFonts w:ascii="Tahoma" w:hAnsi="Tahoma" w:cs="Tahoma"/>
      <w:sz w:val="16"/>
      <w:szCs w:val="16"/>
    </w:rPr>
  </w:style>
  <w:style w:type="paragraph" w:styleId="14" w:customStyle="1">
    <w:name w:val="Стиль1_св-ва документа"/>
    <w:basedOn w:val="4"/>
    <w:link w:val="1-0"/>
    <w:qFormat/>
    <w:rsid w:val="00f26e59"/>
    <w:pPr>
      <w:ind w:left="-13" w:hanging="0"/>
      <w:jc w:val="both"/>
    </w:pPr>
    <w:rPr>
      <w:rFonts w:ascii="Times New Roman" w:hAnsi="Times New Roman"/>
      <w:bCs/>
      <w:sz w:val="25"/>
      <w:szCs w:val="25"/>
    </w:rPr>
  </w:style>
  <w:style w:type="paragraph" w:styleId="1251" w:customStyle="1">
    <w:name w:val="Обычный125Жир"/>
    <w:basedOn w:val="Normal"/>
    <w:link w:val="1250"/>
    <w:qFormat/>
    <w:rsid w:val="003c61f8"/>
    <w:pPr>
      <w:keepNext w:val="true"/>
      <w:ind w:left="-13" w:hanging="0"/>
      <w:jc w:val="left"/>
      <w:outlineLvl w:val="3"/>
    </w:pPr>
    <w:rPr>
      <w:b/>
      <w:bCs/>
      <w:color w:val="0000FF"/>
      <w:sz w:val="25"/>
      <w:szCs w:val="25"/>
    </w:rPr>
  </w:style>
  <w:style w:type="paragraph" w:styleId="121" w:customStyle="1">
    <w:name w:val="Об12жир"/>
    <w:basedOn w:val="Normal"/>
    <w:link w:val="120"/>
    <w:qFormat/>
    <w:rsid w:val="003c61f8"/>
    <w:pPr>
      <w:ind w:left="0" w:hanging="0"/>
    </w:pPr>
    <w:rPr>
      <w:b/>
      <w:bCs/>
      <w:color w:val="0000FF"/>
      <w:sz w:val="24"/>
      <w:szCs w:val="24"/>
    </w:rPr>
  </w:style>
  <w:style w:type="paragraph" w:styleId="131" w:customStyle="1">
    <w:name w:val="Об_13_Жир"/>
    <w:basedOn w:val="Normal"/>
    <w:link w:val="130"/>
    <w:qFormat/>
    <w:rsid w:val="003c61f8"/>
    <w:pPr>
      <w:spacing w:before="120" w:after="120"/>
      <w:ind w:left="0" w:firstLine="357"/>
    </w:pPr>
    <w:rPr>
      <w:b/>
      <w:color w:val="0000FF"/>
      <w:sz w:val="26"/>
      <w:szCs w:val="26"/>
    </w:rPr>
  </w:style>
  <w:style w:type="paragraph" w:styleId="103" w:customStyle="1">
    <w:name w:val="ТР_10_Жир"/>
    <w:basedOn w:val="Normal"/>
    <w:link w:val="100"/>
    <w:qFormat/>
    <w:rsid w:val="003c61f8"/>
    <w:pPr>
      <w:ind w:left="0" w:hanging="0"/>
      <w:jc w:val="left"/>
    </w:pPr>
    <w:rPr>
      <w:b/>
      <w:color w:val="0000FF"/>
    </w:rPr>
  </w:style>
  <w:style w:type="paragraph" w:styleId="104" w:customStyle="1">
    <w:name w:val="ТР_10"/>
    <w:basedOn w:val="Normal"/>
    <w:link w:val="102"/>
    <w:qFormat/>
    <w:rsid w:val="003c61f8"/>
    <w:pPr>
      <w:ind w:left="0" w:hanging="0"/>
      <w:jc w:val="left"/>
    </w:pPr>
    <w:rPr>
      <w:color w:val="0000FF"/>
    </w:rPr>
  </w:style>
  <w:style w:type="paragraph" w:styleId="105" w:customStyle="1">
    <w:name w:val="Тр_10_Жир"/>
    <w:basedOn w:val="BodyTextIndent2"/>
    <w:link w:val="104"/>
    <w:qFormat/>
    <w:rsid w:val="008910fe"/>
    <w:pPr>
      <w:spacing w:lineRule="auto" w:line="240" w:before="120" w:after="120"/>
      <w:ind w:left="0" w:hanging="0"/>
      <w:jc w:val="center"/>
    </w:pPr>
    <w:rPr>
      <w:b/>
      <w:color w:val="3333FF"/>
      <w:sz w:val="20"/>
      <w:szCs w:val="20"/>
    </w:rPr>
  </w:style>
  <w:style w:type="paragraph" w:styleId="ListParagraph">
    <w:name w:val="List Paragraph"/>
    <w:basedOn w:val="Normal"/>
    <w:uiPriority w:val="34"/>
    <w:qFormat/>
    <w:rsid w:val="0052563c"/>
    <w:pPr>
      <w:spacing w:before="0" w:after="0"/>
      <w:ind w:left="720" w:firstLine="357"/>
      <w:contextualSpacing/>
    </w:pPr>
    <w:rPr/>
  </w:style>
  <w:style w:type="paragraph" w:styleId="Annotationtext">
    <w:name w:val="annotation text"/>
    <w:basedOn w:val="Normal"/>
    <w:link w:val="af4"/>
    <w:qFormat/>
    <w:rsid w:val="001b67d6"/>
    <w:pPr/>
    <w:rPr/>
  </w:style>
  <w:style w:type="paragraph" w:styleId="Style2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rsid w:val="005861c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consultantplus://offline/ref=376DA00A4A2B58C618693F50FE34346DED310CC413F483D98C22E3577C474177B0118598C80B819D35JDF" TargetMode="External"/><Relationship Id="rId4" Type="http://schemas.openxmlformats.org/officeDocument/2006/relationships/hyperlink" Target="http://www.kamenergo.ru/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yperlink" Target="https://rsosiluet.ru/" TargetMode="External"/><Relationship Id="rId9" Type="http://schemas.openxmlformats.org/officeDocument/2006/relationships/hyperlink" Target="https://teskpk.ru/" TargetMode="External"/><Relationship Id="rId10" Type="http://schemas.openxmlformats.org/officeDocument/2006/relationships/hyperlink" Target="https://teskpk.ru/" TargetMode="External"/><Relationship Id="rId11" Type="http://schemas.openxmlformats.org/officeDocument/2006/relationships/hyperlink" Target="https://teskpk.ru/" TargetMode="External"/><Relationship Id="rId12" Type="http://schemas.openxmlformats.org/officeDocument/2006/relationships/hyperlink" Target="https://41-es.ru/" TargetMode="External"/><Relationship Id="rId13" Type="http://schemas.openxmlformats.org/officeDocument/2006/relationships/hyperlink" Target="https://aleir-kamchatka.ru/" TargetMode="External"/><Relationship Id="rId14" Type="http://schemas.openxmlformats.org/officeDocument/2006/relationships/hyperlink" Target="http://port.kamchatka.ru/" TargetMode="External"/><Relationship Id="rId15" Type="http://schemas.openxmlformats.org/officeDocument/2006/relationships/hyperlink" Target="http://28elset.ru/about" TargetMode="External"/><Relationship Id="rId16" Type="http://schemas.openxmlformats.org/officeDocument/2006/relationships/hyperlink" Target="tel:+74152466682" TargetMode="External"/><Relationship Id="rId17" Type="http://schemas.openxmlformats.org/officeDocument/2006/relationships/hyperlink" Target="http://seroglazka.com/" TargetMode="External"/><Relationship Id="rId18" Type="http://schemas.openxmlformats.org/officeDocument/2006/relationships/hyperlink" Target="https://mktranskam.ru/" TargetMode="External"/><Relationship Id="rId19" Type="http://schemas.openxmlformats.org/officeDocument/2006/relationships/hyperlink" Target="https://kek41.ru/" TargetMode="External"/><Relationship Id="rId20" Type="http://schemas.openxmlformats.org/officeDocument/2006/relationships/hyperlink" Target="https://oceangas.ru/" TargetMode="External"/><Relationship Id="rId21" Type="http://schemas.openxmlformats.org/officeDocument/2006/relationships/hyperlink" Target="http://intarsia.nethouse.ru/" TargetMode="External"/><Relationship Id="rId22" Type="http://schemas.openxmlformats.org/officeDocument/2006/relationships/hyperlink" Target="http://protoktp.ru/" TargetMode="External"/><Relationship Id="rId23" Type="http://schemas.openxmlformats.org/officeDocument/2006/relationships/hyperlink" Target="https://targeten.ru/" TargetMode="External"/><Relationship Id="rId24" Type="http://schemas.openxmlformats.org/officeDocument/2006/relationships/footer" Target="footer4.xml"/><Relationship Id="rId25" Type="http://schemas.openxmlformats.org/officeDocument/2006/relationships/numbering" Target="numbering.xml"/><Relationship Id="rId26" Type="http://schemas.openxmlformats.org/officeDocument/2006/relationships/fontTable" Target="fontTable.xml"/><Relationship Id="rId27" Type="http://schemas.openxmlformats.org/officeDocument/2006/relationships/settings" Target="settings.xml"/><Relationship Id="rId28" Type="http://schemas.openxmlformats.org/officeDocument/2006/relationships/theme" Target="theme/theme1.xml"/><Relationship Id="rId2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F15D3-CB76-481E-8DE9-9CACDB101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LibreOffice/5.3.6.1$Linux_X86_64 LibreOffice_project/30$Build-1</Application>
  <Pages>23</Pages>
  <Words>8160</Words>
  <Characters>61484</Characters>
  <CharactersWithSpaces>70708</CharactersWithSpaces>
  <Paragraphs>543</Paragraphs>
  <Company>LENENERGO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2023-02-09T03:32:00Z</dcterms:created>
  <dc:creator>Романюк Наталья Александровна</dc:creator>
  <dc:description/>
  <dc:language>ru-RU</dc:language>
  <cp:lastModifiedBy/>
  <cp:lastPrinted>2011-10-06T01:05:00Z</cp:lastPrinted>
  <dcterms:modified xsi:type="dcterms:W3CDTF">2025-07-14T16:06:28Z</dcterms:modified>
  <cp:revision>5</cp:revision>
  <dc:subject/>
  <dc:title>ПРИЛОЖЕНИЕ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ountName">
    <vt:lpwstr>@@AccountName</vt:lpwstr>
  </property>
  <property fmtid="{D5CDD505-2E9C-101B-9397-08002B2CF9AE}" pid="3" name="AccountNum">
    <vt:lpwstr>@@AccountNum</vt:lpwstr>
  </property>
  <property fmtid="{D5CDD505-2E9C-101B-9397-08002B2CF9AE}" pid="4" name="Account_W">
    <vt:lpwstr>@@Account_W</vt:lpwstr>
  </property>
  <property fmtid="{D5CDD505-2E9C-101B-9397-08002B2CF9AE}" pid="5" name="AdressAbonent">
    <vt:lpwstr>@@AdressAbonent</vt:lpwstr>
  </property>
  <property fmtid="{D5CDD505-2E9C-101B-9397-08002B2CF9AE}" pid="6" name="AppVersion">
    <vt:lpwstr>16.0000</vt:lpwstr>
  </property>
  <property fmtid="{D5CDD505-2E9C-101B-9397-08002B2CF9AE}" pid="7" name="Company">
    <vt:lpwstr>LENENERGO</vt:lpwstr>
  </property>
  <property fmtid="{D5CDD505-2E9C-101B-9397-08002B2CF9AE}" pid="8" name="DateContact">
    <vt:lpwstr>@@DateContact</vt:lpwstr>
  </property>
  <property fmtid="{D5CDD505-2E9C-101B-9397-08002B2CF9AE}" pid="9" name="DirectName">
    <vt:lpwstr>@@DirectName</vt:lpwstr>
  </property>
  <property fmtid="{D5CDD505-2E9C-101B-9397-08002B2CF9AE}" pid="10" name="DirectNameRP">
    <vt:lpwstr>@@DirectNameRP</vt:lpwstr>
  </property>
  <property fmtid="{D5CDD505-2E9C-101B-9397-08002B2CF9AE}" pid="11" name="DocSecurity">
    <vt:i4>0</vt:i4>
  </property>
  <property fmtid="{D5CDD505-2E9C-101B-9397-08002B2CF9AE}" pid="12" name="DocumentInformation">
    <vt:lpwstr>@@DocumentInformation</vt:lpwstr>
  </property>
  <property fmtid="{D5CDD505-2E9C-101B-9397-08002B2CF9AE}" pid="13" name="Email">
    <vt:lpwstr>@@Email</vt:lpwstr>
  </property>
  <property fmtid="{D5CDD505-2E9C-101B-9397-08002B2CF9AE}" pid="14" name="FirstName">
    <vt:lpwstr>@@FirstName</vt:lpwstr>
  </property>
  <property fmtid="{D5CDD505-2E9C-101B-9397-08002B2CF9AE}" pid="15" name="GroupId">
    <vt:lpwstr>@@GroupId</vt:lpwstr>
  </property>
  <property fmtid="{D5CDD505-2E9C-101B-9397-08002B2CF9AE}" pid="16" name="HyperlinksChanged">
    <vt:bool>0</vt:bool>
  </property>
  <property fmtid="{D5CDD505-2E9C-101B-9397-08002B2CF9AE}" pid="17" name="INN">
    <vt:lpwstr>@@INN</vt:lpwstr>
  </property>
  <property fmtid="{D5CDD505-2E9C-101B-9397-08002B2CF9AE}" pid="18" name="KPP">
    <vt:lpwstr>@@KPP</vt:lpwstr>
  </property>
  <property fmtid="{D5CDD505-2E9C-101B-9397-08002B2CF9AE}" pid="19" name="LinksUpToDate">
    <vt:bool>0</vt:bool>
  </property>
  <property fmtid="{D5CDD505-2E9C-101B-9397-08002B2CF9AE}" pid="20" name="MiddleName">
    <vt:lpwstr>@@MiddleName</vt:lpwstr>
  </property>
  <property fmtid="{D5CDD505-2E9C-101B-9397-08002B2CF9AE}" pid="21" name="NContract">
    <vt:lpwstr>@@NContract</vt:lpwstr>
  </property>
  <property fmtid="{D5CDD505-2E9C-101B-9397-08002B2CF9AE}" pid="22" name="NDS">
    <vt:lpwstr>@@NDS</vt:lpwstr>
  </property>
  <property fmtid="{D5CDD505-2E9C-101B-9397-08002B2CF9AE}" pid="23" name="NameAbonent">
    <vt:lpwstr>@@NameAbonent</vt:lpwstr>
  </property>
  <property fmtid="{D5CDD505-2E9C-101B-9397-08002B2CF9AE}" pid="24" name="NameDirectAbonent">
    <vt:lpwstr>@@NameDirectAbonent</vt:lpwstr>
  </property>
  <property fmtid="{D5CDD505-2E9C-101B-9397-08002B2CF9AE}" pid="25" name="OGRN">
    <vt:lpwstr>@@OGRN</vt:lpwstr>
  </property>
  <property fmtid="{D5CDD505-2E9C-101B-9397-08002B2CF9AE}" pid="26" name="OKATO">
    <vt:lpwstr>@@OKATO</vt:lpwstr>
  </property>
  <property fmtid="{D5CDD505-2E9C-101B-9397-08002B2CF9AE}" pid="27" name="OKPO">
    <vt:lpwstr>@@OKPO</vt:lpwstr>
  </property>
  <property fmtid="{D5CDD505-2E9C-101B-9397-08002B2CF9AE}" pid="28" name="OKVED">
    <vt:lpwstr>@@OKVED</vt:lpwstr>
  </property>
  <property fmtid="{D5CDD505-2E9C-101B-9397-08002B2CF9AE}" pid="29" name="PostIP">
    <vt:lpwstr>@@PostIP</vt:lpwstr>
  </property>
  <property fmtid="{D5CDD505-2E9C-101B-9397-08002B2CF9AE}" pid="30" name="PostRP">
    <vt:lpwstr>@@PostRP</vt:lpwstr>
  </property>
  <property fmtid="{D5CDD505-2E9C-101B-9397-08002B2CF9AE}" pid="31" name="ScaleCrop">
    <vt:bool>0</vt:bool>
  </property>
  <property fmtid="{D5CDD505-2E9C-101B-9397-08002B2CF9AE}" pid="32" name="ShareDoc">
    <vt:bool>0</vt:bool>
  </property>
  <property fmtid="{D5CDD505-2E9C-101B-9397-08002B2CF9AE}" pid="33" name="Telephone">
    <vt:lpwstr>@@Telephone</vt:lpwstr>
  </property>
</Properties>
</file>