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media/image1.jpeg" ContentType="image/jpeg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hanging="0"/>
        <w:jc w:val="center"/>
        <w:rPr>
          <w:b/>
          <w:b/>
          <w:sz w:val="26"/>
          <w:szCs w:val="26"/>
        </w:rPr>
      </w:pPr>
      <w:r>
        <w:rPr/>
        <w:drawing>
          <wp:inline distT="0" distB="0" distL="0" distR="0">
            <wp:extent cx="2695575" cy="523875"/>
            <wp:effectExtent l="0" t="0" r="0" b="0"/>
            <wp:docPr id="1" name="Рисунок 1" descr="Камчатскэнерго-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мчатскэнерго-лого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hanging="0"/>
        <w:jc w:val="center"/>
        <w:rPr>
          <w:b/>
          <w:b/>
          <w:sz w:val="24"/>
          <w:szCs w:val="24"/>
        </w:rPr>
      </w:pPr>
      <w:r>
        <w:rPr>
          <w:b/>
          <w:sz w:val="26"/>
          <w:szCs w:val="26"/>
        </w:rPr>
        <w:t xml:space="preserve">ДОГОВОР ЭНЕРГОСНАБЖЕНИЯ </w:t>
      </w:r>
      <w:r>
        <w:rPr>
          <w:rFonts w:eastAsia="Arial Unicode MS"/>
          <w:b/>
          <w:bCs/>
          <w:color w:val="0000FF"/>
          <w:sz w:val="25"/>
          <w:szCs w:val="25"/>
        </w:rPr>
        <w:t>№ _______</w:t>
      </w:r>
      <w:r>
        <w:rPr>
          <w:b/>
          <w:sz w:val="24"/>
          <w:szCs w:val="24"/>
        </w:rPr>
        <w:t xml:space="preserve"> </w:t>
      </w:r>
    </w:p>
    <w:p>
      <w:pPr>
        <w:pStyle w:val="Normal"/>
        <w:spacing w:before="120" w:after="0"/>
        <w:ind w:left="0" w:firstLine="357"/>
        <w:jc w:val="center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spacing w:before="120" w:after="0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г. Петропавловск - Камчатский                                                                          </w:t>
      </w:r>
      <w:r>
        <w:rPr>
          <w:b/>
          <w:color w:val="3107A9"/>
          <w:sz w:val="22"/>
          <w:szCs w:val="22"/>
        </w:rPr>
        <w:t>_______________</w:t>
      </w:r>
    </w:p>
    <w:p>
      <w:pPr>
        <w:pStyle w:val="Normal"/>
        <w:spacing w:before="120" w:after="120"/>
        <w:ind w:left="0" w:firstLine="357"/>
        <w:rPr>
          <w:sz w:val="22"/>
          <w:szCs w:val="22"/>
        </w:rPr>
      </w:pPr>
      <w:r>
        <w:rPr/>
        <w:tab/>
      </w:r>
      <w:r>
        <w:rPr>
          <w:b/>
          <w:sz w:val="22"/>
          <w:szCs w:val="22"/>
        </w:rPr>
        <w:t>Публичное акционерное общество энергетики и электрификации «Камчатскэнерго»</w:t>
      </w:r>
      <w:r>
        <w:rPr>
          <w:sz w:val="22"/>
          <w:szCs w:val="22"/>
        </w:rPr>
        <w:t xml:space="preserve">, именуемое в дальнейшем </w:t>
      </w:r>
      <w:r>
        <w:rPr>
          <w:b/>
          <w:sz w:val="22"/>
          <w:szCs w:val="22"/>
        </w:rPr>
        <w:t>«Гарантирующий поставщик»</w:t>
      </w:r>
      <w:r>
        <w:rPr>
          <w:sz w:val="22"/>
          <w:szCs w:val="22"/>
        </w:rPr>
        <w:t xml:space="preserve">, в лице </w:t>
      </w:r>
      <w:r>
        <w:rPr>
          <w:b/>
          <w:sz w:val="22"/>
          <w:szCs w:val="22"/>
        </w:rPr>
        <w:t xml:space="preserve">директора </w:t>
      </w:r>
      <w:r>
        <w:rPr>
          <w:b/>
          <w:bCs/>
          <w:sz w:val="22"/>
          <w:szCs w:val="22"/>
        </w:rPr>
        <w:t xml:space="preserve">филиала </w:t>
      </w:r>
      <w:r>
        <w:rPr>
          <w:b/>
          <w:sz w:val="22"/>
          <w:szCs w:val="22"/>
        </w:rPr>
        <w:t>Публичного акционерного общества «Дальневосточная энергетическая компания» «Камчатскэнергосбыт»</w:t>
      </w:r>
      <w:r>
        <w:rPr>
          <w:b/>
          <w:bCs/>
          <w:sz w:val="22"/>
          <w:szCs w:val="22"/>
        </w:rPr>
        <w:t xml:space="preserve"> Жосан Александры Зайдулловны</w:t>
      </w:r>
      <w:r>
        <w:rPr>
          <w:sz w:val="22"/>
          <w:szCs w:val="22"/>
        </w:rPr>
        <w:t xml:space="preserve">, действующей на основании </w:t>
      </w:r>
      <w:r>
        <w:rPr>
          <w:b/>
          <w:bCs/>
          <w:i/>
          <w:iCs/>
          <w:sz w:val="22"/>
          <w:szCs w:val="22"/>
        </w:rPr>
        <w:t xml:space="preserve">доверенности </w:t>
      </w:r>
      <w:r>
        <w:rPr>
          <w:b/>
          <w:color w:val="0000FF"/>
          <w:sz w:val="22"/>
          <w:szCs w:val="22"/>
        </w:rPr>
        <w:t>___________________</w:t>
      </w:r>
      <w:r>
        <w:rPr>
          <w:sz w:val="22"/>
          <w:szCs w:val="22"/>
        </w:rPr>
        <w:t>, с одной стороны, и</w:t>
      </w:r>
    </w:p>
    <w:p>
      <w:pPr>
        <w:pStyle w:val="Normal"/>
        <w:spacing w:before="120" w:after="120"/>
        <w:ind w:left="0" w:firstLine="3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13"/>
          <w:sz w:val="22"/>
          <w:szCs w:val="22"/>
        </w:rPr>
        <w:t>________________________________________________________________________________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 xml:space="preserve">именуемое в дальнейшем </w:t>
      </w:r>
      <w:r>
        <w:rPr>
          <w:b/>
          <w:bCs/>
          <w:sz w:val="22"/>
          <w:szCs w:val="22"/>
        </w:rPr>
        <w:t xml:space="preserve">«Потребитель», </w:t>
      </w:r>
      <w:r>
        <w:rPr>
          <w:sz w:val="22"/>
          <w:szCs w:val="22"/>
        </w:rPr>
        <w:t xml:space="preserve">в лице </w:t>
      </w:r>
      <w:r>
        <w:rPr>
          <w:rStyle w:val="13"/>
          <w:sz w:val="22"/>
          <w:szCs w:val="22"/>
        </w:rPr>
        <w:t>___________________________________________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действующего (-ей) на основании </w:t>
      </w:r>
      <w:r>
        <w:rPr>
          <w:color w:val="0000FF"/>
          <w:sz w:val="22"/>
          <w:szCs w:val="22"/>
        </w:rPr>
        <w:t>____________________________________</w:t>
      </w:r>
      <w:r>
        <w:rPr>
          <w:sz w:val="22"/>
          <w:szCs w:val="22"/>
        </w:rPr>
        <w:t xml:space="preserve">, с другой стороны, а вместе именуемые </w:t>
      </w:r>
      <w:r>
        <w:rPr>
          <w:b/>
          <w:sz w:val="22"/>
          <w:szCs w:val="22"/>
        </w:rPr>
        <w:t>«Стороны»</w:t>
      </w:r>
      <w:r>
        <w:rPr>
          <w:sz w:val="22"/>
          <w:szCs w:val="22"/>
        </w:rPr>
        <w:t>, заключили настоящий Договор о нижеследующем:</w:t>
      </w:r>
    </w:p>
    <w:p>
      <w:pPr>
        <w:pStyle w:val="Normal"/>
        <w:numPr>
          <w:ilvl w:val="0"/>
          <w:numId w:val="3"/>
        </w:numPr>
        <w:tabs>
          <w:tab w:val="left" w:pos="0" w:leader="none"/>
        </w:tabs>
        <w:suppressAutoHyphens w:val="true"/>
        <w:spacing w:before="60" w:after="60"/>
        <w:contextualSpacing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ПРЕДМЕТ ДОГОВОРА.</w:t>
      </w:r>
    </w:p>
    <w:p>
      <w:pPr>
        <w:pStyle w:val="Normal"/>
        <w:tabs>
          <w:tab w:val="left" w:pos="0" w:leader="none"/>
        </w:tabs>
        <w:suppressAutoHyphens w:val="true"/>
        <w:spacing w:before="60" w:after="60"/>
        <w:ind w:left="0" w:hanging="0"/>
        <w:contextualSpacing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widowControl w:val="false"/>
        <w:numPr>
          <w:ilvl w:val="1"/>
          <w:numId w:val="4"/>
        </w:numPr>
        <w:tabs>
          <w:tab w:val="left" w:pos="709" w:leader="none"/>
          <w:tab w:val="left" w:pos="120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Гарантирующий поставщик обязуется осуществлять продажу электрической энергии (мощности), а также самостоятельно или через привлеченных третьих лиц (в дальнейшем – Сетевая организация) оказывать услуги по передаче электрической энергии и услуги, оказание которых является неотъемлемой частью процесса поставки электрической энергии Потребителю, а Потребитель обязуется оплачивать приобретаемую электрическую энергию (мощность) и оказанные услуги.</w:t>
      </w:r>
    </w:p>
    <w:p>
      <w:pPr>
        <w:pStyle w:val="Normal"/>
        <w:widowControl w:val="false"/>
        <w:numPr>
          <w:ilvl w:val="1"/>
          <w:numId w:val="4"/>
        </w:numPr>
        <w:tabs>
          <w:tab w:val="left" w:pos="709" w:leader="none"/>
          <w:tab w:val="left" w:pos="120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Точкой поставки по настоящему договору является место исполнения обязательств, используемое для определения объема взаимных обязательств сторон по договору, расположенное на границе балансовой принадлежности энергопринимающих устройств, определенной в Акте об осуществлении технологического присоединения</w:t>
      </w:r>
      <w:r>
        <w:rPr>
          <w:rFonts w:cs="Courier New" w:ascii="Courier New" w:hAnsi="Courier New"/>
          <w:sz w:val="22"/>
          <w:szCs w:val="22"/>
        </w:rPr>
        <w:t xml:space="preserve"> </w:t>
      </w:r>
      <w:r>
        <w:rPr>
          <w:sz w:val="22"/>
          <w:szCs w:val="22"/>
        </w:rPr>
        <w:t>и (или) Акте разграничения балансовой принадлежности электросетей (Приложение № 3), а до составления в установленном порядке Акта об осуществлении технологического присоединения</w:t>
      </w:r>
      <w:r>
        <w:rPr>
          <w:rFonts w:cs="Courier New" w:ascii="Courier New" w:hAnsi="Courier New"/>
          <w:sz w:val="22"/>
          <w:szCs w:val="22"/>
        </w:rPr>
        <w:t xml:space="preserve"> </w:t>
      </w:r>
      <w:r>
        <w:rPr>
          <w:sz w:val="22"/>
          <w:szCs w:val="22"/>
        </w:rPr>
        <w:t>и (или) Акта разграничения балансовой принадлежности электросетей - в точке присоединения энергопринимающего устройства (объекта электроэнергетики).</w:t>
      </w:r>
    </w:p>
    <w:p>
      <w:pPr>
        <w:pStyle w:val="Normal"/>
        <w:widowControl w:val="false"/>
        <w:numPr>
          <w:ilvl w:val="1"/>
          <w:numId w:val="4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Учет электрической энергии (мощности) по настоящему договору определяется на основании данных, полученных с использованием приборов учета, в том числе входящих в состав измерительного комплекса (совокупности приборов учета и измерительных трансформаторов), систем учета и приборов учета электрической энергии, присоединенных к интеллектуальным системам учета электрической энергии (мощности) и иного оборудования, предназначенных для измерения объемов электрической энергии (мощности) в одной точке поставки (далее – ПУ) электрической энергии (Приложение № 1). В случаях, указанных в разделе 4 настоящего договора, определение объема электрической энергии определяется путем применения расчетных способов.</w:t>
      </w:r>
    </w:p>
    <w:p>
      <w:pPr>
        <w:pStyle w:val="Normal"/>
        <w:widowControl w:val="false"/>
        <w:numPr>
          <w:ilvl w:val="1"/>
          <w:numId w:val="4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Данные, содержащиеся в Приложении № 1, могут быть изменены в течение действия настоящего договора. Изменение данных отражается в актах допуска ПУ в эксплуатацию и становится обязательным для Сторон с даты введения ПУ в эксплуатацию.</w:t>
      </w:r>
    </w:p>
    <w:p>
      <w:pPr>
        <w:pStyle w:val="Normal"/>
        <w:widowControl w:val="false"/>
        <w:numPr>
          <w:ilvl w:val="1"/>
          <w:numId w:val="4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Договорный объем потребления электроэнергии по настоящему договору с помесячной и по объектной детализацией (детализацией на расчетный период) указан в Приложении № 2, которое является неотъемлемой частью настоящего договора. Договорный объем потребления электрической энергии на каждый следующий год с помесячной и по объектной детализацией заявляется Потребителем Гарантирующему поставщику не позднее 15 марта текущего года.</w:t>
      </w:r>
    </w:p>
    <w:p>
      <w:pPr>
        <w:pStyle w:val="Normal"/>
        <w:widowControl w:val="false"/>
        <w:numPr>
          <w:ilvl w:val="1"/>
          <w:numId w:val="4"/>
        </w:numPr>
        <w:tabs>
          <w:tab w:val="left" w:pos="709" w:leader="none"/>
          <w:tab w:val="left" w:pos="120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Изменение цен (тарифов) на электрическую энергию (мощность) в период действия настоящего договора не требует его переоформления и вводится в действие со дня, установленного органом исполнительной власти субъекта РФ в области государственного регулирования тарифов.</w:t>
      </w:r>
    </w:p>
    <w:p>
      <w:pPr>
        <w:pStyle w:val="Normal"/>
        <w:widowControl w:val="false"/>
        <w:numPr>
          <w:ilvl w:val="1"/>
          <w:numId w:val="4"/>
        </w:numPr>
        <w:tabs>
          <w:tab w:val="left" w:pos="709" w:leader="none"/>
          <w:tab w:val="left" w:pos="120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При исполнении настоящего договора Стороны обязуются руководствоваться Гражданским кодексом РФ, федеральными законами и подзаконными нормативно-правовыми актами, регулирующими правоотношения в сфере энергоснабжения. В случае принятия нормативно-правовых актов, устанавливающих иной по сравнению с настоящим договором порядок организации отношений Сторон и (или) субъектов электроэнергетики, подлежат применению нормативно-правовые акты с даты их вступления в законную силу. 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0"/>
          <w:numId w:val="3"/>
        </w:numPr>
        <w:tabs>
          <w:tab w:val="left" w:pos="0" w:leader="none"/>
        </w:tabs>
        <w:suppressAutoHyphens w:val="true"/>
        <w:spacing w:before="0" w:after="0"/>
        <w:contextualSpacing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ОБЯЗАННОСТИ И ПРАВА ГАРАНТИРУЮЩЕГО ПОСТАВЩИКА.</w:t>
      </w:r>
    </w:p>
    <w:p>
      <w:pPr>
        <w:pStyle w:val="Normal"/>
        <w:widowControl w:val="false"/>
        <w:tabs>
          <w:tab w:val="left" w:pos="966" w:leader="none"/>
          <w:tab w:val="left" w:pos="1134" w:leader="none"/>
          <w:tab w:val="left" w:pos="1200" w:leader="none"/>
        </w:tabs>
        <w:suppressAutoHyphens w:val="true"/>
        <w:spacing w:before="0" w:after="0"/>
        <w:ind w:left="360" w:hanging="0"/>
        <w:contextualSpacing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widowControl w:val="false"/>
        <w:numPr>
          <w:ilvl w:val="1"/>
          <w:numId w:val="3"/>
        </w:numPr>
        <w:tabs>
          <w:tab w:val="left" w:pos="0" w:leader="none"/>
          <w:tab w:val="left" w:pos="709" w:leader="none"/>
        </w:tabs>
        <w:suppressAutoHyphens w:val="true"/>
        <w:ind w:left="0" w:hanging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Гарантирующий поставщик обязуется: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</w:tabs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Осуществлять продажу электрической энергии (мощности) в объеме и порядке, установленным настоящим договором, качество и параметры которой должны соответствовать техническим регламентам и иным обязательным требованиям. 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</w:tabs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Для надлежащего исполнения настоящего договора урегулировать отношения, связанные с передачей электрической энергии, путем заключения договора оказания услуг по передаче электрической энергии с Сетевой организацией.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передачу электрической энергии (мощности) в соответствии с согласованной категорией надежности энергопринимающих устройств Потребителя.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</w:tabs>
        <w:ind w:left="0" w:hanging="0"/>
        <w:rPr/>
      </w:pPr>
      <w:r>
        <w:rPr>
          <w:sz w:val="22"/>
          <w:szCs w:val="22"/>
        </w:rPr>
        <w:t xml:space="preserve">Определять в </w:t>
      </w:r>
      <w:hyperlink r:id="rId3">
        <w:r>
          <w:rPr>
            <w:rStyle w:val="Style5"/>
            <w:sz w:val="22"/>
            <w:szCs w:val="22"/>
          </w:rPr>
          <w:t>порядке</w:t>
        </w:r>
      </w:hyperlink>
      <w:r>
        <w:rPr>
          <w:sz w:val="22"/>
          <w:szCs w:val="22"/>
        </w:rPr>
        <w:t>, установленном Министерством энергетики РФ, значения соотношения потребления активной и реактивной мощности для отдельных энергопринимающих устройств (групп энергопринимающих устройств) Потребителя.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В отношении энергопринимающих устройств Потребителя, непосредственно или опосредованно присоединенных к принадлежащим на праве собственности или ином законном основании объектам электросетевого хозяйства ПАО «Камчатскэнерго»: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Обеспечивать на безвозмездной основе коммерческий учет электрической энергии (мощности), путем приобретения, установки, замены, допуска в эксплуатацию ПУ, в случаях отсутствия, выхода из строя, утраты, истечения срока эксплуатации или истечении интервала между поверками ПУ, используемого для коммерческого учета Потребителя, кроме случаев, предусмотренных действующим законодательством РФ, не позднее 6 месяцев с даты наступления указанных событий.</w:t>
      </w:r>
      <w:r>
        <w:rPr>
          <w:iCs/>
          <w:color w:val="FF0000"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на безвозмездной основе эксплуатацию установленных ПУ, оборудования, используемых для коммерческого учета Потребителя со дня допуска их в эксплуатацию до момента выхода из строя путем проведения осмотров, технического обслуживания, своевременной поверки.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709" w:leader="none"/>
        </w:tabs>
        <w:ind w:left="0" w:hanging="0"/>
        <w:rPr>
          <w:color w:val="000000"/>
          <w:sz w:val="22"/>
          <w:szCs w:val="22"/>
        </w:rPr>
      </w:pPr>
      <w:r>
        <w:rPr>
          <w:iCs/>
          <w:color w:val="000000"/>
          <w:sz w:val="22"/>
          <w:szCs w:val="22"/>
        </w:rPr>
        <w:t>Направлять Потребителю запрос на установку (замену) ПУ способом, позволяющим подтвердить факт получения с учетом требований, предусмотренных законодательством РФ.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709" w:leader="none"/>
        </w:tabs>
        <w:ind w:left="0" w:hanging="0"/>
        <w:rPr>
          <w:color w:val="000000"/>
          <w:sz w:val="22"/>
          <w:szCs w:val="22"/>
        </w:rPr>
      </w:pPr>
      <w:r>
        <w:rPr>
          <w:iCs/>
          <w:color w:val="000000"/>
          <w:sz w:val="22"/>
          <w:szCs w:val="22"/>
        </w:rPr>
        <w:t>Устанавливать ПУ Потребителя в месте максимально приближенном к границе балансовой принадлежности в случае отсутствия ответа Потребителя на направленный Гарантирующим поставщиком запрос на установку (замену) ПУ в установленный срок (10 рабочих дней со дня получения запроса) или получения отказа Потребителя в установке ПУ при наличии технической возможности установки или при двукратном недопуске к месту установки ПУ, но не ранее 4 месяцев с момента первого недопуска.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iCs/>
          <w:sz w:val="22"/>
          <w:szCs w:val="22"/>
        </w:rPr>
        <w:t xml:space="preserve">Производить установку ПУ и иного оборудования, используемого для коммерческого учета, соответствующих требованиям Законодательства РФ. </w:t>
      </w:r>
    </w:p>
    <w:p>
      <w:pPr>
        <w:pStyle w:val="Normal"/>
        <w:widowControl w:val="false"/>
        <w:numPr>
          <w:ilvl w:val="3"/>
          <w:numId w:val="3"/>
        </w:numPr>
        <w:ind w:left="0" w:hanging="0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Устанавливать ПУ Потребителя в случаях и в местах, соответствующих требованиям Законодательства РФ.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Направлять Потребителю приглашение на участие в процедуре допуска ПУ в эксплуатацию за 3 календарных дня до проведения. Направлять Потребителю копию акта допуска ПУ в эксплуатацию в течение 2 рабочих дней со дня проведения процедуры допуска ПУ в эксплуатацию в случае неявки Потребителя или его уполномоченного представителя в назначенную в приглашении дату и время.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Направлять Потребителю уведомление о планируемом проведении демонтажа ПУ или иного оборудования, используемого для коммерческого учета, в связи с проведением капитального ремонта или реконструкции объектов в местах установки ПУ, принадлежащих на праве собственности или ином законном праве ПАО «Камчатскэнерго» за 7 рабочих дней до планируемой даты проведения</w:t>
      </w:r>
      <w:r>
        <w:rPr/>
        <w:t xml:space="preserve"> </w:t>
      </w:r>
      <w:r>
        <w:rPr>
          <w:sz w:val="22"/>
          <w:szCs w:val="22"/>
        </w:rPr>
        <w:t>процедуры с указанием даты и времени демонтажа ПУ, а также причин. Перед проведением демонтажа ПУ, производить снятие показаний ПУ, проверку ПУ с фиксацией данных в акте демонтажа ПУ. Направлять Потребителю копию акта демонтажа в течение 3 рабочих дней со дня составления акта в случае отсутствия Потребителя при проведении процедуры демонтажа.</w:t>
      </w:r>
      <w:r>
        <w:rPr>
          <w:iCs/>
          <w:color w:val="FF0000"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iCs/>
          <w:sz w:val="22"/>
          <w:szCs w:val="22"/>
        </w:rPr>
        <w:t>Направлять Потребителю уведомление о проведении проверки ПУ за 5 рабочих дней до даты проведения с указанием последствий недопуска к ПУ Потребителя, в случаях, когда для проведения проверки требуется допуск к энергопринимающим устройствам (объектам по производству электрической энергии) Потребителя.</w:t>
      </w:r>
      <w:r>
        <w:rPr>
          <w:iCs/>
          <w:color w:val="FF0000"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iCs/>
          <w:sz w:val="22"/>
          <w:szCs w:val="22"/>
        </w:rPr>
        <w:t>Производить снятие показаний ПУ Потребителя, присоединенных к интеллектуальным система учета электрической энергии (мощности) Гарантирующего поставщика, или расположенных в границах его объектов электросетевого хозяйства.</w:t>
      </w:r>
      <w:r>
        <w:rPr>
          <w:iCs/>
          <w:color w:val="FF0000"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iCs/>
          <w:sz w:val="22"/>
          <w:szCs w:val="22"/>
        </w:rPr>
        <w:t>Предоставлять Потребителю показания ПУ, подключенных к интеллектуальной системе учета Гарантирующего поставщика, в порядке и на условиях, определенных правилами предоставления доступа к минимальному набору функций интеллектуальных систем учета электрической энергии.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709" w:leader="none"/>
        </w:tabs>
        <w:ind w:left="0" w:hanging="0"/>
        <w:rPr>
          <w:iCs/>
          <w:sz w:val="22"/>
          <w:szCs w:val="22"/>
        </w:rPr>
      </w:pPr>
      <w:r>
        <w:rPr>
          <w:sz w:val="22"/>
          <w:szCs w:val="22"/>
        </w:rPr>
        <w:t xml:space="preserve">Проводить плановую проверку ПУ Потребителя, не присоединенных к </w:t>
      </w:r>
      <w:r>
        <w:rPr>
          <w:iCs/>
          <w:sz w:val="22"/>
          <w:szCs w:val="22"/>
        </w:rPr>
        <w:t xml:space="preserve">интеллектуальной системе учета Гарантирующего поставщика, не реже 1 раза в год. 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709" w:leader="none"/>
        </w:tabs>
        <w:ind w:left="0" w:hanging="0"/>
        <w:rPr>
          <w:iCs/>
          <w:sz w:val="22"/>
          <w:szCs w:val="22"/>
        </w:rPr>
      </w:pPr>
      <w:r>
        <w:rPr>
          <w:iCs/>
          <w:sz w:val="22"/>
          <w:szCs w:val="22"/>
        </w:rPr>
        <w:t>Осуществлять действия по обеспечению оборудования точек поставки ПУ, в случае если точки поставки на день заключения договора не оборудованы ПУ.</w:t>
      </w:r>
    </w:p>
    <w:p>
      <w:pPr>
        <w:pStyle w:val="Normal"/>
        <w:widowControl w:val="false"/>
        <w:numPr>
          <w:ilvl w:val="3"/>
          <w:numId w:val="3"/>
        </w:numPr>
        <w:tabs>
          <w:tab w:val="left" w:pos="709" w:leader="none"/>
        </w:tabs>
        <w:ind w:left="0" w:hanging="0"/>
        <w:rPr>
          <w:iCs/>
          <w:sz w:val="22"/>
          <w:szCs w:val="22"/>
        </w:rPr>
      </w:pPr>
      <w:r>
        <w:rPr>
          <w:iCs/>
          <w:sz w:val="22"/>
          <w:szCs w:val="22"/>
        </w:rPr>
        <w:t>Осуществлять контроль соблюдения требований законодательства Российской Федерации об обеспечении единства измерений, в том числе к месту установки, классу точности, наличия неповрежденных контрольных пломб и (или) знаков визуального контроля допущенных в эксплуатацию расчетных ПУ, а также подлежащих к установке ПУ. которые могут быть присоединены к интеллектуальной системе учета электрической энергии (мощности), в соответствии с правилами предоставления доступа к минимальному набору функций интеллектуальных систем учета электрической энергии (мощности), а также извещать заинтересованных субъектов электроэнергетики, потребителей электрической энергии (мощности) и иных владельцев ПУ электрической энергии об их нарушении.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информационный обмен данными, получаемыми в ходе обеспечения коммерческого учета электрической энергии (мощности) на розничных рынках, необходимыми для взаиморасчетов за поставки электрической энергии и мощности, а также за связанные с указанными поставками услуги, на безвозмездной основе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иные действия, необходимые для реализации прав Потребителя, предусмотренные действующим законодательством РФ.</w:t>
      </w:r>
    </w:p>
    <w:p>
      <w:pPr>
        <w:pStyle w:val="Normal"/>
        <w:widowControl w:val="false"/>
        <w:tabs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1"/>
          <w:numId w:val="3"/>
        </w:numPr>
        <w:tabs>
          <w:tab w:val="left" w:pos="0" w:leader="none"/>
          <w:tab w:val="left" w:pos="709" w:leader="none"/>
        </w:tabs>
        <w:suppressAutoHyphens w:val="true"/>
        <w:ind w:left="0" w:hanging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Гарантирующий поставщик имеет право: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rPr>
          <w:iCs/>
          <w:sz w:val="22"/>
          <w:szCs w:val="22"/>
        </w:rPr>
      </w:pPr>
      <w:r>
        <w:rPr>
          <w:iCs/>
          <w:sz w:val="22"/>
          <w:szCs w:val="22"/>
        </w:rPr>
        <w:t>Требовать своевременной оплаты за потребленную электрическую энергию (мощность), услуги по передаче электрической энергии</w:t>
      </w:r>
      <w:r>
        <w:rPr>
          <w:sz w:val="22"/>
          <w:szCs w:val="22"/>
        </w:rPr>
        <w:t xml:space="preserve"> и услуги, оказание которых является неотъемлемой частью процесса поставки электрической энергии Потребителю </w:t>
      </w:r>
      <w:r>
        <w:rPr>
          <w:iCs/>
          <w:sz w:val="22"/>
          <w:szCs w:val="22"/>
        </w:rPr>
        <w:t>в соответствии с условиями настоящего договора.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rPr>
          <w:iCs/>
          <w:sz w:val="22"/>
          <w:szCs w:val="22"/>
        </w:rPr>
      </w:pPr>
      <w:r>
        <w:rPr>
          <w:sz w:val="22"/>
          <w:szCs w:val="22"/>
        </w:rPr>
        <w:t>Инициировать введение полного и (или) частичного ограничения режима потребления в установленном порядке при наступлении любого из обстоятельств, указанных в разделе 6 настоящего договора.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rPr>
          <w:iCs/>
          <w:sz w:val="22"/>
          <w:szCs w:val="22"/>
        </w:rPr>
      </w:pPr>
      <w:r>
        <w:rPr>
          <w:sz w:val="22"/>
          <w:szCs w:val="22"/>
        </w:rPr>
        <w:t>Периодического (не чаще 1 раза в месяц) доступа к ПУ Потребителя для цели проверки условий их эксплуатации и сохранности, снятия контрольных показаний</w:t>
      </w:r>
      <w:r>
        <w:rPr>
          <w:i/>
          <w:sz w:val="22"/>
          <w:szCs w:val="22"/>
        </w:rPr>
        <w:t>,</w:t>
      </w:r>
      <w:r>
        <w:rPr>
          <w:sz w:val="22"/>
          <w:szCs w:val="22"/>
        </w:rPr>
        <w:t xml:space="preserve"> проведения проверок (замеров), осуществления технического обслуживания.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Требовать возмещения убытков, причиненных Потребителем вследствие неисполнения или ненадлежащего исполнения обязанностей по обеспечению сохранности и целостности приборов учета, иного оборудования, используемых для коммерческого учета Потребителя, принадлежащих на праве собственности или ином законном праве ПАО «Камчатскэнерго». 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процедуру допуска в эксплуатацию ПУ в случае неявки потребителя или его уполномоченного представителя в дату и время, указанные в приглашении на участие в процедуре допуска ПУ. Допускать ПУ в эксплуатацию при неявке Потребителя или его уполномоченного представителя, либо отказе от подписания акта допуска ПУ в эксплуатацию (с указанием в акте допуска ПУ в эксплуатацию соответствующей отметки).</w:t>
      </w:r>
      <w:r>
        <w:rPr>
          <w:iCs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Выбирать расчетный ПУ Потребителя в случае наличия нескольких ПУ, расположенных по обе стороны границы балансовой принадлежности, в соответствии с критериями, определенными законодательством РФ. 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Проводить внеплановую проверку ПУ </w:t>
      </w:r>
      <w:r>
        <w:rPr>
          <w:sz w:val="22"/>
          <w:szCs w:val="22"/>
        </w:rPr>
        <w:t>Потребителя в случаях, предусмотренных Законодательством РФ.</w:t>
      </w:r>
      <w:r>
        <w:rPr>
          <w:iCs/>
          <w:color w:val="FF0000"/>
          <w:sz w:val="22"/>
          <w:szCs w:val="22"/>
        </w:rPr>
        <w:t xml:space="preserve"> 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  <w:tab w:val="left" w:pos="1134" w:leader="none"/>
        </w:tabs>
        <w:ind w:left="0" w:hanging="0"/>
        <w:rPr>
          <w:iCs/>
          <w:sz w:val="22"/>
          <w:szCs w:val="22"/>
        </w:rPr>
      </w:pPr>
      <w:r>
        <w:rPr>
          <w:sz w:val="22"/>
          <w:szCs w:val="22"/>
        </w:rPr>
        <w:t xml:space="preserve">Осуществлять за отдельную плату установку, замену ПУ до истечения их срока поверки или эксплуатации в случаях, не связанных с утратой, выходом из строя или неисправностью ПУ, при обращении потребителя, а также предоставлять услуги, не включенные в минимальный набор функций интеллектуальных систем учета электрической энергии (мощности), с использованием ПУ и результатов измерений таких ПУ. 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0"/>
          <w:numId w:val="3"/>
        </w:numPr>
        <w:spacing w:before="0" w:after="0"/>
        <w:contextualSpacing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ОБЯЗАННОСТИ И ПРАВА ПОТРЕБИТЕЛЯ.</w:t>
      </w:r>
    </w:p>
    <w:p>
      <w:pPr>
        <w:pStyle w:val="Normal"/>
        <w:widowControl w:val="false"/>
        <w:spacing w:before="0" w:after="0"/>
        <w:ind w:left="360" w:hanging="0"/>
        <w:contextualSpacing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widowControl w:val="false"/>
        <w:numPr>
          <w:ilvl w:val="1"/>
          <w:numId w:val="3"/>
        </w:numPr>
        <w:tabs>
          <w:tab w:val="left" w:pos="0" w:leader="none"/>
          <w:tab w:val="left" w:pos="709" w:leader="none"/>
        </w:tabs>
        <w:suppressAutoHyphens w:val="true"/>
        <w:ind w:left="0" w:hanging="0"/>
        <w:jc w:val="left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Потребитель обязуется: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Оплачивать приобретаемую электрическую энергию (мощность) и оказанные услуги по передаче электрической энергии в сроки и на условиях, предусмотренных настоящим договором. Введение полного и (или) частичного ограничения режима потребления электрической энергии (мощности) в отношении Потребителя по настоящему договору не освобождает Потребителя от обязанности оплатить Гарантирующему поставщику в полном размере стоимость электрической энергии (мощности), поставленной до его введения.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suppressAutoHyphens w:val="true"/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Соблюдать предусмотренный настоящим договором и документами о технологическом присоединении режим потребления электрической энергии (мощности).</w:t>
      </w:r>
    </w:p>
    <w:p>
      <w:pPr>
        <w:pStyle w:val="ListParagraph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Обеспечивать в течение всего срока действия настоящего договора сохранность и целостность ПУ, а также пломб и (или) знаков визуального контроля; снятие и хранение показаний ПУ, своевременное предоставление показаний ПУ, не подключенных к интеллектуальной системе учета сетевой организации и расположенных в границах балансовой принадлежности Потребителя.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Возместить сетевой организации (гарантирующему поставщику) убытки, причиненные неисполнением или ненадлежащим исполнением обязанностей по обеспечению сохранности и целостности установленных сетевой организацией (гарантирующим поставщиком) ПУ и (или) иного оборудования, которые используются для обеспечения коммерческого учета электрической энергии (мощности).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При выявлении фактов неисправности или утраты расчетного ПУ в течение одних суток сообщить об этом Гарантирующему поставщику.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Осуществлять эксплуатацию принадлежащих Потребителю энергопринимающих устройств в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соответствии с правилами технической эксплуатации, техники безопасности и оперативно-диспетчерского управления.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Уведомлять Гарантирующего поставщика путем направления письменной заявки о намерении демонтировать ПУ в целях проведения капитального ремонта или реконструкции объектов Потребителя в местах установки ПУ не менее чем за 7 рабочих дней до планируемой даты проведения демонтажа ПУ. Обеспечить окончание работ</w:t>
      </w:r>
      <w:r>
        <w:rPr/>
        <w:t xml:space="preserve"> </w:t>
      </w:r>
      <w:r>
        <w:rPr>
          <w:sz w:val="22"/>
          <w:szCs w:val="22"/>
        </w:rPr>
        <w:t>по капитальному ремонту или реконструкции объектов в местах установки ПУ Потребителя или предоставление других мест для установки ПУ не позднее 6 месяцев с момента демонтажа ПУ.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Обеспечить функционирование и реализацию управляющих воздействий устройств релейной защиты, противоаварийной и режимной автоматики, средств регулирования напряжения и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 xml:space="preserve">компенсации реактивной мощности, установленных в границах его балансовой принадлежности. 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Незамедлительно (в течение суток) уведомлять Гарантирующего поставщика и Сетевую организацию об аварийных ситуациях на энергетических объектах, плановом, текущем и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капитальном ремонте на них.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Обеспечить проведение замеров мощности на энергопринимающих устройствах (объектах электроэнергетики), в отношении которых заключен настоящий договор, (за исключением энергопринимающих устройств (объектов электроэнергетики), в отношении которых установлены и введены в эксплуатацию ПУ после 1 июля 2020 г.) и представлять Гарантирующему поставщику и Сетевой организации информацию о результатах проведенных замеров в течение 3 рабочих дней с даты проведения соответствующего замера. при получении от Сетевой организации требования о проведении замеров. 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Поддерживать на границе балансовой принадлежности значения показателей качества электрической энергии, обусловленные работой энергопринимающих устройств Потребителя, соответствующие техническим регламентам и иным обязательным требованиям, в том числе соблюдать установленные договором значения соотношения потребления активной и реактивной мощности, определяемые для отдельных энергопринимающих устройств (групп энергопринимающих устройств). В случае несоблюдения установленного коэффициента мощности оплачивать услуги по компенсации реактивной мощности в соответствии с Приложением № 5 к настоящему договору.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Обеспечить доступ представителей Гарантирующего поставщика и (или) Сетевой организации к энергопринимающим устройствам, находящимся в границах балансовой принадлежности Потребителя, для осуществления проверок (замеров).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По запросу Гарантирующего поставщика или Сетевой организации предоставлять технологическую информацию (главные электрические схемы, характеристики оборудования, схемы устройств релейной защиты и противоаварийной автоматики, оперативные данные о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технологических режимах работы оборудования).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Обеспечить своевременное выполнение диспетчерских команд (распоряжений) Гарантирующего поставщика и соответствующих требований Сетевой организации. 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Соблюдать заданные в установленном порядке Сетевой организацией требования к установке устройств релейной защиты и автоматики, а также поддерживать схему электроснабжения с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выделением ответственных нагрузок на резервируемые внешние питающие линии, обеспечивающие отпуск электрической энергии для покрытия технологической и аварийной брони.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Выполнять требования Гарантирующего поставщика об ограничении режима потребления в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соответствии с утвержденными графиками аварийного ограничения режима потребления электрической энергии при возникновении (угрозе возникновения) дефицита электрической энергии и мощности, а также в иных случаях, предусмотренных законодательством РФ в качестве основания для введения полного или частичного ограничения режима потребления.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Информировать Гарантирующего поставщика и Сетевую организацию об объеме участия в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автоматическом либо оперативном противоаварийном управлении мощностью, в нормированном первичном регулировании частоты и во вторичном регулировании мощности (для электростанций), а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также о перечне и мощности токоприемников, которые могут быть отключены устройствами противоаварийной автоматики.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Подтвердить в течение 10 рабочих дней со дня получения запроса сетевой организации с намерением установить (заменить) ПУ дату и время допуска к местам установки ПУ для совершения действий сетевой организации по установке (замене) и допуску в эксплуатацию ПУ, либо согласовать иные дату и (или) время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Обеспечить доступ к месту установки ПУ представителей организаций, уполномоченных на совершение действий по установке, вводу в эксплуатацию и демонтажу ПУ, а также для проверки и снятия показаний, в том числе контрольного снятия показаний, в согласованную дату и время.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  <w:tab w:val="left" w:pos="1134" w:leader="none"/>
        </w:tabs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Предоставить список лиц, ответственных за электрохозяйство, за эксплуатацию ПУ, лиц, имеющих право ведения оперативных переговоров, подписания заявок, принятия претензий, отчетов, актов снятия показаний расчетных приборов учета, актов о неучтенном потреблении электрической энергии и иных актов (Приложение № 9). Список должен содержать должности и</w:t>
      </w:r>
      <w:r>
        <w:rPr>
          <w:rFonts w:eastAsia="Calibri"/>
          <w:sz w:val="22"/>
          <w:szCs w:val="22"/>
          <w:lang w:val="en-US" w:eastAsia="en-US"/>
        </w:rPr>
        <w:t> </w:t>
      </w:r>
      <w:r>
        <w:rPr>
          <w:rFonts w:eastAsia="Calibri"/>
          <w:sz w:val="22"/>
          <w:szCs w:val="22"/>
          <w:lang w:eastAsia="en-US"/>
        </w:rPr>
        <w:t>фамилии уполномоченных лиц, номер их телефона, факса для оперативной связи. Потребитель обязуется незамедлительно извещать Гарантирующего поставщика об изменении данных, указанных в настоящем пункте.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  <w:tab w:val="left" w:pos="1134" w:leader="none"/>
        </w:tabs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 течение 3-х дней с момента соответствующего изменения письменно сообщать Гарантирующему поставщику об изменениях юридического адреса, места нахождения, банковских реквизитов, наименования, ведомственной принадлежности и/или формы собственности, перечне обслуживаемых объектов и других обстоятельствах, влияющих на надлежащее исполнение настоящего договора, с приложением соответствующих изменениям документов.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В случае отказа </w:t>
      </w:r>
      <w:r>
        <w:rPr>
          <w:sz w:val="22"/>
          <w:szCs w:val="22"/>
        </w:rPr>
        <w:t>Потребителя</w:t>
      </w:r>
      <w:r>
        <w:rPr>
          <w:rFonts w:eastAsia="Calibri"/>
          <w:sz w:val="22"/>
          <w:szCs w:val="22"/>
          <w:lang w:eastAsia="en-US"/>
        </w:rPr>
        <w:t xml:space="preserve"> от исполнения настоящего договора в одностороннем порядке не позднее чем за 20 рабочих дней до заявляемой им даты расторжения дней с даты принятия указанного решения, направить письменное уведомление Гарантирующему поставщику способом, позволяющим подтвердить факт и дачу получения уведомления.</w:t>
        <w:tab/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bCs/>
          <w:sz w:val="22"/>
          <w:szCs w:val="22"/>
        </w:rPr>
        <w:tab/>
        <w:t>При этом Потребитель обязан оплатить Гарантирующему поставщику стоимость потребленной электрической энергии (мощности), что должно быть подтверждено оплатой счета.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При изменении настоящего договора направить Гарантирующему поставщику письменное уведомление об этом не позднее чем за 20 рабочих дней до заявляемой даты изменения настоящего договора способом, позволяющим подтвердить факт и дату получения уведомления.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Обеспечить предоставление Гарантирующему поставщику показаний ПУ, используемых для расчетов по договору, на дату расторжения или изменения договора, для осуществления окончательных расчетов за электрическую энергию (мощность).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  <w:tab w:val="left" w:pos="1134" w:leader="none"/>
        </w:tabs>
        <w:ind w:left="0" w:hanging="0"/>
        <w:rPr>
          <w:bCs/>
          <w:sz w:val="22"/>
          <w:szCs w:val="22"/>
        </w:rPr>
      </w:pPr>
      <w:r>
        <w:rPr>
          <w:sz w:val="22"/>
          <w:szCs w:val="22"/>
        </w:rPr>
        <w:t>В случае соответствия Потребителя критериям, установленным Правительством РФ, при которых у Потребителя возникает обязанность предоставления обеспечения исполнения обязательств по оплате электрической энергии (мощности), предоставить указанное обеспечение в установленные уведомлением Гарантирующего поставщика сроки.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Потребитель, ограничение режима потребления электрической энергии (мощности) которого может привести к экономическим, экологическим или социальным последствиям, и категории которых определены в приложении к «Правилам полного и (или) частичного ограничения режима потребления электрической энергии», утвержденным постановлением Правительства РФ от 4 мая 2012 г. №442, - обязан: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 xml:space="preserve">составить и согласовать с Сетевой организацией акт согласования технологической и (или) аварийной брони (форма Приложения № 6). Согласованный акт согласования технологической и (или) аварийной брони предоставить при подписании настоящего договора: 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bCs/>
          <w:sz w:val="22"/>
          <w:szCs w:val="22"/>
        </w:rPr>
        <w:t>выделить электроприемники аварийной брони электроснабжения на отдельные питающие линии, по которым подача электрической энергии (мощности) не подлежит временному отключению, либо путем использования потребителем автономных резервных источников питания;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 xml:space="preserve"> обеспечить поддержание автономного резервного источника питания в состоянии готовности к его использованию при возникновении внерегламентных отключений, введении аварийного ограничения режима потребления электрической энергии или использования противоаварийной автоматики;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>обеспечивать соблюдение установленного актом согласования технологической и (или) аварийной брони режима потребления электрической энергии, а также уровня нагрузки технологической и (или) аварийной брони и сроков завершения технологического процесса при введении ограничения режима потребления электрической энергии;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>не позднее трех дней после получения уведомления о введении ограничения режима потребления электрической энергии устранить причины, являющиеся основанием для введения ограничения режима потребления, либо представить Гарантирующему поставщику план мероприятий по обеспечению готовности к введению в отношении его энергопринимающих устройств и (или) объектов электроэнергетики полного ограничения режима потребления, включающий в себя мероприятия, необходимые для безаварийного прекращения технологического процесса, обеспечения безопасности людей и сохранности оборудования, и (или) мероприятия по установке за свой счет автономных источников питания, обеспечивающих снабжение электрической энергией его энергопринимающих устройств и (или) объектов электроэнергетики;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>после выполнения мероприятий направить</w:t>
      </w:r>
      <w:r>
        <w:rPr/>
        <w:t xml:space="preserve"> </w:t>
      </w:r>
      <w:r>
        <w:rPr>
          <w:bCs/>
          <w:sz w:val="22"/>
          <w:szCs w:val="22"/>
        </w:rPr>
        <w:t>Гарантирующему поставщику уведомление о готовности к введению полного ограничения режима потребления электрической энергии;</w:t>
      </w:r>
    </w:p>
    <w:p>
      <w:pPr>
        <w:pStyle w:val="Normal"/>
        <w:widowControl w:val="false"/>
        <w:tabs>
          <w:tab w:val="left" w:pos="0" w:leader="none"/>
          <w:tab w:val="left" w:pos="709" w:leader="none"/>
        </w:tabs>
        <w:ind w:left="0" w:hanging="0"/>
        <w:rPr>
          <w:sz w:val="22"/>
          <w:szCs w:val="22"/>
        </w:rPr>
      </w:pPr>
      <w:r>
        <w:rPr>
          <w:bCs/>
          <w:sz w:val="22"/>
          <w:szCs w:val="22"/>
        </w:rPr>
        <w:t>-</w:t>
        <w:tab/>
        <w:t>направить высшему должностному лицу субъекта Российской Федерации информацию о принадлежащих им на праве собственности или на ином законном основании энергопринимающих устройствах и (или) объектах электроэнергетики, ограничение режима потребления которыми может привести к экономическим, экологическим или социальным последствиям, и о наличии либо об отсутствии соответствующих актов согласования технологической и (или) аварийной брони.</w:t>
      </w:r>
    </w:p>
    <w:p>
      <w:pPr>
        <w:pStyle w:val="ListParagraph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bCs/>
          <w:sz w:val="22"/>
          <w:szCs w:val="22"/>
        </w:rPr>
        <w:t>Оплатить объем бездоговорного потребления электрической энергии по счету в течение 10 дней со дня получения счета.</w:t>
      </w:r>
    </w:p>
    <w:p>
      <w:pPr>
        <w:pStyle w:val="ListParagraph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bCs/>
          <w:sz w:val="22"/>
          <w:szCs w:val="22"/>
        </w:rPr>
        <w:t>Потребитель не вправе по своему усмотрению демонтировать ПУ</w:t>
      </w:r>
      <w:r>
        <w:rPr>
          <w:bCs/>
        </w:rPr>
        <w:t>,</w:t>
      </w:r>
      <w:r>
        <w:rPr>
          <w:bCs/>
          <w:sz w:val="22"/>
          <w:szCs w:val="22"/>
        </w:rPr>
        <w:t xml:space="preserve"> ограничивать к ним доступ, вмешиваться в процесс удаленного сбора, обработки и передачи показаний ПУ (измерительных трансформаторов), в любой иной форме препятствовать их использованию для обеспечения и осуществления контроля коммерческого учета электрической энергии (мощности), в том числе препятствовать проведению проверок целостности и корректности их работы, использованию для этих целей данных, получаемых с принадлежащих им ПУ электрической энергии.</w:t>
      </w:r>
    </w:p>
    <w:p>
      <w:pPr>
        <w:pStyle w:val="ListParagraph"/>
        <w:widowControl w:val="false"/>
        <w:numPr>
          <w:ilvl w:val="2"/>
          <w:numId w:val="3"/>
        </w:numPr>
        <w:tabs>
          <w:tab w:val="left" w:pos="0" w:leader="none"/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Выполнять иные обязанности и требования, установленные отраслевым законодательством в сфере энергоснабжения.</w:t>
      </w:r>
    </w:p>
    <w:p>
      <w:pPr>
        <w:pStyle w:val="Normal"/>
        <w:widowControl w:val="false"/>
        <w:tabs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  <w:tab w:val="left" w:pos="1134" w:leader="none"/>
        </w:tabs>
        <w:suppressAutoHyphens w:val="true"/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Потребитель имеет право: 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Требовать поддержания на границе балансовой принадлежности электросетей показателей качества электроэнергии в соответствии с действующими нормативными документами.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Требовать обеспечения надежности энергоснабжения в соответствии с условиями настоящего договора и фактической схемой электроснабжения.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Использовать действующие расчетные ПУ вплоть доистечения установленного для них межповерочного интервала, срока эксплуатации, либо до момента выхода таких ПУ из строя или их утраты.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Отказать Гарантирующему поставщику в установке ПУ при отсутствии технической возможности установки ПУ в месте, указанном Гарантирующим поставщиком в запросе на установку (замену) ПУ.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Требовать с сетевой организации выплату неустойки в случае неисполнения или ненадлежащего исполнения обязанностей по установке, замене и допуску в эксплуатацию ПУ по истечении 6 месяцев с момента наступления одного из событий, повлекших необходимость установки или замены ПУ и ввода его в эксплуатацию (выход ПУ из строя, истечение межповерочного интервала, срока эксплуатации, утрата ПУ) в размере, предусмотренном законодательством РФ, кроме случаев, когда неисполнение или ненадлежащее исполнение таких обязанностей возникло по причине недопуска Потребителем представителя Гарантирующего поставщика к местам установки ПУ, в то время как техническая возможность установки ПУ в ином месте, максимально приближенном к границе балансовой принадлежности, отсутствует. Проводить проверки соблюдения сетевой организацией или гарантирующим поставщиком требований законодательства Российской Федерации об обеспечении единства измерений, в том числе к месту установки, классу точности, наличия неповрежденных контрольных пломб и (или) знаков визуального контроля допущенных в эксплуатацию расчетных ПУ, а также подлежащих к установке ПУ. которые могут быть присоединены к интеллектуальной системе учета электрической энергии (мощности), в соответствии с правилами предоставления доступа к минимальному набору функций интеллектуальных систем учета электрической энергии (мощности) в том числе с привлечением аккредитованных в установленном порядке в области обеспечения единства измерений юридических лиц (индивидуальных предпринимателей).</w:t>
      </w:r>
    </w:p>
    <w:p>
      <w:pPr>
        <w:pStyle w:val="Normal"/>
        <w:widowControl w:val="false"/>
        <w:numPr>
          <w:ilvl w:val="2"/>
          <w:numId w:val="3"/>
        </w:numPr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С даты утраты Гарантирующим поставщиком его статуса перейти на обслуживание к организации, которой присвоен статус Гарантирующего поставщика или к энергосбытовой (энергоснабжающей) организации или производителю электрической энергии (мощности) на розничном рынке, при условии соблюдения установленных законодательством условий заключения договоров с указанными субъектами. </w:t>
      </w:r>
    </w:p>
    <w:p>
      <w:pPr>
        <w:pStyle w:val="Normal"/>
        <w:widowControl w:val="false"/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widowControl w:val="false"/>
        <w:numPr>
          <w:ilvl w:val="0"/>
          <w:numId w:val="3"/>
        </w:numPr>
        <w:tabs>
          <w:tab w:val="left" w:pos="426" w:leader="none"/>
        </w:tabs>
        <w:suppressAutoHyphens w:val="true"/>
        <w:spacing w:before="0" w:after="0"/>
        <w:ind w:left="0" w:hanging="0"/>
        <w:contextualSpacing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ПОРЯДОК УЧЕТА ЭЛЕКТРИЧЕСКОЙ ЭНЕРГИИ (МОЩНОСТИ) С ИСПОЛЬЗОВАНИЕМ ПУ И ПОРЯДОК ВЗАИМОДЕЙСТВИЯ СТОРОН В ПРОЦЕССЕ ТАКОГО УЧЕТА.</w:t>
      </w:r>
    </w:p>
    <w:p>
      <w:pPr>
        <w:pStyle w:val="Normal"/>
        <w:widowControl w:val="false"/>
        <w:tabs>
          <w:tab w:val="left" w:pos="0" w:leader="none"/>
        </w:tabs>
        <w:suppressAutoHyphens w:val="true"/>
        <w:spacing w:before="0" w:after="0"/>
        <w:ind w:left="0" w:hanging="0"/>
        <w:contextualSpacing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ListParagraph"/>
        <w:numPr>
          <w:ilvl w:val="1"/>
          <w:numId w:val="3"/>
        </w:numPr>
        <w:tabs>
          <w:tab w:val="left" w:pos="0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Для учета электрической энергии (мощности), потребляемой Потребителем, подлежат использованию ПУ, соответствующие требованиям законодательства Российской Федерации об обеспечении единства измерений, а также нормативно-правовыми актами, регулирующими правоотношения в сфере энергоснабжения, в том числе по их классу точности, быть допущенными в эксплуатацию в установленном порядке, иметь неповрежденные контрольные пломбы и (или) знаки визуального контроля.</w:t>
      </w:r>
    </w:p>
    <w:p>
      <w:pPr>
        <w:pStyle w:val="ListParagraph"/>
        <w:numPr>
          <w:ilvl w:val="1"/>
          <w:numId w:val="3"/>
        </w:numPr>
        <w:tabs>
          <w:tab w:val="left" w:pos="0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Сетевые организации обеспечивают коммерческий учет электрической энергии (мощности) энергопринимающих устройств потребителей электрической энергии (мощности), в том числе путем приобретения, установки, замены, допуска в эксплуатацию ПУ электрической энергии и (или) иного оборудования, а также нематериальных активов, которые необходимы для обеспечения коммерческого учета электрической энергии (мощности), и последующей их эксплуатации, том числе посредством интеллектуальных систем учета электрической энергии (мощности):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при отсутствии, выходе из строя, утрате, истечении срока эксплуатации или истечении интервала между поверками ПУ электрической энергии и (или) иного оборудования, которые используются для коммерческого учета электрической энергии (мощности), в том числе не принадлежащих сетевой организации (гарантирующему поставщику);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 xml:space="preserve">в процессе технологического присоединения энергопринимающих устройств. 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426" w:leader="none"/>
        </w:tabs>
        <w:suppressAutoHyphens w:val="true"/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ПУ подлежат установке (в порядке убывания приоритета):</w:t>
      </w:r>
    </w:p>
    <w:p>
      <w:pPr>
        <w:pStyle w:val="Normal"/>
        <w:widowControl w:val="false"/>
        <w:tabs>
          <w:tab w:val="left" w:pos="426" w:leader="none"/>
        </w:tabs>
        <w:suppressAutoHyphens w:val="true"/>
        <w:spacing w:before="0" w:after="0"/>
        <w:ind w:left="0" w:hanging="0"/>
        <w:contextualSpacing/>
        <w:rPr>
          <w:bCs/>
          <w:sz w:val="22"/>
          <w:szCs w:val="22"/>
        </w:rPr>
      </w:pPr>
      <w:r>
        <w:rPr>
          <w:sz w:val="22"/>
          <w:szCs w:val="22"/>
        </w:rPr>
        <w:t>-</w:t>
        <w:tab/>
        <w:t xml:space="preserve">в местах, указанных в документах о технологическом присоединении и (или) актах допуска в эксплуатацию ПУ электрической </w:t>
      </w:r>
      <w:r>
        <w:rPr>
          <w:bCs/>
          <w:sz w:val="22"/>
          <w:szCs w:val="22"/>
        </w:rPr>
        <w:t xml:space="preserve">энергии. </w:t>
      </w:r>
    </w:p>
    <w:p>
      <w:pPr>
        <w:pStyle w:val="Normal"/>
        <w:widowControl w:val="false"/>
        <w:tabs>
          <w:tab w:val="left" w:pos="426" w:leader="none"/>
        </w:tabs>
        <w:suppressAutoHyphens w:val="true"/>
        <w:spacing w:before="0" w:after="0"/>
        <w:ind w:left="0" w:hanging="0"/>
        <w:contextualSpacing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>на границе балансовой принадлежности объектов энергопринимающих устройств смежных субъектов. При этом ПУ может быть установлен в границах объектов электроэнергетики (энергопринимающих устройств) смежного субъекта.</w:t>
      </w:r>
    </w:p>
    <w:p>
      <w:pPr>
        <w:pStyle w:val="Normal"/>
        <w:widowControl w:val="false"/>
        <w:tabs>
          <w:tab w:val="left" w:pos="426" w:leader="none"/>
        </w:tabs>
        <w:suppressAutoHyphens w:val="true"/>
        <w:spacing w:before="0" w:after="0"/>
        <w:ind w:left="0" w:hanging="0"/>
        <w:contextualSpacing/>
        <w:rPr>
          <w:b/>
          <w:b/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>в месте, максимально приближенном к границе балансовой принадлежности, в котором имеется техническая возможность его установки</w:t>
      </w:r>
      <w:r>
        <w:rPr>
          <w:b/>
          <w:bCs/>
          <w:sz w:val="22"/>
          <w:szCs w:val="22"/>
        </w:rPr>
        <w:t>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426" w:leader="none"/>
        </w:tabs>
        <w:suppressAutoHyphens w:val="true"/>
        <w:ind w:left="0" w:hanging="0"/>
        <w:rPr>
          <w:b/>
          <w:b/>
          <w:bCs/>
          <w:sz w:val="22"/>
          <w:szCs w:val="22"/>
        </w:rPr>
      </w:pPr>
      <w:r>
        <w:rPr>
          <w:bCs/>
          <w:sz w:val="22"/>
          <w:szCs w:val="22"/>
        </w:rPr>
        <w:t>Установка (замена) ПУ и допуск в эксплуатацию ПУ электрической энергии должны быть осуществлены не позднее 6 месяцев:</w:t>
      </w:r>
    </w:p>
    <w:p>
      <w:pPr>
        <w:pStyle w:val="ListParagraph"/>
        <w:widowControl w:val="false"/>
        <w:tabs>
          <w:tab w:val="left" w:pos="426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>с даты истечения интервала между поверками или срока эксплуатации ПУ, если соответствующая дата (срок) установлена в договоре энергоснабжения (Приложение № 1)</w:t>
      </w:r>
    </w:p>
    <w:p>
      <w:pPr>
        <w:pStyle w:val="ListParagraph"/>
        <w:widowControl w:val="false"/>
        <w:tabs>
          <w:tab w:val="left" w:pos="426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 xml:space="preserve">в иных случаях при нахождении ПУ в границах балансовой принадлежности энергопринимающих устройств (объектов электросетевого хозяйства) - с даты получения обращения потребителя электрической энергии об истечении интервала между поверками, срока эксплуатации, а также об утрате, о выходе ПУ из строя и (или) его неисправности. </w:t>
      </w:r>
    </w:p>
    <w:p>
      <w:pPr>
        <w:pStyle w:val="ListParagraph"/>
        <w:widowControl w:val="false"/>
        <w:tabs>
          <w:tab w:val="left" w:pos="426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>с даты выявления истечения срока поверки, срока эксплуатации, неисправности ПУ в ходе проведения его проверки в установленном настоящим документом порядке;</w:t>
      </w:r>
    </w:p>
    <w:p>
      <w:pPr>
        <w:pStyle w:val="ListParagraph"/>
        <w:widowControl w:val="false"/>
        <w:tabs>
          <w:tab w:val="left" w:pos="426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-</w:t>
        <w:tab/>
        <w:t>с даты признания ПУ утраченным.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426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Сетевая организация, имеющая намерение установить либо заменить ПУ, направляет в адрес гарантирующего поставщика и потребителя запрос на установку (замену) ПУ способом, позволяющим подтвердить факт его получения.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426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В подтвержденные дату и время сетевая организация осуществляют действия по установке (замене) ПУ.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426" w:leader="none"/>
        </w:tabs>
        <w:suppressAutoHyphens w:val="true"/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При ненаправлении потребителем сетевой организации в установленный срок ответа на запрос на установку (замену) ПУ, при получении ответа об отказе в установке ПУ или при двукратном недопуске к месту установки ПУ, но не ранее 4 месяцев с момента первого недопуска, ПУ подлежит установке в ином месте, максимально приближенном к границе балансовой принадлежности, с уведомлением лиц, которым направлялся запрос на установку (замену) ПУ, о смене места установки с указанием адреса такого места иных лиц, которые принимают участие в процедуре допуска ПУ в эксплуатацию.</w:t>
      </w:r>
    </w:p>
    <w:p>
      <w:pPr>
        <w:pStyle w:val="Normal"/>
        <w:widowControl w:val="false"/>
        <w:numPr>
          <w:ilvl w:val="1"/>
          <w:numId w:val="3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Установленный ПУ должен быть допущен в эксплуатацию. Под допуском ПУ в эксплуатацию понимается процедура, в ходе которой сетевой организацией проверяется и определяется готовность ПУ, в том числе входящего в состав измерительного комплекса или системы учета, к его использованию при осуществлении расчетов за электрическую энергию (мощность) и которая завершается документальным оформлением результатов допуска.</w:t>
      </w:r>
    </w:p>
    <w:p>
      <w:pPr>
        <w:pStyle w:val="Normal"/>
        <w:widowControl w:val="false"/>
        <w:spacing w:before="0" w:after="0"/>
        <w:ind w:left="0" w:firstLine="720"/>
        <w:contextualSpacing/>
        <w:rPr>
          <w:sz w:val="22"/>
          <w:szCs w:val="22"/>
        </w:rPr>
      </w:pPr>
      <w:r>
        <w:rPr>
          <w:sz w:val="22"/>
          <w:szCs w:val="22"/>
        </w:rPr>
        <w:t>Допуск в эксплуатацию ПУ осуществляется при участии уполномоченных представителей лиц, которым направлялся запрос на установку (замену) ПУ или приглашение для участия в процедуре допуска.</w:t>
      </w:r>
    </w:p>
    <w:p>
      <w:pPr>
        <w:pStyle w:val="Normal"/>
        <w:widowControl w:val="false"/>
        <w:spacing w:before="0" w:after="0"/>
        <w:ind w:left="0" w:firstLine="720"/>
        <w:contextualSpacing/>
        <w:rPr>
          <w:sz w:val="22"/>
          <w:szCs w:val="22"/>
        </w:rPr>
      </w:pPr>
      <w:r>
        <w:rPr>
          <w:sz w:val="22"/>
          <w:szCs w:val="22"/>
        </w:rPr>
        <w:t>По окончании допуска в эксплуатацию ПУ организацией, осуществляющей допуск в эксплуатацию ПУ, в местах и способом, которые определены в соответствии с законодательством Российской Федерации об обеспечении единства измерений и о техническом регулировании, подлежит установке контрольная одноразовая номерная пломба (далее - контрольная пломба) и (или) знаки визуального контроля.</w:t>
      </w:r>
    </w:p>
    <w:p>
      <w:pPr>
        <w:pStyle w:val="Normal"/>
        <w:ind w:left="0" w:firstLine="720"/>
        <w:rPr>
          <w:sz w:val="22"/>
          <w:szCs w:val="22"/>
        </w:rPr>
      </w:pPr>
      <w:r>
        <w:rPr>
          <w:sz w:val="22"/>
          <w:szCs w:val="22"/>
        </w:rPr>
        <w:t xml:space="preserve">В случае неявки потребителя для участия в процедуре допуска ПУ в эксплуатацию такая процедура проводится без его участия. 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В качестве расчетного ПУ принимается ПУ (в порядке убывания приоритета):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установленный и допущенный в эксплуатацию сетевой организацией. Такой ПУ становится расчетным с даты допуска его в эксплуатацию;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 xml:space="preserve">обеспечивающий проведение измерений с минимальной величиной потерь электрической энергии от места его установки до точки поставки (при номинальных токах и напряжениях); 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обеспечивающий минимальную величину погрешности измерительного канала. Погрешность измерительного канала определяется в соответствии с нормативным правовым актом уполномоченного федерального органа, регламентирующим расчет нормативов технологических потерь электрической энергии при ее передаче;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позволяющий измерять почасовые объемы потребления (производства) электрической энергии, в том числе входящий в измерительный комплекс;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входящий в состав автоматизированной информационно-измерительной системы учета.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 xml:space="preserve">При этом ПУ, расположенные по иную сторону границы балансовой принадлежности от расчетных ПУ могут быть определены как контрольные ПУ. </w:t>
      </w:r>
    </w:p>
    <w:p>
      <w:pPr>
        <w:pStyle w:val="Normal"/>
        <w:widowControl w:val="false"/>
        <w:numPr>
          <w:ilvl w:val="1"/>
          <w:numId w:val="3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В случае, если ПУ расположен не на границе балансовой принадлежности объектов электроэнергетики (энергопринимающих устройств), то объем потребления (производства, передачи) электрической энергии (мощности), определенный на основании показаний такого ПУ, в целях осуществления расчетов по настоящему договору подлежит корректировке на величину потерь электрической энергии, возникающих на участке сети от границы балансовой принадлежности объектов электроэнергетики (энергопринимающих устройств) до места установки ПУ.</w:t>
      </w:r>
    </w:p>
    <w:p>
      <w:pPr>
        <w:pStyle w:val="ListParagraph"/>
        <w:numPr>
          <w:ilvl w:val="1"/>
          <w:numId w:val="3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Лицами, ответственными за снятие показаний расчетного ПУ, являются: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сетевые организации в отношении ПУ, присоединенных к интеллектуальным системам учета электрической энергии (мощности) соответствующей сетевой организации, а также иных расчетных ПУ, расположенных в границах объектов электросетевого хозяйства сетевых организаций или в границах бесхозяйных объектов электросетевого хозяйства;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потребители, собственники (владельцы) объектов электросетевого хозяйства в отношении расчетных ПУ, установленных в границах объектов таких лиц и не присоединенных к интеллектуальным системам учета электрической энергии (мощности).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Снятие показаний расчетных ПУ осуществляется по состоянию на 00 часов 00 минут первого дня месяца, следующего за расчетным периодом, а в отношении ПУ, установленных в многоквартирных жилых домах, - до окончания 25-го дня расчетного месяца, а также по состоянию на 00 часов 00 минут дня расторжения (заключения) договора энергоснабжения.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Снятие показаний расчетного ПУ, не присоединенного к интеллектуальной системе учета электрической энергии (мощности), оформляется актом снятия показаний расчетного ПУ (Приложение №7) и подписывается лицом, ответственным за снятие показаний ПУ, а также представителями сетевой организации и (или) гарантирующего поставщика в случае, если ими осуществляется совместное снятие показаний расчетного ПУ.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Лицо, ответственное за снятие показаний ПУ, обеспечивает представление показаний расчетного ПУ гарантирующему поставщику до окончания первого дня месяца, следующего за расчетным периодом, а ПУ, установленных в многоквартирных жилых домах, - до окончания 26-го дня расчетного месяца, а также в течение суток, следующих за датой расторжения (заключения) настоящего договора.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В отношении расчетных ПУ, не присоединенных к интеллектуальным системам учета электрической энергии (мощности), показания представляются с использованием телефонной связи, электронной почты или иным способом, позволяющим подтвердить факт их получения, а также при необходимости в письменной форме или в виде электронного документа, подписанного электронной подписью - Акта снятия показаний расчетных ПУ (Приложение № 7).</w:t>
      </w:r>
    </w:p>
    <w:p>
      <w:pPr>
        <w:pStyle w:val="Normal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В отношении расчетных ПУ, присоединенных к интеллектуальным системам учета электрической энергии (мощности), показания представляются с использованием интеллектуальной системы учета электрической энергии (мощности) в соответствии с требованиями правил предоставления доступа к минимальному набору функций интеллектуальных систем учета электрической энергии (мощности).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Проверка правильности снятия показаний расчетных ПУ (далее - контрольное снятие показаний), не включенных в интеллектуальную систему учета гарантирующего поставщика или сетевой организации осуществляется не чаще одного раза в месяц.</w:t>
      </w:r>
    </w:p>
    <w:p>
      <w:pPr>
        <w:pStyle w:val="ListParagraph"/>
        <w:widowControl w:val="false"/>
        <w:numPr>
          <w:ilvl w:val="1"/>
          <w:numId w:val="3"/>
        </w:numPr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По факту выявленного безучетного потребления расчетный прибор учета признается вышедшим из строя.</w:t>
      </w:r>
    </w:p>
    <w:p>
      <w:pPr>
        <w:pStyle w:val="ListParagraph"/>
        <w:widowControl w:val="false"/>
        <w:tabs>
          <w:tab w:val="left" w:pos="709" w:leader="none"/>
          <w:tab w:val="left" w:pos="1134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widowControl w:val="false"/>
        <w:numPr>
          <w:ilvl w:val="0"/>
          <w:numId w:val="3"/>
        </w:numPr>
        <w:tabs>
          <w:tab w:val="left" w:pos="709" w:leader="none"/>
          <w:tab w:val="left" w:pos="1134" w:leader="none"/>
        </w:tabs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ПОРЯДОК ОПРЕДЕЛЕНИЯ СТОИМОСТИ И ОБЪЕМА ПОКУПКИ ЭЛЕКТРИЧЕСКОЙ ЭНЕРГИИ (МОЩНОСТИ) ЗА РАСЧЕТНЫЙ ПЕРИОД.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Определение объема покупки электрической энергии (мощности), поставленной в точках поставки по настоящему договору за расчетный период, осуществляется на основании данных об объемах потребления электрической энергии (мощности), определенных в соответствии с использованием ПУ, указанных в Приложении № 1, а в случаях, указанных в п. 5.2 настоящего раздела, на основании расчетных способов.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Стоимость фактически потребленной электрической энергии (мощности), поставленной в точках поставки по настоящему договору за расчетный период, определяется исходя из фактического объема потребления электрической энергии (мощности) и регулируемой цены на электрическую энергию (мощность), установленной органом исполнительной власти субъекта Российской Федерации в области государственного регулирования тарифов.</w:t>
      </w:r>
    </w:p>
    <w:p>
      <w:pPr>
        <w:pStyle w:val="ListParagraph"/>
        <w:numPr>
          <w:ilvl w:val="1"/>
          <w:numId w:val="3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Определение объема потребленной электрической энергии (мощности) осуществляется в соответствии с расчетными способами, определенными Основными положениями функционирования розничных рынков электрической энергии, утвержденными Постановлением Правительства Российской Федерации от 4 мая 2012г. № 442 (далее – Основные положения), и в случаях, определенных Основными положениями, в том числе:после двукратного недопуска к месту установки ПУ Сетевой организации или Гарантирующего поставщика к расчетному ПУ, установленному в границах энергопринимающих устройств Потребителя, для проведения контрольного снятия показаний или проведения проверки ПУ; в случаях отсутствия, неисправности, утраты или истечения интервала между поверками, истечения срока эксплуатации расчетного ПУ, непредставления показаний расчетного ПУ в установленные сроки, а также отсутствия контрольного ПУ.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Расчет объема потребления электрической энергии (мощности)</w:t>
      </w:r>
      <w:r>
        <w:rPr>
          <w:color w:val="0070C0"/>
          <w:sz w:val="22"/>
          <w:szCs w:val="22"/>
        </w:rPr>
        <w:t xml:space="preserve"> </w:t>
      </w:r>
      <w:r>
        <w:rPr>
          <w:sz w:val="22"/>
          <w:szCs w:val="22"/>
        </w:rPr>
        <w:t>Потребителю осуществляется с применением расчетного способа, предусмотренного Приложением № 3 к Основным положениям в случае потребления Потребителем электрической энергии (мощности) с нарушением установленного настоящим договором и (или) соответствующими нормативно-правовыми актами порядка учета электрической энергии (безучетное потребление), выразившимся во вмешательство в работу ПУ в случаях нарушения целостности (повреждения) прибора учета, измерительного комплекса, измерительных трансформаторов, нарушения (повреждения) пломб и (или) знаков визуального контроля, нанесенных на прибор учета, измерительный комплекс, измерительные трансформаторы, систему учета, компоненты интеллектуальной системы электрической энергии (мощности), на приспособления, препятствующие доступу к ним, расположенные до места установки ПУ электрической энергии (точки измерения прибором учета), когда ПУ установлены в границах балансовой принадлежности потребителя и (или) в границах земельного участка, принадлежащего потребителю на праве собственности или ином законном основании, на котором расположены энергопринимающие устройства потребителя или, если обязанность по обеспечению целостности и сохранности ПУ возложена на потребителя, а также с нарушением указанного порядка, обнаруженным в границах балансовой принадлежности потребителя подключения энергопринимающих устройств до точки измерения прибором учета или в границах земельного участка потребителя подключения до точки измерения прибором учета энергопринимающих устройств, расположенных в границах этого земельного участка.</w:t>
      </w:r>
    </w:p>
    <w:p>
      <w:pPr>
        <w:pStyle w:val="Normal"/>
        <w:widowControl w:val="false"/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0"/>
          <w:numId w:val="3"/>
        </w:numPr>
        <w:tabs>
          <w:tab w:val="left" w:pos="709" w:leader="none"/>
        </w:tabs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РАСЧЕТЫ ЗА ЭЛЕКТРИЧЕСКУЮ ЭНЕРГИЮ (МОЩНОСТЬ).</w:t>
      </w:r>
    </w:p>
    <w:p>
      <w:pPr>
        <w:pStyle w:val="Normal"/>
        <w:widowControl w:val="false"/>
        <w:tabs>
          <w:tab w:val="left" w:pos="709" w:leader="none"/>
        </w:tabs>
        <w:ind w:left="360" w:hanging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Расчетным периодом по настоящему договору является один календарный месяц.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b/>
          <w:b/>
          <w:sz w:val="22"/>
          <w:szCs w:val="22"/>
        </w:rPr>
      </w:pPr>
      <w:r>
        <w:rPr>
          <w:sz w:val="22"/>
          <w:szCs w:val="22"/>
        </w:rPr>
        <w:t xml:space="preserve">Потребитель оплачивает электрическую энергию (мощность) </w:t>
      </w:r>
      <w:r>
        <w:rPr>
          <w:b/>
          <w:sz w:val="22"/>
          <w:szCs w:val="22"/>
        </w:rPr>
        <w:t>в следующем порядке:</w:t>
      </w:r>
    </w:p>
    <w:p>
      <w:pPr>
        <w:pStyle w:val="Normal"/>
        <w:widowControl w:val="false"/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b/>
          <w:sz w:val="22"/>
          <w:szCs w:val="22"/>
        </w:rPr>
        <w:t>-</w:t>
        <w:tab/>
        <w:t>30 процентов</w:t>
      </w:r>
      <w:r>
        <w:rPr>
          <w:sz w:val="22"/>
          <w:szCs w:val="22"/>
        </w:rPr>
        <w:t xml:space="preserve"> стоимости электрической энергии (мощности) в подлежащем оплате объеме покупки в месяце, за который осуществляется оплата, вносится </w:t>
      </w:r>
      <w:r>
        <w:rPr>
          <w:b/>
          <w:sz w:val="22"/>
          <w:szCs w:val="22"/>
        </w:rPr>
        <w:t>до 10-го</w:t>
      </w:r>
      <w:r>
        <w:rPr>
          <w:sz w:val="22"/>
          <w:szCs w:val="22"/>
        </w:rPr>
        <w:t xml:space="preserve"> числа этого месяца;</w:t>
      </w:r>
    </w:p>
    <w:p>
      <w:pPr>
        <w:pStyle w:val="Normal"/>
        <w:widowControl w:val="false"/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</w:r>
      <w:r>
        <w:rPr>
          <w:b/>
          <w:sz w:val="22"/>
          <w:szCs w:val="22"/>
        </w:rPr>
        <w:t>40 процентов</w:t>
      </w:r>
      <w:r>
        <w:rPr>
          <w:sz w:val="22"/>
          <w:szCs w:val="22"/>
        </w:rPr>
        <w:t xml:space="preserve"> стоимости электрической энергии (мощности) в подлежащем оплате объеме покупки в месяце, за который осуществляется оплата, вносится </w:t>
      </w:r>
      <w:r>
        <w:rPr>
          <w:b/>
          <w:sz w:val="22"/>
          <w:szCs w:val="22"/>
        </w:rPr>
        <w:t>до 25-го</w:t>
      </w:r>
      <w:r>
        <w:rPr>
          <w:sz w:val="22"/>
          <w:szCs w:val="22"/>
        </w:rPr>
        <w:t xml:space="preserve"> числа этого месяца;</w:t>
      </w:r>
    </w:p>
    <w:p>
      <w:pPr>
        <w:pStyle w:val="Normal"/>
        <w:widowControl w:val="false"/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 xml:space="preserve">стоимость объема покупки электрической энергии (мощности) в месяце, за который осуществляется оплата, за вычетом средств, внесенных Потребителем в качестве оплаты электрической энергии (мощности) в течение этого месяца, оплачивается </w:t>
      </w:r>
      <w:r>
        <w:rPr>
          <w:b/>
          <w:sz w:val="22"/>
          <w:szCs w:val="22"/>
        </w:rPr>
        <w:t>до 18-го</w:t>
      </w:r>
      <w:r>
        <w:rPr>
          <w:sz w:val="22"/>
          <w:szCs w:val="22"/>
        </w:rPr>
        <w:t xml:space="preserve"> числа месяца, следующего за месяцем, за который осуществляется оплата. В случае если размер предварительной оплаты превысит стоимость объема покупки электрической энергии (мощности) в месяце, за который осуществляется оплата, излишне уплаченная сумма засчитывается в счет платежа за месяц, следующий за месяцем, в котором была осуществлена такая оплата.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b/>
          <w:b/>
          <w:sz w:val="22"/>
          <w:szCs w:val="22"/>
        </w:rPr>
      </w:pPr>
      <w:r>
        <w:rPr>
          <w:sz w:val="22"/>
          <w:szCs w:val="22"/>
        </w:rPr>
        <w:t>При получении сумм оплаты, частичной оплаты в счет предстоящих поставок электрической энергии (мощности) Гарантирующий поставщик выставляет счета-фактуры в порядке и сроки, предусмотренные законодательством РФ.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По окончании расчетного периода Гарантирующий поставщик предъявляет Потребителю счет-фактуру, счет и Акт выполненных работ (приема-передачи) в 2-х экземплярах. Потребитель возвращает один экземпляр Акта выполненных работ (приема-передачи), подписанный руководителем и скрепленный печатью, в адрес Гарантирующего поставщика не позднее 5-ти рабочих дней с момента получения. В случае невозврата Потребителем подписанного Акта выполненных работ (приема-передачи) по истечении установленного выше срока указанный Акт считается принятым, объемы согласованными.</w:t>
      </w:r>
    </w:p>
    <w:p>
      <w:pPr>
        <w:pStyle w:val="Normal"/>
        <w:widowControl w:val="false"/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 xml:space="preserve">В случае частичного отказа от объема потребления электрической энергии (мощности), указанного в Акте выполненных работ (приема-передачи), Потребитель обязан оплатить стоимость неоспариваемой части потребления в срок, установленный настоящим договором и направить Гарантирующему поставщику мотивированный отказ от оплаты оспариваемой части объема потребления. </w:t>
      </w:r>
    </w:p>
    <w:p>
      <w:pPr>
        <w:pStyle w:val="Normal"/>
        <w:widowControl w:val="false"/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В случае если Потребитель не направил в адрес Гарантирующего поставщика мотивированного отказа в течение 5-ти рабочих дней с момента получения Акта выполненных работ (приема-передачи), претензии по объему и качеству не принимаются. </w:t>
      </w:r>
    </w:p>
    <w:p>
      <w:pPr>
        <w:pStyle w:val="Normal"/>
        <w:widowControl w:val="false"/>
        <w:tabs>
          <w:tab w:val="left" w:pos="0" w:leader="none"/>
        </w:tabs>
        <w:suppressAutoHyphens w:val="true"/>
        <w:ind w:left="0" w:hanging="0"/>
        <w:rPr>
          <w:b/>
          <w:b/>
          <w:sz w:val="22"/>
          <w:szCs w:val="22"/>
        </w:rPr>
      </w:pPr>
      <w:r>
        <w:rPr>
          <w:sz w:val="22"/>
          <w:szCs w:val="22"/>
        </w:rPr>
        <w:t>Размер оспариваемых обязательств по оплате определяется Сторонами путём переговоров, а в случае недостижения согласия – в судебном порядке.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b/>
          <w:b/>
          <w:sz w:val="22"/>
          <w:szCs w:val="22"/>
        </w:rPr>
      </w:pPr>
      <w:r>
        <w:rPr>
          <w:sz w:val="22"/>
          <w:szCs w:val="22"/>
        </w:rPr>
        <w:t>Обязательство по оплате считается исполненным в день поступления денежных средств на расчетный счет Гарантирующего поставщика.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Стороны обязуются ежеквартально проводить сверку расчетов по настоящему договору с составлением Акта сверки. Гарантирующий Поставщик в течение 10 дней по истечении квартала направляет Потребителю оформленный со своей стороны Акт сверки, подписанный руководителем и главным бухгалтером.</w:t>
      </w:r>
    </w:p>
    <w:p>
      <w:pPr>
        <w:pStyle w:val="Normal"/>
        <w:widowControl w:val="false"/>
        <w:tabs>
          <w:tab w:val="left" w:pos="0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Потребитель обязан рассмотреть полученный от Гарантирующего поставщика Акт сверки в течение 10 календарных дней с момента получения Акта сверки, подписать и направить один экземпляр Гарантирующему поставщику.</w:t>
      </w:r>
    </w:p>
    <w:p>
      <w:pPr>
        <w:pStyle w:val="Normal"/>
        <w:widowControl w:val="false"/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Невозврат Потребителем подписанных Актов сверки по истечении установленного выше срока будет рассматриваться как согласие Потребителя с расчетами, указанными в Актах сверки. Потребитель обязуется погасить выявленную в Актах сверки задолженность в течение 10 банковских дней с момента выставления Гарантирующим поставщиком соответствующего счета.</w:t>
      </w:r>
    </w:p>
    <w:p>
      <w:pPr>
        <w:pStyle w:val="Normal"/>
        <w:widowControl w:val="false"/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0"/>
          <w:numId w:val="3"/>
        </w:numPr>
        <w:tabs>
          <w:tab w:val="left" w:pos="709" w:leader="none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>ПОРЯДОК ОГРАНИЧЕНИЯ РЕЖИМА ПОТРЕБЛЕНИЯ ЭЛЕКТРИЧЕСКОЙ ЭНЕРГИИ (МОЩНОСТИ).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Ограничение режима потребления электрической энергии (мощности) вводится в соответствии с действующим законодательством РФ при наступлении любого из следующих обстоятельств:</w:t>
      </w:r>
    </w:p>
    <w:p>
      <w:pPr>
        <w:pStyle w:val="ListParagraph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а) </w:t>
        <w:tab/>
        <w:t>получение законного требования судебного пристава-исполнителя о введении ограничения режима потребления;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б) нарушение Потребителем своих обязательств, выразившееся в следующих действиях: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неисполнение или ненадлежащее исполнение обязательств по оплате электрической энергии (мощности) и услуг по передаче электрической энергии, если это привело к образованию задолженности потребителя перед Гарантирующим поставщиком по основному обязательству, в том числе обязательству по предварительной оплате электрической энергии (мощности);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неисполнение или ненадлежащее исполнение Потребителем условий договора, касающихся обеспечения функционирования устройств релейной защиты, противоаварийной и режимной автоматики, устройств компенсации реактивной мощности;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нарушение характеристик технологического присоединения, указанных в документах о технологическом присоединении (в том числе превышение максимальной мощности энергопринимающего устройства потребителя), вызванное подключением Потребителем к принадлежащим ему энергопринимающим устройствам и (или) объектам электроэнергетики электропотребляющего оборудования либо изменением потребителем режима работы подключенного электропотребляющего оборудования;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в) </w:t>
        <w:tab/>
        <w:t>прекращение обязательств по поставке электрической энергии (мощности) по настоящему договору энергоснабжения в отношении энергопринимающих устройств Потребителя;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г) </w:t>
        <w:tab/>
        <w:t>выявление факта бездоговорного потребления электрической энергии;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д) </w:t>
        <w:tab/>
        <w:t>выявление ненадлежащего технологического присоединения энергопринимающих устройств Потребителя при отсутствии документов, подтверждающих технологическое присоединение и (или) разграничение балансовой принадлежности;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е) </w:t>
        <w:tab/>
        <w:t>поступление от Потребителя заявления о введении в отношении его энергопринимающих устройств и (или) объектов электроэнергетики ограничения режима потребления в случае, если у потребителя отсутствует техническая возможность самостоятельного ограничения режима потребления;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ж) </w:t>
        <w:tab/>
        <w:t>окончание срока, на который осуществлялось технологическое присоединение с применением временной схемы электроснабжения, или возникновение основания для его досрочного прекращения;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з) </w:t>
        <w:tab/>
        <w:t>возникновение (угроза возникновения) аварийных электроэнергетических режимов;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и) </w:t>
        <w:tab/>
        <w:t>необходимость проведения ремонтных работ на объектах электросетевого хозяйства Сетевой организации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В случае введения ограничения режима потребления в отношении Потребителя, к энергопринимающим устройствам которого присоединены энергопринимающие устройства и (или) объекты электроэнергетики иных потребителей (субабонентов), то Потребитель обязан обеспечить переток электрической энергии таким потребителям (субабонентам) в объеме их потребления.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Ограничение режима потребления энергопринимающих устройств и (или) объектами электроэнергетики Потребителя, в отношении которых предоставлено обеспечение исполнения обязательств по оплате электрической энергии (мощности), в связи с наступлением обстоятельств, указанных в абзаце втором подпункта "б" пункта 6.1 настоящего договора, не вводится до прекращения действия предоставленного обеспечения исполнения обязательств по оплате электрической энергии (мощности).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Введение ограничения режима потребления осуществляется в случаях и в порядке, установленных Правилами полного и (или) частичного ограничения, утверждённого постановлением Правительства Российской Федерации от 04.05.2012 № 442. 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Потребитель, ограничение режима потребления которого может привести к экономическим, экологическим или социальным последствиям, обязан после дня уведомления его о введении частичного ограничения: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в течение 3 дней представить Гарантирующему поставщику утвержденный план мероприятий по обеспечению готовности к введению полного ограничения;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в срок, предусмотренный планом, выполнить указанные мероприятия;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в течение 2 месяцев выполнить мероприятия по установке за свой счет автономных источников питания, обеспечивающих безопасное функционирование его энергопринимающих устройств и (или) объектов электроэнергетики без необходимости потребления электрической энергии из внешней сети, - в случае если в установленный срок им не был представлен утвержденный план указанных мероприятий либо если предусмотренный планом срок проведения указанных мероприятий превышает 6 месяцев.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После выполнения этих мероприятий Потребитель обязан направить Гарантирующему поставщику уведомление о готовности к введению полного ограничения режима потребления.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Введение частичного (полного) ограничения режима потребления электрической энергии выполняется в следующем порядке: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а)</w:t>
        <w:tab/>
        <w:tab/>
        <w:t>Гарантирующий поставщик уведомляет Потребителя о планируемом введении ограничения режима потребления за 10 дней до планируемого ограничения, в котором указывается уровень вводимого ограничения, дата планируемого ограничения (частичного и полного), требование к Потребителю о самостоятельном ограничении режима потребления, а также указание на последствия невыполнения указанного требования;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б)</w:t>
        <w:tab/>
        <w:t xml:space="preserve">Потребитель обязан самостоятельно ввести ограничение режима потребления электрической энергии в дату и до уровня, указанные в уведомлении. Гарантирующий поставщик вправе присутствовать при введении Потребителем ограничения режима потребления электрической энергии. 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Уведомление о введении ограничения может быть направлено Гарантирующим поставщиком одним из следующих способов: 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посредством направления короткого текстового сообщения (смс-сообщение) на номер мобильного телефона Потребителя, при этом уведомление считается полученным в момент его направления; -</w:t>
        <w:tab/>
        <w:t>посредством направления сообщения скан-копии уведомления на адрес электронной почты Потребителя с адреса электронной почты Гарантирующего Поставщика, указанного на сайте Гарантирующего Поставщика в сети Интернет www.kamenergo.ru</w:t>
      </w:r>
      <w:r>
        <w:rPr/>
        <w:t xml:space="preserve"> </w:t>
      </w:r>
      <w:r>
        <w:rPr>
          <w:sz w:val="22"/>
          <w:szCs w:val="22"/>
        </w:rPr>
        <w:t xml:space="preserve">при этом уведомление считается полученным в момент его направления; 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 xml:space="preserve">посредством включения текста уведомления в документах на оплату потребленной электрической энергии (мощности) при этом уведомление считается полученным в момент вручения документов на оплату; 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посредством опубликования в периодическом печатном издании, являющемся источником официального опубликования нормативных правовых актов органов государственной власти Камчатского края;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 xml:space="preserve">направлением заказного почтового отправления по адресу, который указан в настоящем договоре. Уведомления, направленные по указанному адресу, считаются полученными, даже если потребитель фактически не проживает (не находится) по указанному адресу, по истечении контрольных сроков пересылки письменной корреспонденции.; 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вручением представителю Потребителя под роспись с указанием даты вручения и расшифровкой подписи и занимаемой должности лица, получившего уведомление;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телефонограммой;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посредством факсимильной связи;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 xml:space="preserve">посредством направления сканированной копии уведомления на адрес электронной почты Потребителя однократно. В данном случае уведомление считается доставленным, а Потребитель уведомленным в день направления такого документа. </w:t>
      </w:r>
    </w:p>
    <w:p>
      <w:pPr>
        <w:pStyle w:val="Normal"/>
        <w:widowControl w:val="false"/>
        <w:ind w:left="0" w:firstLine="540"/>
        <w:rPr>
          <w:sz w:val="22"/>
          <w:szCs w:val="22"/>
        </w:rPr>
      </w:pPr>
      <w:r>
        <w:rPr>
          <w:sz w:val="22"/>
          <w:szCs w:val="22"/>
        </w:rPr>
        <w:t>Адрес электронной почты, телефон и (или) факс, на которые Гарантирующим поставщиком направляются уведомления о погашении задолженности и введении ограничения, указаны в Приложении № 9 настоящего Договора.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В случае, если до указанной даты в уведомлении о планируемом введении ограничения режима Потребителем в полном объеме исполнено требование о погашении задолженности или представлены документы, свидетельствующие об отсутствии у него задолженности, либо устранены иные причины, обусловившие введение ограничения режима потребления, то ограничение режима потребления не вводится.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Отказ Потребителя от признания задолженности или указанного в уведомлении о планируемом введении ограничения режима потребления размера задолженности не является препятствием для введения ограничения режима потребления.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Гарантирующий поставщик вправе потребовать с Потребителя, в отношении которого было введено ограничение режима потребления, компенсации расходов на оплату действий Гарантирующего поставщика по введению ограничения режима потребления такого Потребителя и возобновлению подачи электрической энергии.</w:t>
      </w:r>
    </w:p>
    <w:p>
      <w:pPr>
        <w:pStyle w:val="Normal"/>
        <w:widowControl w:val="false"/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0"/>
          <w:numId w:val="3"/>
        </w:numPr>
        <w:tabs>
          <w:tab w:val="left" w:pos="0" w:leader="none"/>
        </w:tabs>
        <w:spacing w:before="0" w:after="0"/>
        <w:contextualSpacing/>
        <w:jc w:val="center"/>
        <w:outlineLvl w:val="1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ОТВЕТСТВЕННОСТЬ СТОРОН.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color w:val="0070C0"/>
          <w:sz w:val="22"/>
          <w:szCs w:val="22"/>
        </w:rPr>
      </w:pPr>
      <w:r>
        <w:rPr>
          <w:sz w:val="22"/>
          <w:szCs w:val="22"/>
        </w:rPr>
        <w:t>Стороны несут ответственность за неисполнение или ненадлежащее исполнение обязательств по настоящему договору в случаях и порядке, определенном законодательством РФ и настоящим договором, в том числе за нарушение порядка полного и (или) частичного ограничения режима потребления электрической энергии</w:t>
      </w:r>
      <w:r>
        <w:rPr>
          <w:color w:val="0070C0"/>
          <w:sz w:val="22"/>
          <w:szCs w:val="22"/>
        </w:rPr>
        <w:t xml:space="preserve">. 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color w:val="0070C0"/>
          <w:sz w:val="22"/>
          <w:szCs w:val="22"/>
        </w:rPr>
      </w:pPr>
      <w:r>
        <w:rPr>
          <w:sz w:val="22"/>
          <w:szCs w:val="22"/>
        </w:rPr>
        <w:t>Потребитель несет ответственность за необеспечение допуска представителей сетевой организации (Гарантирующего поставщика) к месту установки прибора учета.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ГАРАНТИРУЮЩИЙ ПОСТАВЩИК несет ответственность за нарушение условий поставки, в том числе за надежность снабжения электрической энергией и ее качество в пределах границ балансовой принадлежности объектов электросетевого хозяйства Сетевой организации.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Стороны несут ответственность за состояние и обслуживание объектов электросетевого хозяйства, которая определяется балансовой принадлежностью Сетевой организации и Потребителем и фиксируется в документах о технологическом присоединении.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В случае несвоевременной и (или) неполной оплаты электрической энергии (мощности) Потребитель несет ответственность, предусмотренную действующим законодательством РФ.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При отсутствии Акта согласования аварийной и (или) технологической брони, когда ограничение режима потребления может привести к возникновению угрозы жизни и здоровью людей, экологической безопасности либо безопасности государства, Потребитель несет ответственность, в том числе перед третьими лицами, за последствия, вызванные применением к нему ограничения режима потребления.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Все споры и разногласия, возникающие в связи с исполнением, заключением и расторжением настоящего договора, подлежат разрешению в Арбитражном суде Камчатского края</w:t>
      </w:r>
      <w:r>
        <w:rPr>
          <w:color w:val="0070C0"/>
          <w:sz w:val="22"/>
          <w:szCs w:val="22"/>
        </w:rPr>
        <w:t xml:space="preserve"> </w:t>
      </w:r>
      <w:r>
        <w:rPr>
          <w:sz w:val="22"/>
          <w:szCs w:val="22"/>
        </w:rPr>
        <w:t>или судах общей юрисдикции в зависимости от подсудности</w:t>
      </w:r>
      <w:r>
        <w:rPr>
          <w:color w:val="0070C0"/>
          <w:sz w:val="22"/>
          <w:szCs w:val="22"/>
        </w:rPr>
        <w:t>.</w:t>
      </w:r>
      <w:r>
        <w:rPr>
          <w:sz w:val="22"/>
          <w:szCs w:val="22"/>
        </w:rPr>
        <w:t xml:space="preserve"> Каждая из Сторон имеет право обратиться с заявлением об урегулировании разногласий, возникших при заключении, изменении настоящего договора.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Спор, возникающий из настоящего договора, может быть передан на разрешение Арбитражного суда после принятия Сторонами мер по досудебному урегулированию по истечении десяти календарных дней со дня направления претензии (требования).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Стороны освобождаются от всех или части взятых на себя обязательств, в случае возникновения непредвиденных и независящих от их воли обстоятельств (форс-мажорные обстоятельства).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Сторона, ссылающаяся на форс-мажорные обстоятельства, обязана незамедлительно информировать другую Сторону и Сетевую организацию о наступлении подобных обстоятельств в письменной форме. В этом случае по требованию любой из Сторон может быть создана комиссия для определения возможности (способа) дальнейшего выполнения настоящего договора.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Надлежащим подтверждением наличия форс-мажорных обстоятельств будут служить решения (заявления) компетентных государственных органов или сообщения в официальных средствах массовой информации.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Споры между Сторонами договора по ненадлежащему качеству электрической энергии рассматриваются с обязательным привлечением Сетевой организации, к чьим сетям присоединены энергопринимающие установки Потребителя.</w:t>
      </w:r>
    </w:p>
    <w:p>
      <w:pPr>
        <w:pStyle w:val="Normal"/>
        <w:widowControl w:val="false"/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0"/>
          <w:numId w:val="3"/>
        </w:numPr>
        <w:tabs>
          <w:tab w:val="left" w:pos="0" w:leader="none"/>
        </w:tabs>
        <w:suppressAutoHyphens w:val="true"/>
        <w:spacing w:before="60" w:after="60"/>
        <w:contextualSpacing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СРОК ДЕЙСТВИЯ ДОГОВОРА.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Настоящий договор вступает в силу с момента подписания, распространяет свое действие на правоотношения сторон, возникшие с «__»___________года, действует по «___» ______________ года включительно и считается продленным на каждый </w:t>
      </w:r>
      <w:r>
        <w:rPr>
          <w:color w:val="000000" w:themeColor="text1"/>
          <w:sz w:val="22"/>
          <w:szCs w:val="22"/>
        </w:rPr>
        <w:t xml:space="preserve">следующий календарный год </w:t>
      </w:r>
      <w:r>
        <w:rPr>
          <w:sz w:val="22"/>
          <w:szCs w:val="22"/>
        </w:rPr>
        <w:t>и на тех же условиях, если до окончания срока его действия ни одна из сторон не заявит о его прекращении или изменении.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sz w:val="22"/>
          <w:szCs w:val="22"/>
        </w:rPr>
        <w:t xml:space="preserve">В случае если договор заключается в отношении энергопринимающих устройств до завершения процедуры их технологического присоединения, настоящий договор считается заключенным </w:t>
      </w:r>
      <w:r>
        <w:rPr>
          <w:bCs/>
          <w:sz w:val="22"/>
          <w:szCs w:val="22"/>
        </w:rPr>
        <w:t>с даты фактической подачи сетевой организацией напряжения и мощности на объекты потребителя, соответствующей дате фактического присоединения, указанной в акте об осуществлении технологического присоединения.</w:t>
      </w:r>
    </w:p>
    <w:p>
      <w:pPr>
        <w:pStyle w:val="Normal"/>
        <w:widowControl w:val="false"/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В случае, если договор заключается в отношении энергопринимающих устройств по второй или третьей категории надежности, максимальная мощность которых составляет до 150 кВт, или физическим лицом в отношении энергопринимающих устройств, максимальная мощность которых составляет до 15 кВт включительно (с учетом ранее присоединенных в данной точке присоединения энергопринимающих устройств), которые используются для бытовых и иных нужд, не связанных с осуществлением предпринимательской деятельности и электроснабжение которых предусматривается по одному источнику - со дня составления и размещения в личном кабинете потребителя на официальном сайте сетевой организации акта об осуществлении технологического присоединения, подписанного со стороны сетевой организации.</w:t>
      </w:r>
    </w:p>
    <w:p>
      <w:pPr>
        <w:pStyle w:val="Normal"/>
        <w:widowControl w:val="false"/>
        <w:numPr>
          <w:ilvl w:val="1"/>
          <w:numId w:val="3"/>
        </w:numPr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Предложение об изменении, расторжении настоящего договора, а также о заключении нового договора может быть заявлено Стороной договора не менее чем за двадцать дней до предлагаемой даты изменения, расторжения или заключения нового договора.</w:t>
      </w:r>
    </w:p>
    <w:p>
      <w:pPr>
        <w:pStyle w:val="Normal"/>
        <w:widowControl w:val="false"/>
        <w:tabs>
          <w:tab w:val="left" w:pos="709" w:leader="none"/>
        </w:tabs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0" w:leader="none"/>
        </w:tabs>
        <w:suppressAutoHyphens w:val="true"/>
        <w:spacing w:before="0" w:after="0"/>
        <w:contextualSpacing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ПРИЛОЖЕНИЯ К ДОГОВОРУ.</w:t>
      </w:r>
    </w:p>
    <w:p>
      <w:pPr>
        <w:pStyle w:val="Normal"/>
        <w:spacing w:before="60" w:after="60"/>
        <w:ind w:left="0" w:hanging="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 № 1 </w:t>
        <w:tab/>
        <w:t>«Перечень объектов энергопотребления с указанием точек учета».</w:t>
      </w:r>
    </w:p>
    <w:p>
      <w:pPr>
        <w:pStyle w:val="Normal"/>
        <w:spacing w:before="60" w:after="60"/>
        <w:ind w:left="0" w:hanging="0"/>
        <w:rPr>
          <w:iCs/>
          <w:sz w:val="26"/>
          <w:szCs w:val="26"/>
        </w:rPr>
      </w:pPr>
      <w:r>
        <w:rPr>
          <w:b/>
          <w:bCs/>
          <w:sz w:val="22"/>
          <w:szCs w:val="22"/>
        </w:rPr>
        <w:t>Приложение № 2 </w:t>
        <w:tab/>
      </w:r>
      <w:r>
        <w:rPr>
          <w:b/>
          <w:iCs/>
          <w:sz w:val="22"/>
          <w:szCs w:val="22"/>
        </w:rPr>
        <w:t>«Договорный объем (в кВтч)».</w:t>
      </w:r>
      <w:r>
        <w:rPr>
          <w:iCs/>
          <w:sz w:val="26"/>
          <w:szCs w:val="26"/>
        </w:rPr>
        <w:t xml:space="preserve"> </w:t>
      </w:r>
    </w:p>
    <w:p>
      <w:pPr>
        <w:pStyle w:val="Normal"/>
        <w:spacing w:before="60" w:after="60"/>
        <w:ind w:left="0" w:hanging="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 № 3 </w:t>
        <w:tab/>
        <w:t>«</w:t>
      </w:r>
      <w:r>
        <w:rPr>
          <w:sz w:val="22"/>
          <w:szCs w:val="22"/>
        </w:rPr>
        <w:t>Акт об осуществлении технологического присоединения</w:t>
      </w:r>
      <w:r>
        <w:rPr>
          <w:rFonts w:cs="Courier New" w:ascii="Courier New" w:hAnsi="Courier New"/>
          <w:sz w:val="22"/>
          <w:szCs w:val="22"/>
        </w:rPr>
        <w:t xml:space="preserve"> </w:t>
      </w:r>
      <w:r>
        <w:rPr>
          <w:sz w:val="22"/>
          <w:szCs w:val="22"/>
        </w:rPr>
        <w:t>и (или)</w:t>
      </w:r>
      <w:r>
        <w:rPr>
          <w:b/>
          <w:bCs/>
          <w:sz w:val="22"/>
          <w:szCs w:val="22"/>
        </w:rPr>
        <w:t xml:space="preserve"> «</w:t>
      </w:r>
      <w:r>
        <w:rPr>
          <w:b/>
          <w:sz w:val="22"/>
          <w:szCs w:val="22"/>
        </w:rPr>
        <w:t>Акт разграничения балансовой принадлежности электросетей и эксплуатационной ответственности сторон</w:t>
      </w:r>
      <w:r>
        <w:rPr>
          <w:b/>
          <w:bCs/>
          <w:sz w:val="22"/>
          <w:szCs w:val="22"/>
        </w:rPr>
        <w:t xml:space="preserve">» - </w:t>
      </w:r>
      <w:r>
        <w:rPr>
          <w:bCs/>
          <w:sz w:val="22"/>
          <w:szCs w:val="22"/>
        </w:rPr>
        <w:t>оформляется (обновляется)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Потребителем в Сетевой организации.</w:t>
      </w:r>
    </w:p>
    <w:p>
      <w:pPr>
        <w:pStyle w:val="Normal"/>
        <w:spacing w:before="60" w:after="60"/>
        <w:ind w:left="0" w:hanging="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 № 4 </w:t>
        <w:tab/>
        <w:t>«</w:t>
      </w:r>
      <w:r>
        <w:rPr>
          <w:b/>
          <w:sz w:val="22"/>
          <w:szCs w:val="22"/>
        </w:rPr>
        <w:t>Точки присоединения и величина максимальной мощности энергопринимающих устройств».</w:t>
      </w:r>
    </w:p>
    <w:p>
      <w:pPr>
        <w:pStyle w:val="Normal"/>
        <w:spacing w:before="60" w:after="60"/>
        <w:ind w:left="0" w:hanging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 № 5 </w:t>
        <w:tab/>
        <w:t>«Условия потребления и генерации реактивной электроэнергии».</w:t>
      </w:r>
    </w:p>
    <w:p>
      <w:pPr>
        <w:pStyle w:val="Normal"/>
        <w:spacing w:before="60" w:after="60"/>
        <w:ind w:left="0" w:hanging="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 № 6 </w:t>
        <w:tab/>
        <w:t xml:space="preserve">Форма «Акт согласования аварийной и технологической брони» - </w:t>
      </w:r>
      <w:r>
        <w:rPr>
          <w:bCs/>
          <w:sz w:val="22"/>
          <w:szCs w:val="22"/>
        </w:rPr>
        <w:t>оформляется Потребителем и согласовывается Гарантирующим поставщиком, ответственный – Отдел диспетчерского контроля тел. 29-62-10.</w:t>
      </w:r>
    </w:p>
    <w:p>
      <w:pPr>
        <w:pStyle w:val="Normal"/>
        <w:spacing w:before="60" w:after="60"/>
        <w:ind w:left="0" w:hanging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</w:t>
      </w:r>
      <w:r>
        <w:rPr>
          <w:b/>
          <w:bCs/>
          <w:sz w:val="22"/>
          <w:szCs w:val="22"/>
          <w:lang w:val="en-US"/>
        </w:rPr>
        <w:t> </w:t>
      </w:r>
      <w:r>
        <w:rPr>
          <w:b/>
          <w:bCs/>
          <w:sz w:val="22"/>
          <w:szCs w:val="22"/>
        </w:rPr>
        <w:t>№ 7</w:t>
      </w:r>
      <w:r>
        <w:rPr>
          <w:b/>
          <w:bCs/>
          <w:sz w:val="22"/>
          <w:szCs w:val="22"/>
          <w:lang w:val="en-US"/>
        </w:rPr>
        <w:t> </w:t>
      </w:r>
      <w:r>
        <w:rPr>
          <w:b/>
          <w:bCs/>
          <w:sz w:val="22"/>
          <w:szCs w:val="22"/>
        </w:rPr>
        <w:tab/>
        <w:t xml:space="preserve">Форма «Акт снятия показаний расчетных приборов учета» - </w:t>
      </w:r>
      <w:r>
        <w:rPr>
          <w:bCs/>
          <w:sz w:val="22"/>
          <w:szCs w:val="22"/>
        </w:rPr>
        <w:t>заполняется Потребителем и предоставляется Гарантирующему поставщику ежемесячно.</w:t>
      </w:r>
    </w:p>
    <w:p>
      <w:pPr>
        <w:pStyle w:val="Normal"/>
        <w:spacing w:before="60" w:after="60"/>
        <w:ind w:left="0" w:hanging="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</w:t>
      </w:r>
      <w:r>
        <w:rPr>
          <w:b/>
          <w:bCs/>
          <w:sz w:val="22"/>
          <w:szCs w:val="22"/>
          <w:lang w:val="en-US"/>
        </w:rPr>
        <w:t> </w:t>
      </w:r>
      <w:r>
        <w:rPr>
          <w:b/>
          <w:bCs/>
          <w:sz w:val="22"/>
          <w:szCs w:val="22"/>
        </w:rPr>
        <w:t>№ 8</w:t>
      </w:r>
      <w:r>
        <w:rPr>
          <w:b/>
          <w:bCs/>
          <w:sz w:val="22"/>
          <w:szCs w:val="22"/>
          <w:lang w:val="en-US"/>
        </w:rPr>
        <w:t> </w:t>
      </w:r>
      <w:r>
        <w:rPr>
          <w:b/>
          <w:bCs/>
          <w:sz w:val="22"/>
          <w:szCs w:val="22"/>
        </w:rPr>
        <w:tab/>
        <w:t xml:space="preserve">Форма «Акт выполненных работ (приема-передачи электрической энергии)» - </w:t>
      </w:r>
      <w:r>
        <w:rPr>
          <w:bCs/>
          <w:sz w:val="22"/>
          <w:szCs w:val="22"/>
        </w:rPr>
        <w:t xml:space="preserve">ежемесячно оформляется Гарантирующим поставщиком и направляется </w:t>
      </w:r>
      <w:r>
        <w:rPr>
          <w:sz w:val="22"/>
          <w:szCs w:val="22"/>
        </w:rPr>
        <w:t>Потребителю</w:t>
      </w:r>
      <w:r>
        <w:rPr>
          <w:bCs/>
          <w:sz w:val="22"/>
          <w:szCs w:val="22"/>
        </w:rPr>
        <w:t>.</w:t>
      </w:r>
    </w:p>
    <w:p>
      <w:pPr>
        <w:pStyle w:val="Normal"/>
        <w:spacing w:before="60" w:after="60"/>
        <w:ind w:left="0" w:hanging="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Приложение № 9 </w:t>
        <w:tab/>
        <w:t xml:space="preserve">«Список ответственных лиц и иная контактная информация» - </w:t>
      </w:r>
      <w:r>
        <w:rPr>
          <w:bCs/>
          <w:sz w:val="22"/>
          <w:szCs w:val="22"/>
        </w:rPr>
        <w:t>заполняется (обновляется) Потребителем и направляется Гарантирующему поставщику вместе с подписанным договором.</w:t>
      </w:r>
    </w:p>
    <w:p>
      <w:pPr>
        <w:pStyle w:val="Normal"/>
        <w:ind w:left="0" w:hanging="0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0" w:leader="none"/>
        </w:tabs>
        <w:suppressAutoHyphens w:val="true"/>
        <w:spacing w:before="0" w:after="0"/>
        <w:contextualSpacing/>
        <w:jc w:val="center"/>
        <w:rPr/>
      </w:pPr>
      <w:r>
        <w:rPr>
          <w:b/>
          <w:bCs/>
          <w:sz w:val="22"/>
          <w:szCs w:val="22"/>
        </w:rPr>
        <w:t xml:space="preserve">РЕКВИЗИТЫ СТОРОН ПО ДОГОВОРУ </w:t>
      </w:r>
      <w:r>
        <w:rPr>
          <w:rStyle w:val="12"/>
          <w:sz w:val="22"/>
          <w:szCs w:val="22"/>
        </w:rPr>
        <w:t xml:space="preserve">№ от </w:t>
      </w:r>
    </w:p>
    <w:p>
      <w:pPr>
        <w:pStyle w:val="Normal"/>
        <w:spacing w:before="0" w:after="0"/>
        <w:ind w:left="525" w:hanging="0"/>
        <w:contextualSpacing/>
        <w:rPr>
          <w:b/>
          <w:b/>
          <w:color w:val="3107A9"/>
          <w:sz w:val="22"/>
          <w:szCs w:val="22"/>
        </w:rPr>
      </w:pPr>
      <w:r>
        <w:rPr>
          <w:b/>
          <w:color w:val="3107A9"/>
          <w:sz w:val="22"/>
          <w:szCs w:val="22"/>
        </w:rPr>
      </w:r>
    </w:p>
    <w:tbl>
      <w:tblPr>
        <w:tblW w:w="9468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608"/>
        <w:gridCol w:w="4859"/>
      </w:tblGrid>
      <w:tr>
        <w:trPr>
          <w:trHeight w:val="3745" w:hRule="atLeast"/>
        </w:trPr>
        <w:tc>
          <w:tcPr>
            <w:tcW w:w="4608" w:type="dxa"/>
            <w:tcBorders/>
            <w:shd w:color="auto" w:fill="auto" w:val="clear"/>
          </w:tcPr>
          <w:p>
            <w:pPr>
              <w:pStyle w:val="Normal"/>
              <w:ind w:left="357" w:right="255" w:firstLine="35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Гарантирующий поставщик</w:t>
            </w:r>
          </w:p>
          <w:p>
            <w:pPr>
              <w:pStyle w:val="Normal"/>
              <w:ind w:left="357" w:right="255" w:firstLine="357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Style17"/>
              <w:ind w:left="357" w:right="310" w:hanging="0"/>
              <w:rPr/>
            </w:pPr>
            <w:r>
              <w:rPr>
                <w:b/>
                <w:sz w:val="22"/>
                <w:szCs w:val="22"/>
              </w:rPr>
              <w:t>Публичное акционерное общество энергетики и электрификации «Камчатскэнерго»</w:t>
            </w:r>
          </w:p>
          <w:p>
            <w:pPr>
              <w:pStyle w:val="Style17"/>
              <w:ind w:left="357" w:hanging="0"/>
              <w:rPr/>
            </w:pPr>
            <w:r>
              <w:rPr>
                <w:color w:val="000000"/>
                <w:sz w:val="22"/>
                <w:szCs w:val="22"/>
              </w:rPr>
              <w:t>683000, Камчатский край,</w:t>
            </w:r>
          </w:p>
          <w:p>
            <w:pPr>
              <w:pStyle w:val="Style17"/>
              <w:ind w:left="357" w:hanging="0"/>
              <w:rPr/>
            </w:pPr>
            <w:r>
              <w:rPr>
                <w:color w:val="000000"/>
                <w:sz w:val="22"/>
                <w:szCs w:val="22"/>
              </w:rPr>
              <w:t>г. Петропавловск-Камчатский,</w:t>
            </w:r>
          </w:p>
          <w:p>
            <w:pPr>
              <w:pStyle w:val="Style17"/>
              <w:ind w:left="357" w:hanging="0"/>
              <w:rPr/>
            </w:pPr>
            <w:r>
              <w:rPr>
                <w:color w:val="000000"/>
                <w:sz w:val="22"/>
                <w:szCs w:val="22"/>
              </w:rPr>
              <w:t xml:space="preserve">ул. Набережная, д. 10 </w:t>
            </w:r>
          </w:p>
          <w:p>
            <w:pPr>
              <w:pStyle w:val="Style17"/>
              <w:ind w:left="357" w:hanging="0"/>
              <w:rPr/>
            </w:pPr>
            <w:r>
              <w:rPr>
                <w:color w:val="000000"/>
                <w:sz w:val="22"/>
                <w:szCs w:val="22"/>
              </w:rPr>
              <w:t>ИНН 4100000668</w:t>
            </w:r>
          </w:p>
          <w:p>
            <w:pPr>
              <w:pStyle w:val="Style17"/>
              <w:ind w:left="357" w:hanging="0"/>
              <w:rPr/>
            </w:pPr>
            <w:r>
              <w:rPr>
                <w:color w:val="000000"/>
                <w:sz w:val="22"/>
                <w:szCs w:val="22"/>
              </w:rPr>
              <w:t xml:space="preserve">КПП 410101001 </w:t>
            </w:r>
          </w:p>
          <w:p>
            <w:pPr>
              <w:pStyle w:val="Style17"/>
              <w:ind w:left="357" w:hanging="0"/>
              <w:rPr/>
            </w:pPr>
            <w:r>
              <w:rPr>
                <w:color w:val="000000"/>
                <w:sz w:val="22"/>
                <w:szCs w:val="22"/>
              </w:rPr>
              <w:t>КПП 775050001 поставлено на учет в качестве крупнейшего налогоплательщика с 08.02.2019</w:t>
            </w:r>
          </w:p>
          <w:p>
            <w:pPr>
              <w:pStyle w:val="Style17"/>
              <w:ind w:left="357" w:hanging="0"/>
              <w:rPr/>
            </w:pPr>
            <w:r>
              <w:rPr>
                <w:color w:val="000000"/>
                <w:sz w:val="22"/>
                <w:szCs w:val="22"/>
              </w:rPr>
              <w:t>Код ОКТМО 30701000001</w:t>
            </w:r>
          </w:p>
          <w:p>
            <w:pPr>
              <w:pStyle w:val="Style17"/>
              <w:ind w:left="357" w:hanging="0"/>
              <w:rPr/>
            </w:pPr>
            <w:r>
              <w:rPr>
                <w:color w:val="000000"/>
                <w:sz w:val="22"/>
                <w:szCs w:val="22"/>
              </w:rPr>
              <w:t>ОКПО 00106106</w:t>
            </w:r>
          </w:p>
          <w:p>
            <w:pPr>
              <w:pStyle w:val="Style17"/>
              <w:ind w:left="357" w:hanging="0"/>
              <w:rPr/>
            </w:pPr>
            <w:r>
              <w:rPr>
                <w:color w:val="000000"/>
                <w:sz w:val="22"/>
                <w:szCs w:val="22"/>
              </w:rPr>
              <w:t>дата постановки на учет в ИФНС: 18.01.1994</w:t>
            </w:r>
          </w:p>
          <w:p>
            <w:pPr>
              <w:pStyle w:val="Style17"/>
              <w:ind w:left="357" w:hanging="0"/>
              <w:rPr/>
            </w:pPr>
            <w:r>
              <w:rPr>
                <w:color w:val="000000"/>
                <w:sz w:val="22"/>
                <w:szCs w:val="22"/>
              </w:rPr>
              <w:t>ОО «Дальневосточный» в ФИЛИАЛ «ХАБАРОВСКИЙ»</w:t>
            </w:r>
          </w:p>
          <w:p>
            <w:pPr>
              <w:pStyle w:val="Style17"/>
              <w:ind w:left="357" w:hanging="0"/>
              <w:rPr/>
            </w:pPr>
            <w:r>
              <w:rPr>
                <w:color w:val="000000"/>
                <w:sz w:val="22"/>
                <w:szCs w:val="22"/>
              </w:rPr>
              <w:t>АО «АЛЬФА-БАНК»</w:t>
            </w:r>
          </w:p>
          <w:p>
            <w:pPr>
              <w:pStyle w:val="Style17"/>
              <w:ind w:left="357" w:hanging="0"/>
              <w:rPr/>
            </w:pPr>
            <w:r>
              <w:rPr>
                <w:color w:val="000000"/>
                <w:sz w:val="22"/>
                <w:szCs w:val="22"/>
              </w:rPr>
              <w:t>Р/счет  40702810020020005559</w:t>
              <w:tab/>
            </w:r>
          </w:p>
          <w:p>
            <w:pPr>
              <w:pStyle w:val="Style17"/>
              <w:ind w:left="357" w:hanging="0"/>
              <w:rPr/>
            </w:pPr>
            <w:r>
              <w:rPr>
                <w:color w:val="000000"/>
                <w:sz w:val="22"/>
                <w:szCs w:val="22"/>
              </w:rPr>
              <w:t>К/счет  30101810800000000770</w:t>
            </w:r>
          </w:p>
          <w:p>
            <w:pPr>
              <w:pStyle w:val="Style17"/>
              <w:ind w:left="357" w:hanging="0"/>
              <w:rPr/>
            </w:pPr>
            <w:r>
              <w:rPr>
                <w:color w:val="000000"/>
                <w:sz w:val="22"/>
                <w:szCs w:val="22"/>
              </w:rPr>
              <w:t>БИК  040813770</w:t>
            </w:r>
          </w:p>
          <w:p>
            <w:pPr>
              <w:pStyle w:val="Style17"/>
              <w:ind w:left="357" w:hanging="0"/>
              <w:rPr/>
            </w:pPr>
            <w:r>
              <w:rPr>
                <w:color w:val="000000"/>
                <w:sz w:val="22"/>
                <w:szCs w:val="22"/>
              </w:rPr>
              <w:t xml:space="preserve">E-mail: </w:t>
            </w:r>
            <w:r>
              <w:rPr>
                <w:rStyle w:val="Style5"/>
                <w:sz w:val="22"/>
                <w:szCs w:val="22"/>
              </w:rPr>
              <w:t>kamenergo@rushydro.ru</w:t>
            </w:r>
          </w:p>
          <w:p>
            <w:pPr>
              <w:pStyle w:val="Style17"/>
              <w:ind w:left="0" w:right="255" w:hanging="0"/>
              <w:jc w:val="left"/>
              <w:rPr/>
            </w:pPr>
            <w:r>
              <w:rPr>
                <w:rStyle w:val="Style5"/>
                <w:b/>
                <w:iCs/>
                <w:color w:val="000000"/>
                <w:sz w:val="22"/>
                <w:szCs w:val="22"/>
              </w:rPr>
              <w:t xml:space="preserve">Официальный сайт ПАО «Камчатскэнерго»: </w:t>
            </w:r>
            <w:hyperlink r:id="rId4">
              <w:r>
                <w:rPr>
                  <w:rStyle w:val="Style5"/>
                  <w:b/>
                  <w:iCs/>
                  <w:sz w:val="22"/>
                  <w:szCs w:val="22"/>
                </w:rPr>
                <w:t>www.kamenergo.ru</w:t>
              </w:r>
            </w:hyperlink>
          </w:p>
          <w:p>
            <w:pPr>
              <w:pStyle w:val="Normal"/>
              <w:ind w:left="357" w:right="255" w:firstLine="357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ind w:left="357" w:right="255" w:firstLine="357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4859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Потребитель</w:t>
            </w:r>
          </w:p>
          <w:p>
            <w:pPr>
              <w:pStyle w:val="Normal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ind w:left="0" w:hanging="0"/>
              <w:rPr>
                <w:b/>
                <w:b/>
                <w:iCs/>
              </w:rPr>
            </w:pPr>
            <w:r>
              <w:rPr>
                <w:b/>
                <w:iCs/>
              </w:rPr>
              <w:t>Адрес ________________________________________</w:t>
            </w:r>
          </w:p>
          <w:p>
            <w:pPr>
              <w:pStyle w:val="Normal"/>
              <w:ind w:left="0" w:hanging="0"/>
              <w:rPr>
                <w:iCs/>
              </w:rPr>
            </w:pPr>
            <w:r>
              <w:rPr>
                <w:iCs/>
              </w:rPr>
              <w:t>Телефон ______________________________________</w:t>
            </w:r>
          </w:p>
          <w:p>
            <w:pPr>
              <w:pStyle w:val="Normal"/>
              <w:ind w:left="0" w:hanging="0"/>
              <w:rPr>
                <w:iCs/>
              </w:rPr>
            </w:pPr>
            <w:r>
              <w:rPr>
                <w:iCs/>
              </w:rPr>
              <w:t>Факс _________________________________________</w:t>
            </w:r>
          </w:p>
          <w:p>
            <w:pPr>
              <w:pStyle w:val="Normal"/>
              <w:ind w:left="0" w:hanging="0"/>
              <w:rPr>
                <w:iCs/>
              </w:rPr>
            </w:pPr>
            <w:r>
              <w:rPr>
                <w:bCs/>
              </w:rPr>
              <w:t>Адрес электронной почты________________________</w:t>
            </w:r>
          </w:p>
          <w:p>
            <w:pPr>
              <w:pStyle w:val="Normal"/>
              <w:ind w:left="0" w:hanging="0"/>
              <w:rPr>
                <w:iCs/>
              </w:rPr>
            </w:pPr>
            <w:r>
              <w:rPr>
                <w:iCs/>
              </w:rPr>
              <w:t>ИНН/КПП ____________________/________________</w:t>
            </w:r>
          </w:p>
          <w:p>
            <w:pPr>
              <w:pStyle w:val="Normal"/>
              <w:ind w:left="0" w:hanging="0"/>
              <w:rPr>
                <w:iCs/>
              </w:rPr>
            </w:pPr>
            <w:r>
              <w:rPr>
                <w:iCs/>
              </w:rPr>
              <w:t>ОКВЭД _______________________________________</w:t>
            </w:r>
          </w:p>
          <w:p>
            <w:pPr>
              <w:pStyle w:val="Normal"/>
              <w:ind w:left="0" w:hanging="0"/>
              <w:rPr>
                <w:iCs/>
              </w:rPr>
            </w:pPr>
            <w:r>
              <w:rPr>
                <w:iCs/>
              </w:rPr>
              <w:t>ОГРН ________________________________________</w:t>
            </w:r>
          </w:p>
          <w:p>
            <w:pPr>
              <w:pStyle w:val="Normal"/>
              <w:ind w:left="0" w:hanging="0"/>
              <w:rPr>
                <w:iCs/>
              </w:rPr>
            </w:pPr>
            <w:r>
              <w:rPr>
                <w:iCs/>
              </w:rPr>
              <w:t>Банк _________________________________________</w:t>
            </w:r>
          </w:p>
          <w:p>
            <w:pPr>
              <w:pStyle w:val="Normal"/>
              <w:ind w:left="0" w:hanging="0"/>
              <w:rPr>
                <w:iCs/>
              </w:rPr>
            </w:pPr>
            <w:r>
              <w:rPr>
                <w:iCs/>
              </w:rPr>
              <w:t>Р/счет ________________________________________</w:t>
            </w:r>
          </w:p>
          <w:p>
            <w:pPr>
              <w:pStyle w:val="Normal"/>
              <w:ind w:left="0" w:hanging="0"/>
              <w:rPr>
                <w:iCs/>
              </w:rPr>
            </w:pPr>
            <w:r>
              <w:rPr>
                <w:iCs/>
              </w:rPr>
              <w:t>БИК __________________________________________</w:t>
            </w:r>
          </w:p>
          <w:p>
            <w:pPr>
              <w:pStyle w:val="Normal"/>
              <w:suppressAutoHyphens w:val="true"/>
              <w:ind w:left="0" w:hanging="0"/>
              <w:rPr>
                <w:b/>
                <w:b/>
              </w:rPr>
            </w:pPr>
            <w:r>
              <w:rPr>
                <w:iCs/>
              </w:rPr>
              <w:t>Режим налогообложения_________________________</w:t>
            </w:r>
          </w:p>
        </w:tc>
      </w:tr>
      <w:tr>
        <w:trPr>
          <w:trHeight w:val="675" w:hRule="atLeast"/>
        </w:trPr>
        <w:tc>
          <w:tcPr>
            <w:tcW w:w="4608" w:type="dxa"/>
            <w:tcBorders/>
            <w:shd w:color="auto" w:fill="auto" w:val="clear"/>
          </w:tcPr>
          <w:p>
            <w:pPr>
              <w:pStyle w:val="Normal"/>
              <w:ind w:left="0" w:right="255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  А.З. Жосан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>
            <w:pPr>
              <w:pStyle w:val="Normal"/>
              <w:ind w:left="0" w:right="255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</w:t>
            </w:r>
            <w:r>
              <w:rPr>
                <w:b/>
                <w:sz w:val="24"/>
                <w:szCs w:val="24"/>
              </w:rPr>
              <w:t>м.п.</w:t>
            </w:r>
          </w:p>
          <w:p>
            <w:pPr>
              <w:pStyle w:val="Normal"/>
              <w:ind w:left="0" w:right="255" w:firstLine="357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ind w:left="0" w:right="255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«___»______________ ______ года</w:t>
            </w:r>
          </w:p>
        </w:tc>
        <w:tc>
          <w:tcPr>
            <w:tcW w:w="4859" w:type="dxa"/>
            <w:tcBorders/>
            <w:shd w:color="auto" w:fill="auto" w:val="clear"/>
          </w:tcPr>
          <w:p>
            <w:pPr>
              <w:pStyle w:val="Normal"/>
              <w:ind w:left="0" w:hanging="0"/>
              <w:rPr/>
            </w:pPr>
            <w:r>
              <w:rPr>
                <w:sz w:val="24"/>
                <w:szCs w:val="24"/>
              </w:rPr>
              <w:t>________________</w:t>
            </w:r>
            <w:r>
              <w:rPr>
                <w:rStyle w:val="125"/>
                <w:sz w:val="24"/>
                <w:szCs w:val="24"/>
              </w:rPr>
              <w:t>_____________________</w:t>
            </w:r>
          </w:p>
          <w:p>
            <w:pPr>
              <w:pStyle w:val="Normal"/>
              <w:ind w:left="0" w:hanging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</w:t>
            </w:r>
            <w:r>
              <w:rPr>
                <w:b/>
                <w:bCs/>
                <w:sz w:val="24"/>
                <w:szCs w:val="24"/>
              </w:rPr>
              <w:t>м.п.</w:t>
            </w:r>
          </w:p>
          <w:p>
            <w:pPr>
              <w:pStyle w:val="Normal"/>
              <w:ind w:left="0" w:firstLine="357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ind w:left="0" w:hanging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«___»_______________ </w:t>
            </w:r>
            <w:r>
              <w:rPr>
                <w:b/>
                <w:bCs/>
                <w:sz w:val="24"/>
                <w:szCs w:val="24"/>
                <w:lang w:val="en-US"/>
              </w:rPr>
              <w:t>_______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>
        <w:trPr>
          <w:trHeight w:val="675" w:hRule="atLeast"/>
        </w:trPr>
        <w:tc>
          <w:tcPr>
            <w:tcW w:w="4608" w:type="dxa"/>
            <w:tcBorders/>
            <w:shd w:color="auto" w:fill="auto" w:val="clear"/>
          </w:tcPr>
          <w:p>
            <w:pPr>
              <w:pStyle w:val="Normal"/>
              <w:tabs>
                <w:tab w:val="left" w:pos="780" w:leader="none"/>
              </w:tabs>
              <w:ind w:left="0" w:right="255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4859" w:type="dxa"/>
            <w:tcBorders/>
            <w:shd w:color="auto" w:fill="auto" w:val="clear"/>
          </w:tcPr>
          <w:p>
            <w:pPr>
              <w:pStyle w:val="Normal"/>
              <w:ind w:left="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sectPr>
          <w:footerReference w:type="default" r:id="rId5"/>
          <w:type w:val="nextPage"/>
          <w:pgSz w:w="11906" w:h="16838"/>
          <w:pgMar w:left="1418" w:right="851" w:header="0" w:top="1134" w:footer="690" w:bottom="1276" w:gutter="0"/>
          <w:pgNumType w:fmt="decimal"/>
          <w:formProt w:val="false"/>
          <w:textDirection w:val="lrTb"/>
          <w:docGrid w:type="default" w:linePitch="326" w:charSpace="2047"/>
        </w:sectPr>
        <w:pStyle w:val="Normal"/>
        <w:tabs>
          <w:tab w:val="left" w:pos="1302" w:leader="none"/>
          <w:tab w:val="center" w:pos="4153" w:leader="none"/>
          <w:tab w:val="right" w:pos="8306" w:leader="none"/>
        </w:tabs>
        <w:ind w:left="0" w:hanging="0"/>
        <w:jc w:val="left"/>
        <w:rPr>
          <w:rStyle w:val="Pagenumber"/>
        </w:rPr>
      </w:pPr>
      <w:r>
        <w:rPr/>
        <w:t>Исполнитель________________</w:t>
      </w:r>
    </w:p>
    <w:p>
      <w:pPr>
        <w:pStyle w:val="Normal"/>
        <w:jc w:val="right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Приложение № 5</w:t>
      </w:r>
    </w:p>
    <w:p>
      <w:pPr>
        <w:pStyle w:val="Normal"/>
        <w:ind w:left="9072" w:hanging="907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энергоснабжения </w:t>
      </w:r>
    </w:p>
    <w:p>
      <w:pPr>
        <w:pStyle w:val="Normal"/>
        <w:ind w:left="0" w:hanging="0"/>
        <w:jc w:val="right"/>
        <w:rPr/>
      </w:pPr>
      <w:r>
        <w:rPr>
          <w:sz w:val="22"/>
          <w:szCs w:val="22"/>
        </w:rPr>
        <w:t xml:space="preserve"> </w:t>
      </w:r>
      <w:r>
        <w:rPr>
          <w:rStyle w:val="12"/>
          <w:sz w:val="22"/>
          <w:szCs w:val="22"/>
        </w:rPr>
        <w:t xml:space="preserve">№  </w:t>
      </w:r>
      <w:r>
        <w:rPr>
          <w:rStyle w:val="12"/>
          <w:sz w:val="22"/>
          <w:szCs w:val="22"/>
        </w:rPr>
        <w:t xml:space="preserve">от </w:t>
      </w:r>
    </w:p>
    <w:p>
      <w:pPr>
        <w:pStyle w:val="Normal"/>
        <w:ind w:left="9072" w:hanging="9072"/>
        <w:jc w:val="right"/>
        <w:rPr>
          <w:b/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Условия потребления и генерации реактивной электроэнергии</w:t>
      </w:r>
    </w:p>
    <w:p>
      <w:pPr>
        <w:pStyle w:val="Normal"/>
        <w:numPr>
          <w:ilvl w:val="0"/>
          <w:numId w:val="2"/>
        </w:numPr>
        <w:tabs>
          <w:tab w:val="left" w:pos="0" w:leader="none"/>
          <w:tab w:val="left" w:pos="709" w:leader="none"/>
        </w:tabs>
        <w:ind w:left="0" w:hanging="0"/>
        <w:jc w:val="left"/>
        <w:rPr/>
      </w:pPr>
      <w:r>
        <w:rPr/>
        <w:t>Установленная мощность компенсирующих устройств (КУ):</w:t>
      </w:r>
    </w:p>
    <w:p>
      <w:pPr>
        <w:pStyle w:val="Normal"/>
        <w:ind w:left="360" w:firstLine="357"/>
        <w:rPr/>
      </w:pPr>
      <w:r>
        <w:rPr/>
      </w:r>
    </w:p>
    <w:tbl>
      <w:tblPr>
        <w:tblW w:w="9356" w:type="dxa"/>
        <w:jc w:val="lef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36"/>
        <w:gridCol w:w="4708"/>
        <w:gridCol w:w="1419"/>
        <w:gridCol w:w="1341"/>
        <w:gridCol w:w="1352"/>
      </w:tblGrid>
      <w:tr>
        <w:trPr>
          <w:trHeight w:val="486" w:hRule="atLeast"/>
          <w:cantSplit w:val="true"/>
        </w:trPr>
        <w:tc>
          <w:tcPr>
            <w:tcW w:w="5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</w:rPr>
            </w:pPr>
            <w:r>
              <w:rPr>
                <w:b/>
              </w:rPr>
              <w:t>№ </w:t>
            </w:r>
          </w:p>
        </w:tc>
        <w:tc>
          <w:tcPr>
            <w:tcW w:w="47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77" w:hanging="0"/>
              <w:jc w:val="center"/>
              <w:rPr>
                <w:b/>
                <w:b/>
              </w:rPr>
            </w:pPr>
            <w:r>
              <w:rPr>
                <w:b/>
              </w:rPr>
              <w:t>Тип компенсирующих устройств</w:t>
            </w:r>
          </w:p>
        </w:tc>
        <w:tc>
          <w:tcPr>
            <w:tcW w:w="27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77" w:hanging="0"/>
              <w:jc w:val="center"/>
              <w:rPr>
                <w:b/>
                <w:b/>
              </w:rPr>
            </w:pPr>
            <w:r>
              <w:rPr>
                <w:b/>
              </w:rPr>
              <w:t>Номинальное напряжение</w:t>
            </w:r>
          </w:p>
        </w:tc>
        <w:tc>
          <w:tcPr>
            <w:tcW w:w="13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77" w:hanging="0"/>
              <w:jc w:val="center"/>
              <w:rPr>
                <w:b/>
                <w:b/>
              </w:rPr>
            </w:pPr>
            <w:r>
              <w:rPr>
                <w:b/>
              </w:rPr>
              <w:t>Итого</w:t>
            </w:r>
          </w:p>
        </w:tc>
      </w:tr>
      <w:tr>
        <w:trPr>
          <w:trHeight w:val="243" w:hRule="atLeast"/>
        </w:trPr>
        <w:tc>
          <w:tcPr>
            <w:tcW w:w="53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77" w:hanging="0"/>
              <w:jc w:val="left"/>
              <w:rPr/>
            </w:pPr>
            <w:r>
              <w:rPr/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77" w:hanging="0"/>
              <w:jc w:val="center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  <w:t>До1000 В</w:t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77" w:hanging="0"/>
              <w:jc w:val="center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  <w:t>Свыше 1000 В</w:t>
            </w:r>
          </w:p>
        </w:tc>
        <w:tc>
          <w:tcPr>
            <w:tcW w:w="13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77" w:hanging="0"/>
              <w:jc w:val="center"/>
              <w:rPr/>
            </w:pPr>
            <w:r>
              <w:rPr/>
            </w:r>
          </w:p>
        </w:tc>
      </w:tr>
      <w:tr>
        <w:trPr>
          <w:trHeight w:val="243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ind w:left="0" w:hanging="0"/>
              <w:jc w:val="center"/>
              <w:rPr>
                <w:b/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left"/>
              <w:rPr>
                <w:b/>
                <w:b/>
              </w:rPr>
            </w:pPr>
            <w:r>
              <w:rPr>
                <w:b/>
              </w:rPr>
              <w:t>Конденсаторные установки, квар, в том числе: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43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1.1.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left"/>
              <w:rPr>
                <w:b/>
                <w:b/>
              </w:rPr>
            </w:pPr>
            <w:r>
              <w:rPr>
                <w:b/>
              </w:rPr>
              <w:t>регулируемые автоматически, квар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43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1.2.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left"/>
              <w:rPr>
                <w:b/>
                <w:b/>
              </w:rPr>
            </w:pPr>
            <w:r>
              <w:rPr>
                <w:b/>
              </w:rPr>
              <w:t>регулируемые вручную, квар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59" w:hRule="atLeast"/>
        </w:trPr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ind w:left="0" w:hanging="0"/>
              <w:jc w:val="center"/>
              <w:rPr>
                <w:b/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0" w:hanging="0"/>
              <w:jc w:val="left"/>
              <w:rPr>
                <w:b/>
                <w:b/>
              </w:rPr>
            </w:pPr>
            <w:r>
              <w:rPr>
                <w:b/>
              </w:rPr>
              <w:t>Синхронные двигатели (СД) и компенсаторы (СК), кВт</w:t>
            </w:r>
          </w:p>
        </w:tc>
        <w:tc>
          <w:tcPr>
            <w:tcW w:w="1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3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spacing w:before="40" w:after="40"/>
        <w:ind w:left="0" w:hanging="0"/>
        <w:rPr>
          <w:b/>
          <w:b/>
        </w:rPr>
      </w:pPr>
      <w:r>
        <w:rPr>
          <w:b/>
        </w:rPr>
        <w:t xml:space="preserve">Примечание: </w:t>
      </w:r>
    </w:p>
    <w:p>
      <w:pPr>
        <w:pStyle w:val="Normal"/>
        <w:tabs>
          <w:tab w:val="center" w:pos="4153" w:leader="none"/>
          <w:tab w:val="right" w:pos="8306" w:leader="none"/>
        </w:tabs>
        <w:ind w:left="0" w:hanging="0"/>
        <w:rPr/>
      </w:pPr>
      <w:r>
        <w:rPr/>
        <w:t xml:space="preserve"> </w:t>
      </w:r>
      <w:r>
        <w:rPr/>
        <w:t>Потребитель согласовывает установку компенсирующих устройств с Сетевой организацией, сведения об установке и демонтаже компенсирующих устройств предоставляет в адрес Гарантирующего поставщика.</w:t>
      </w:r>
    </w:p>
    <w:p>
      <w:pPr>
        <w:pStyle w:val="Normal"/>
        <w:numPr>
          <w:ilvl w:val="0"/>
          <w:numId w:val="2"/>
        </w:numPr>
        <w:tabs>
          <w:tab w:val="left" w:pos="0" w:leader="none"/>
          <w:tab w:val="left" w:pos="709" w:leader="none"/>
        </w:tabs>
        <w:ind w:left="0" w:hanging="0"/>
        <w:jc w:val="left"/>
        <w:rPr/>
      </w:pPr>
      <w:r>
        <w:rPr/>
        <w:t>В случае отклонений Потребителем услуг от установленных договором значений соотношения потребления активной и реактивной мощности в часы максимальной и минимальной нагрузок  Потребитель в соответствии с «Правилами недискриминационного доступа к услугам по передаче электрической энергии и оказания этих услуг», утвержденных постановлением Правительства РФ от 27.12.2004 №  861, оплачивает потребление (генерацию) реактивной электроэнергии с учетом коэффициента к тарифу на активную электроэнергию.</w:t>
      </w:r>
    </w:p>
    <w:p>
      <w:pPr>
        <w:pStyle w:val="Normal"/>
        <w:tabs>
          <w:tab w:val="left" w:pos="709" w:leader="none"/>
        </w:tabs>
        <w:ind w:left="0" w:hanging="0"/>
        <w:rPr/>
      </w:pPr>
      <w:r>
        <w:rPr/>
      </w:r>
    </w:p>
    <w:tbl>
      <w:tblPr>
        <w:tblW w:w="9356" w:type="dxa"/>
        <w:jc w:val="lef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275"/>
        <w:gridCol w:w="2124"/>
        <w:gridCol w:w="1987"/>
        <w:gridCol w:w="1984"/>
        <w:gridCol w:w="1986"/>
      </w:tblGrid>
      <w:tr>
        <w:trPr>
          <w:trHeight w:val="1166" w:hRule="atLeast"/>
        </w:trPr>
        <w:tc>
          <w:tcPr>
            <w:tcW w:w="12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Расчетный период</w:t>
            </w:r>
          </w:p>
        </w:tc>
        <w:tc>
          <w:tcPr>
            <w:tcW w:w="411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108" w:right="-108" w:firstLine="357"/>
              <w:jc w:val="center"/>
              <w:rPr>
                <w:b/>
                <w:b/>
              </w:rPr>
            </w:pPr>
            <w:r>
              <w:rPr>
                <w:b/>
              </w:rPr>
              <w:t>Технические пределы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Коэффициент к тарифу за Потребление реактивной энергии</w:t>
            </w:r>
          </w:p>
          <w:p>
            <w:pPr>
              <w:pStyle w:val="Normal"/>
              <w:ind w:left="-108" w:right="-108" w:firstLine="357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9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Коэффициент к тарифу за генерацию реактивной энергии</w:t>
            </w:r>
          </w:p>
          <w:p>
            <w:pPr>
              <w:pStyle w:val="Normal"/>
              <w:ind w:left="-108" w:right="-108" w:firstLine="357"/>
              <w:jc w:val="center"/>
              <w:rPr>
                <w:b/>
                <w:b/>
              </w:rPr>
            </w:pPr>
            <w:r>
              <w:rPr>
                <w:b/>
              </w:rPr>
              <w:t> </w:t>
            </w:r>
          </w:p>
        </w:tc>
      </w:tr>
      <w:tr>
        <w:trPr>
          <w:trHeight w:val="250" w:hRule="atLeast"/>
        </w:trPr>
        <w:tc>
          <w:tcPr>
            <w:tcW w:w="127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108" w:right="-108" w:firstLine="357"/>
              <w:rPr/>
            </w:pPr>
            <w:r>
              <w:rPr/>
            </w: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Потребления</w:t>
            </w:r>
          </w:p>
          <w:p>
            <w:pPr>
              <w:pStyle w:val="Normal"/>
              <w:ind w:left="-108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lang w:val="en-US"/>
              </w:rPr>
              <w:t>tg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φ</w:t>
            </w:r>
            <w:r>
              <w:rPr>
                <w:b/>
              </w:rPr>
              <w:t xml:space="preserve"> в период максимальной нагрузки)</w:t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Генерации</w:t>
            </w:r>
          </w:p>
          <w:p>
            <w:pPr>
              <w:pStyle w:val="Normal"/>
              <w:ind w:left="-108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lang w:val="en-US"/>
              </w:rPr>
              <w:t>tg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φ</w:t>
            </w:r>
            <w:r>
              <w:rPr>
                <w:b/>
              </w:rPr>
              <w:t xml:space="preserve"> в период минимальной нагрузки)</w:t>
            </w:r>
          </w:p>
        </w:tc>
        <w:tc>
          <w:tcPr>
            <w:tcW w:w="198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bottom"/>
          </w:tcPr>
          <w:p>
            <w:pPr>
              <w:pStyle w:val="Normal"/>
              <w:ind w:left="-108" w:right="-108" w:firstLine="357"/>
              <w:jc w:val="center"/>
              <w:rPr/>
            </w:pPr>
            <w:r>
              <w:rPr/>
            </w:r>
          </w:p>
        </w:tc>
        <w:tc>
          <w:tcPr>
            <w:tcW w:w="19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bottom"/>
          </w:tcPr>
          <w:p>
            <w:pPr>
              <w:pStyle w:val="Normal"/>
              <w:ind w:left="-108" w:right="-108" w:firstLine="357"/>
              <w:jc w:val="center"/>
              <w:rPr/>
            </w:pPr>
            <w:r>
              <w:rPr/>
            </w:r>
          </w:p>
        </w:tc>
      </w:tr>
      <w:tr>
        <w:trPr>
          <w:trHeight w:val="350" w:hRule="atLeast"/>
        </w:trPr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108" w:right="-108" w:firstLine="357"/>
              <w:jc w:val="center"/>
              <w:rPr/>
            </w:pPr>
            <w:r>
              <w:rPr/>
            </w:r>
          </w:p>
        </w:tc>
        <w:tc>
          <w:tcPr>
            <w:tcW w:w="2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108" w:right="-108" w:firstLine="357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9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0,08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-108" w:right="-108" w:hanging="0"/>
              <w:jc w:val="center"/>
              <w:rPr>
                <w:b/>
                <w:b/>
              </w:rPr>
            </w:pPr>
            <w:r>
              <w:rPr>
                <w:b/>
              </w:rPr>
              <w:t>0,12</w:t>
            </w:r>
          </w:p>
        </w:tc>
      </w:tr>
    </w:tbl>
    <w:p>
      <w:pPr>
        <w:pStyle w:val="Normal"/>
        <w:ind w:left="0" w:hanging="0"/>
        <w:jc w:val="left"/>
        <w:rPr>
          <w:b/>
          <w:b/>
        </w:rPr>
      </w:pPr>
      <w:r>
        <w:rPr>
          <w:b/>
        </w:rPr>
        <w:t xml:space="preserve">Примечание: </w:t>
      </w:r>
    </w:p>
    <w:p>
      <w:pPr>
        <w:pStyle w:val="Normal"/>
        <w:numPr>
          <w:ilvl w:val="0"/>
          <w:numId w:val="5"/>
        </w:numPr>
        <w:tabs>
          <w:tab w:val="left" w:pos="0" w:leader="none"/>
        </w:tabs>
        <w:spacing w:before="40" w:after="40"/>
        <w:ind w:left="0" w:hanging="0"/>
        <w:jc w:val="left"/>
        <w:rPr>
          <w:vertAlign w:val="subscript"/>
        </w:rPr>
      </w:pPr>
      <w:r>
        <w:rPr/>
        <w:t xml:space="preserve">Потребление реактивной энергии за расчетный период определяется по приборам учета электроэнергии, при отсутствии прибора учета </w:t>
      </w:r>
      <w:r>
        <w:rPr>
          <w:lang w:val="en-US"/>
        </w:rPr>
        <w:t>W</w:t>
      </w:r>
      <w:r>
        <w:rPr>
          <w:vertAlign w:val="subscript"/>
          <w:lang w:val="en-US"/>
        </w:rPr>
        <w:t>Q</w:t>
      </w:r>
      <w:r>
        <w:rPr>
          <w:vertAlign w:val="subscript"/>
        </w:rPr>
        <w:t xml:space="preserve"> потр. = </w:t>
      </w:r>
      <w:r>
        <w:rPr>
          <w:lang w:val="en-US"/>
        </w:rPr>
        <w:t>tg</w:t>
      </w:r>
      <w:r>
        <w:rPr/>
        <w:t xml:space="preserve"> </w:t>
      </w:r>
      <w:r>
        <w:rPr>
          <w:lang w:val="en-US"/>
        </w:rPr>
        <w:t>φ</w:t>
      </w:r>
      <w:r>
        <w:rPr>
          <w:vertAlign w:val="subscript"/>
        </w:rPr>
        <w:t xml:space="preserve">* </w:t>
      </w:r>
      <w:r>
        <w:rPr>
          <w:lang w:val="en-US"/>
        </w:rPr>
        <w:t>W</w:t>
      </w:r>
      <w:r>
        <w:rPr>
          <w:vertAlign w:val="subscript"/>
        </w:rPr>
        <w:t>А</w:t>
      </w:r>
      <w:r>
        <w:rPr/>
        <w:t xml:space="preserve">; генерация реактивной энергии определяется по приборам учета, при отсутствии прибора учета </w:t>
      </w:r>
      <w:r>
        <w:rPr>
          <w:lang w:val="en-US"/>
        </w:rPr>
        <w:t>W</w:t>
      </w:r>
      <w:r>
        <w:rPr>
          <w:vertAlign w:val="subscript"/>
          <w:lang w:val="en-US"/>
        </w:rPr>
        <w:t>Q</w:t>
      </w:r>
      <w:r>
        <w:rPr>
          <w:vertAlign w:val="subscript"/>
        </w:rPr>
        <w:t xml:space="preserve"> генер. = </w:t>
      </w:r>
      <w:r>
        <w:rPr>
          <w:lang w:val="en-US"/>
        </w:rPr>
        <w:t>Q</w:t>
      </w:r>
      <w:r>
        <w:rPr>
          <w:vertAlign w:val="subscript"/>
        </w:rPr>
        <w:t xml:space="preserve">К * </w:t>
      </w:r>
      <w:r>
        <w:rPr>
          <w:lang w:val="en-US"/>
        </w:rPr>
        <w:t>T</w:t>
      </w:r>
      <w:r>
        <w:rPr/>
        <w:t xml:space="preserve"> – </w:t>
      </w:r>
      <w:r>
        <w:rPr>
          <w:lang w:val="en-US"/>
        </w:rPr>
        <w:t>tg</w:t>
      </w:r>
      <w:r>
        <w:rPr/>
        <w:t xml:space="preserve"> </w:t>
      </w:r>
      <w:r>
        <w:rPr>
          <w:lang w:val="en-US"/>
        </w:rPr>
        <w:t>φ</w:t>
      </w:r>
      <w:r>
        <w:rPr>
          <w:vertAlign w:val="subscript"/>
        </w:rPr>
        <w:t xml:space="preserve">* </w:t>
      </w:r>
      <w:r>
        <w:rPr>
          <w:lang w:val="en-US"/>
        </w:rPr>
        <w:t>W</w:t>
      </w:r>
      <w:r>
        <w:rPr>
          <w:vertAlign w:val="subscript"/>
        </w:rPr>
        <w:t>А,</w:t>
      </w:r>
    </w:p>
    <w:p>
      <w:pPr>
        <w:pStyle w:val="Normal"/>
        <w:tabs>
          <w:tab w:val="left" w:pos="0" w:leader="none"/>
        </w:tabs>
        <w:spacing w:before="40" w:after="40"/>
        <w:ind w:left="720" w:hanging="0"/>
        <w:rPr/>
      </w:pPr>
      <w:r>
        <w:rPr/>
        <w:t xml:space="preserve">где: </w:t>
      </w:r>
      <w:r>
        <w:rPr>
          <w:lang w:val="en-US"/>
        </w:rPr>
        <w:t>Q</w:t>
      </w:r>
      <w:r>
        <w:rPr>
          <w:vertAlign w:val="subscript"/>
        </w:rPr>
        <w:t xml:space="preserve">К-  </w:t>
      </w:r>
      <w:r>
        <w:rPr/>
        <w:t>мощность компенсирующего устройства</w:t>
      </w:r>
      <w:r>
        <w:rPr>
          <w:vertAlign w:val="subscript"/>
        </w:rPr>
        <w:t xml:space="preserve">, </w:t>
      </w:r>
      <w:r>
        <w:rPr/>
        <w:t xml:space="preserve">Т- период времени, </w:t>
      </w:r>
      <w:r>
        <w:rPr>
          <w:lang w:val="en-US"/>
        </w:rPr>
        <w:t>tg</w:t>
      </w:r>
      <w:r>
        <w:rPr/>
        <w:t xml:space="preserve"> </w:t>
      </w:r>
      <w:r>
        <w:rPr>
          <w:lang w:val="en-US"/>
        </w:rPr>
        <w:t>φ</w:t>
      </w:r>
      <w:r>
        <w:rPr/>
        <w:t xml:space="preserve"> – коэффициент мощности, </w:t>
      </w:r>
      <w:r>
        <w:rPr>
          <w:lang w:val="en-US"/>
        </w:rPr>
        <w:t>W</w:t>
      </w:r>
      <w:r>
        <w:rPr>
          <w:vertAlign w:val="subscript"/>
        </w:rPr>
        <w:t xml:space="preserve">А-  </w:t>
      </w:r>
      <w:r>
        <w:rPr/>
        <w:t>Потребление активной энергии за расчетный период времени.</w:t>
      </w:r>
    </w:p>
    <w:p>
      <w:pPr>
        <w:pStyle w:val="Normal"/>
        <w:numPr>
          <w:ilvl w:val="0"/>
          <w:numId w:val="5"/>
        </w:numPr>
        <w:tabs>
          <w:tab w:val="left" w:pos="0" w:leader="none"/>
        </w:tabs>
        <w:spacing w:before="40" w:after="40"/>
        <w:ind w:left="0" w:hanging="0"/>
        <w:jc w:val="left"/>
        <w:rPr>
          <w:b/>
          <w:b/>
        </w:rPr>
      </w:pPr>
      <w:r>
        <w:rPr/>
        <w:t xml:space="preserve">При отсутствии прибора учета реактивной энергии, имеющего нормированные метрологические характеристики, воспроизводящие и хранящие величину, размер которой принимается неизменным в течение определенного интервала времени (максимальных, минимальных нагрузок), отклонение выявляется на основании результата замеров мощности. </w:t>
      </w:r>
    </w:p>
    <w:p>
      <w:pPr>
        <w:pStyle w:val="Normal"/>
        <w:numPr>
          <w:ilvl w:val="0"/>
          <w:numId w:val="5"/>
        </w:numPr>
        <w:tabs>
          <w:tab w:val="left" w:pos="0" w:leader="none"/>
        </w:tabs>
        <w:spacing w:before="40" w:after="40"/>
        <w:ind w:left="0" w:hanging="0"/>
        <w:jc w:val="left"/>
        <w:rPr/>
      </w:pPr>
      <w:r>
        <w:rPr/>
        <w:t xml:space="preserve">Замеры мощности выполняются на границе раздела балансовой принадлежности электросетей или по согласованию с Гарантирующим поставщиком в энергопринимающем устройстве </w:t>
      </w:r>
      <w:r>
        <w:rPr>
          <w:sz w:val="22"/>
          <w:szCs w:val="22"/>
        </w:rPr>
        <w:t>Потребителя</w:t>
      </w:r>
      <w:r>
        <w:rPr/>
        <w:t>.</w:t>
      </w:r>
    </w:p>
    <w:tbl>
      <w:tblPr>
        <w:tblpPr w:bottomFromText="0" w:horzAnchor="margin" w:leftFromText="180" w:rightFromText="180" w:tblpX="0" w:tblpY="293" w:topFromText="0" w:vertAnchor="text"/>
        <w:tblW w:w="9658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829"/>
        <w:gridCol w:w="4828"/>
      </w:tblGrid>
      <w:tr>
        <w:trPr>
          <w:trHeight w:val="178" w:hRule="atLeast"/>
        </w:trPr>
        <w:tc>
          <w:tcPr>
            <w:tcW w:w="4829" w:type="dxa"/>
            <w:tcBorders/>
            <w:shd w:color="auto" w:fill="auto" w:val="clear"/>
          </w:tcPr>
          <w:p>
            <w:pPr>
              <w:pStyle w:val="Normal"/>
              <w:ind w:left="0" w:hanging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Гарантирующий поставщик</w:t>
            </w:r>
          </w:p>
        </w:tc>
        <w:tc>
          <w:tcPr>
            <w:tcW w:w="4828" w:type="dxa"/>
            <w:tcBorders/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1"/>
              <w:rPr>
                <w:rFonts w:eastAsia="Arial Unicode MS"/>
                <w:b/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="Arial Unicode MS"/>
                <w:b/>
                <w:sz w:val="24"/>
                <w:szCs w:val="24"/>
              </w:rPr>
              <w:t>Потребитель</w:t>
            </w:r>
          </w:p>
        </w:tc>
      </w:tr>
      <w:tr>
        <w:trPr/>
        <w:tc>
          <w:tcPr>
            <w:tcW w:w="4829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8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29" w:type="dxa"/>
            <w:tcBorders/>
            <w:shd w:color="auto"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8" w:type="dxa"/>
            <w:tcBorders/>
            <w:shd w:color="auto" w:fill="auto" w:val="clear"/>
          </w:tcPr>
          <w:p>
            <w:pPr>
              <w:pStyle w:val="Normal"/>
              <w:tabs>
                <w:tab w:val="left" w:pos="708" w:leader="none"/>
                <w:tab w:val="center" w:pos="4153" w:leader="none"/>
                <w:tab w:val="right" w:pos="830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29" w:type="dxa"/>
            <w:tcBorders/>
            <w:shd w:color="auto" w:fill="auto" w:val="clear"/>
          </w:tcPr>
          <w:p>
            <w:pPr>
              <w:pStyle w:val="Normal"/>
              <w:ind w:left="0" w:hanging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___________________ </w:t>
            </w:r>
            <w:r>
              <w:rPr>
                <w:b/>
                <w:sz w:val="24"/>
                <w:szCs w:val="24"/>
              </w:rPr>
              <w:t xml:space="preserve"> А.З. Жосан</w:t>
            </w:r>
          </w:p>
        </w:tc>
        <w:tc>
          <w:tcPr>
            <w:tcW w:w="4828" w:type="dxa"/>
            <w:tcBorders/>
            <w:shd w:color="auto" w:fill="auto" w:val="clear"/>
          </w:tcPr>
          <w:p>
            <w:pPr>
              <w:pStyle w:val="Normal"/>
              <w:ind w:left="0" w:hanging="0"/>
              <w:rPr/>
            </w:pPr>
            <w:r>
              <w:rPr>
                <w:sz w:val="24"/>
                <w:szCs w:val="24"/>
              </w:rPr>
              <w:t>______________</w:t>
            </w:r>
          </w:p>
        </w:tc>
      </w:tr>
    </w:tbl>
    <w:p>
      <w:pPr>
        <w:pStyle w:val="Normal"/>
        <w:ind w:left="0" w:hanging="0"/>
        <w:rPr/>
      </w:pPr>
      <w:r>
        <w:rPr/>
      </w:r>
    </w:p>
    <w:p>
      <w:pPr>
        <w:pStyle w:val="Normal"/>
        <w:ind w:left="0" w:hanging="0"/>
        <w:rPr/>
      </w:pPr>
      <w:r>
        <w:rPr>
          <w:b/>
        </w:rPr>
        <w:t xml:space="preserve"> </w:t>
      </w:r>
      <w:r>
        <w:rPr>
          <w:b/>
        </w:rPr>
        <w:t>М.п.                                                                                         М.п.</w:t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p>
      <w:pPr>
        <w:sectPr>
          <w:footerReference w:type="default" r:id="rId6"/>
          <w:type w:val="nextPage"/>
          <w:pgSz w:w="11906" w:h="16838"/>
          <w:pgMar w:left="1418" w:right="851" w:header="0" w:top="1134" w:footer="720" w:bottom="1134" w:gutter="0"/>
          <w:pgNumType w:fmt="decimal"/>
          <w:formProt w:val="false"/>
          <w:textDirection w:val="lrTb"/>
          <w:docGrid w:type="default" w:linePitch="249" w:charSpace="2047"/>
        </w:sectPr>
        <w:pStyle w:val="Normal"/>
        <w:tabs>
          <w:tab w:val="left" w:pos="1302" w:leader="none"/>
          <w:tab w:val="center" w:pos="4153" w:leader="none"/>
          <w:tab w:val="right" w:pos="8306" w:leader="none"/>
        </w:tabs>
        <w:ind w:left="0" w:hanging="0"/>
        <w:jc w:val="left"/>
        <w:rPr>
          <w:b/>
          <w:b/>
        </w:rPr>
      </w:pPr>
      <w:r>
        <w:rPr/>
        <w:t xml:space="preserve">Исполнитель________________ </w:t>
      </w:r>
    </w:p>
    <w:p>
      <w:pPr>
        <w:pStyle w:val="Normal"/>
        <w:ind w:left="0" w:hanging="0"/>
        <w:jc w:val="right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Приложение № 6</w:t>
      </w:r>
    </w:p>
    <w:p>
      <w:pPr>
        <w:pStyle w:val="Normal"/>
        <w:ind w:left="9072" w:hanging="907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энергоснабжения </w:t>
      </w:r>
    </w:p>
    <w:p>
      <w:pPr>
        <w:pStyle w:val="Normal"/>
        <w:ind w:left="0" w:hanging="0"/>
        <w:jc w:val="right"/>
        <w:rPr>
          <w:b/>
          <w:b/>
          <w:color w:val="FF0000"/>
          <w:sz w:val="24"/>
          <w:szCs w:val="24"/>
        </w:rPr>
      </w:pPr>
      <w:r>
        <w:rPr>
          <w:rStyle w:val="12"/>
        </w:rPr>
        <w:t>№ </w:t>
      </w:r>
      <w:r>
        <w:rPr>
          <w:rStyle w:val="12"/>
        </w:rPr>
        <w:t>___________ от ______________</w:t>
      </w:r>
    </w:p>
    <w:p>
      <w:pPr>
        <w:pStyle w:val="Normal"/>
        <w:ind w:left="0" w:hanging="0"/>
        <w:jc w:val="center"/>
        <w:rPr>
          <w:sz w:val="24"/>
          <w:szCs w:val="24"/>
        </w:rPr>
      </w:pPr>
      <w:r>
        <w:rPr>
          <w:sz w:val="24"/>
          <w:szCs w:val="24"/>
        </w:rPr>
        <w:t>Форма</w:t>
      </w:r>
    </w:p>
    <w:p>
      <w:pPr>
        <w:pStyle w:val="Normal"/>
        <w:ind w:left="0" w:hanging="0"/>
        <w:jc w:val="center"/>
        <w:rPr>
          <w:sz w:val="24"/>
          <w:szCs w:val="24"/>
        </w:rPr>
      </w:pPr>
      <w:r>
        <w:rPr>
          <w:sz w:val="24"/>
          <w:szCs w:val="24"/>
        </w:rPr>
        <w:t>«Акт согласования технологической и (или) аварийной брони электроснабжения</w:t>
      </w:r>
    </w:p>
    <w:p>
      <w:pPr>
        <w:pStyle w:val="Normal"/>
        <w:tabs>
          <w:tab w:val="left" w:pos="9180" w:leader="none"/>
          <w:tab w:val="left" w:pos="9540" w:leader="none"/>
        </w:tabs>
        <w:ind w:left="0"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Потребителя электрической энергии (мощности)»</w:t>
      </w:r>
    </w:p>
    <w:p>
      <w:pPr>
        <w:pStyle w:val="Normal"/>
        <w:tabs>
          <w:tab w:val="left" w:pos="9180" w:leader="none"/>
          <w:tab w:val="left" w:pos="9540" w:leader="none"/>
        </w:tabs>
        <w:ind w:left="0" w:hanging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/>
      </w:pPr>
      <w:r>
        <w:rPr/>
      </w:r>
    </w:p>
    <w:p>
      <w:pPr>
        <w:pStyle w:val="Normal"/>
        <w:spacing w:before="120" w:after="0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  <w:t>Раздел I. ОБЩИЕ СВЕДЕНИЯ</w:t>
      </w:r>
    </w:p>
    <w:tbl>
      <w:tblPr>
        <w:tblW w:w="14601" w:type="dxa"/>
        <w:jc w:val="left"/>
        <w:tblInd w:w="63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top w:w="0" w:type="dxa"/>
          <w:left w:w="54" w:type="dxa"/>
          <w:bottom w:w="0" w:type="dxa"/>
          <w:right w:w="70" w:type="dxa"/>
        </w:tblCellMar>
        <w:tblLook w:val="0000" w:noVBand="0" w:noHBand="0" w:lastColumn="0" w:firstColumn="0" w:lastRow="0" w:firstRow="0"/>
      </w:tblPr>
      <w:tblGrid>
        <w:gridCol w:w="540"/>
        <w:gridCol w:w="6690"/>
        <w:gridCol w:w="7371"/>
      </w:tblGrid>
      <w:tr>
        <w:trPr>
          <w:trHeight w:val="271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 местонахождение организации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71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энергопринимающих устройств, подключенных к токоприемникам технологической брони, с указанием адресов места расположения соответствующих энергопринимающих устройств и наименованием питающих их линий электропередачи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8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энергопринимающих устройств, подключенных к токоприемникам аварийной брони, с указанием адресов места расположения соответствующих энергопринимающих устройств и наименованием питающих их линий электропередачи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Номер и дата заключения договора         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Контактная информация (фамилия, имя, отчество и телефон):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widowControl w:val="false"/>
              <w:spacing w:lineRule="auto" w:line="276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руководителя организации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56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widowControl w:val="false"/>
              <w:spacing w:lineRule="auto" w:line="276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технического руководителя (главного инженера) организации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widowControl w:val="false"/>
              <w:spacing w:lineRule="auto" w:line="276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ответственного за электрохозяйство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widowControl w:val="false"/>
              <w:spacing w:lineRule="auto" w:line="276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дежурного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34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widowControl w:val="false"/>
              <w:spacing w:lineRule="auto" w:line="276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дежурного по подстанции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Сменность работы потребителя (фактическая)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Нагрузка, тыс. кВт:                       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замеру в зимний период                 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замеру в летний период                 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45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Суточное электропотребление, тыс. кВт.ч:  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замеру в зимний период                 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замеру в летний период                 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6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 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Потребление электрической энергии (мощности) в нерабочие (праздничные) дни, тыс. кВт.ч:  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зимний период                           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летний период                           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Величина аварийной брони электроснабжения, тыс. кВт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зимний период                           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летний период                           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8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10.1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Нагрузка токоприемников, имеющих аварийную бронь, не участвующую в работе потребителя в нормальном  режиме, тыс. кВт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08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Нагрузка токоприемников, имеющих технологическую бронь электроснабжения, тыс. кВт:         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  </w:t>
            </w:r>
          </w:p>
        </w:tc>
        <w:tc>
          <w:tcPr>
            <w:tcW w:w="66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Наличие средств дистанционного управления           </w:t>
            </w:r>
          </w:p>
        </w:tc>
        <w:tc>
          <w:tcPr>
            <w:tcW w:w="73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</w:p>
        </w:tc>
      </w:tr>
    </w:tbl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  <w:t>Раздел II. ТЕХНИЧЕСКИЕ ХАРАКТЕРИСТИКИ ЭЛЕКТРОСНАБЖЕНИЯ ПОТРЕБИТЕЛЯ</w:t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  <w:t>Часть 1. Таблица</w:t>
      </w:r>
    </w:p>
    <w:tbl>
      <w:tblPr>
        <w:tblW w:w="15026" w:type="dxa"/>
        <w:jc w:val="left"/>
        <w:tblInd w:w="63" w:type="dxa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top w:w="0" w:type="dxa"/>
          <w:left w:w="54" w:type="dxa"/>
          <w:bottom w:w="0" w:type="dxa"/>
          <w:right w:w="70" w:type="dxa"/>
        </w:tblCellMar>
        <w:tblLook w:val="0000" w:noVBand="0" w:noHBand="0" w:lastColumn="0" w:firstColumn="0" w:lastRow="0" w:firstRow="0"/>
      </w:tblPr>
      <w:tblGrid>
        <w:gridCol w:w="348"/>
        <w:gridCol w:w="1199"/>
        <w:gridCol w:w="1199"/>
        <w:gridCol w:w="792"/>
        <w:gridCol w:w="1348"/>
        <w:gridCol w:w="1348"/>
        <w:gridCol w:w="1179"/>
        <w:gridCol w:w="1486"/>
        <w:gridCol w:w="1378"/>
        <w:gridCol w:w="1378"/>
        <w:gridCol w:w="1620"/>
        <w:gridCol w:w="1750"/>
      </w:tblGrid>
      <w:tr>
        <w:trPr>
          <w:trHeight w:val="240" w:hRule="atLeast"/>
          <w:cantSplit w:val="true"/>
        </w:trPr>
        <w:tc>
          <w:tcPr>
            <w:tcW w:w="34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  <w:t xml:space="preserve">N </w:t>
              <w:br/>
              <w:t>п/п</w:t>
            </w:r>
          </w:p>
        </w:tc>
        <w:tc>
          <w:tcPr>
            <w:tcW w:w="119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/>
            </w:pPr>
            <w:r>
              <w:rPr/>
              <w:t xml:space="preserve">Наименование   </w:t>
              <w:br/>
              <w:t xml:space="preserve">(номер) питающего центра    </w:t>
              <w:br/>
              <w:t xml:space="preserve">сетевой  </w:t>
              <w:br/>
              <w:t xml:space="preserve">организации и  </w:t>
              <w:br/>
              <w:t xml:space="preserve">других источников электро   </w:t>
              <w:br/>
              <w:t xml:space="preserve">снабжения      </w:t>
            </w:r>
          </w:p>
        </w:tc>
        <w:tc>
          <w:tcPr>
            <w:tcW w:w="1199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  <w:t xml:space="preserve">Наименование   </w:t>
              <w:br/>
              <w:t xml:space="preserve">(номер) </w:t>
            </w:r>
          </w:p>
          <w:p>
            <w:pPr>
              <w:pStyle w:val="Normal"/>
              <w:ind w:left="0" w:right="-10" w:hanging="0"/>
              <w:jc w:val="left"/>
              <w:rPr/>
            </w:pPr>
            <w:r>
              <w:rPr/>
              <w:t xml:space="preserve">питающей линии сетевой организации и других источни ков электро снабжения            </w:t>
            </w:r>
          </w:p>
        </w:tc>
        <w:tc>
          <w:tcPr>
            <w:tcW w:w="792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  <w:t xml:space="preserve">Нагрузка </w:t>
              <w:br/>
              <w:t xml:space="preserve">линии в  </w:t>
              <w:br/>
              <w:t xml:space="preserve">нормаль </w:t>
              <w:br/>
              <w:t xml:space="preserve">ном </w:t>
            </w:r>
          </w:p>
          <w:p>
            <w:pPr>
              <w:pStyle w:val="Normal"/>
              <w:ind w:left="0" w:hanging="0"/>
              <w:jc w:val="left"/>
              <w:rPr/>
            </w:pPr>
            <w:r>
              <w:rPr/>
              <w:t xml:space="preserve">режиме работы, кВт  </w:t>
            </w:r>
          </w:p>
        </w:tc>
        <w:tc>
          <w:tcPr>
            <w:tcW w:w="5361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Аварийная броня электроснабжения</w:t>
            </w:r>
          </w:p>
        </w:tc>
        <w:tc>
          <w:tcPr>
            <w:tcW w:w="612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Технологическая броня электроснабжения</w:t>
            </w:r>
          </w:p>
        </w:tc>
      </w:tr>
      <w:tr>
        <w:trPr>
          <w:trHeight w:val="1560" w:hRule="atLeast"/>
          <w:cantSplit w:val="true"/>
        </w:trPr>
        <w:tc>
          <w:tcPr>
            <w:tcW w:w="348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</w:r>
          </w:p>
        </w:tc>
        <w:tc>
          <w:tcPr>
            <w:tcW w:w="1199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</w:r>
          </w:p>
        </w:tc>
        <w:tc>
          <w:tcPr>
            <w:tcW w:w="1199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</w:r>
          </w:p>
        </w:tc>
        <w:tc>
          <w:tcPr>
            <w:tcW w:w="792" w:type="dxa"/>
            <w:vMerge w:val="continue"/>
            <w:tcBorders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</w:r>
          </w:p>
        </w:tc>
        <w:tc>
          <w:tcPr>
            <w:tcW w:w="1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/>
            </w:pPr>
            <w:r>
              <w:rPr/>
              <w:t>Перечень токоприемников аварийной брони</w:t>
            </w:r>
          </w:p>
        </w:tc>
        <w:tc>
          <w:tcPr>
            <w:tcW w:w="1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36" w:hanging="0"/>
              <w:jc w:val="left"/>
              <w:rPr/>
            </w:pPr>
            <w:r>
              <w:rPr/>
              <w:t>Максимальная мощность токоприемников аварийной брони, кВт</w:t>
            </w:r>
          </w:p>
        </w:tc>
        <w:tc>
          <w:tcPr>
            <w:tcW w:w="11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  <w:t xml:space="preserve">Линии, на которые может быть переключена нагрузка, и средства переключения (АВР или вручную)     </w:t>
            </w:r>
          </w:p>
        </w:tc>
        <w:tc>
          <w:tcPr>
            <w:tcW w:w="14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/>
            </w:pPr>
            <w:r>
              <w:rPr/>
              <w:t>Сроки сокращения электроснабжения до уровня аварийной брони</w:t>
            </w:r>
          </w:p>
        </w:tc>
        <w:tc>
          <w:tcPr>
            <w:tcW w:w="13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0" w:hanging="38"/>
              <w:jc w:val="left"/>
              <w:rPr/>
            </w:pPr>
            <w:r>
              <w:rPr/>
              <w:t xml:space="preserve">Перечень    </w:t>
              <w:br/>
              <w:t xml:space="preserve">токопри </w:t>
              <w:br/>
              <w:t xml:space="preserve">емников технологической брони   </w:t>
              <w:br/>
            </w:r>
          </w:p>
        </w:tc>
        <w:tc>
          <w:tcPr>
            <w:tcW w:w="13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/>
            </w:pPr>
            <w:r>
              <w:rPr/>
              <w:t>Максимальная мощность токоприемников технологической брони, кВт</w:t>
            </w:r>
          </w:p>
        </w:tc>
        <w:tc>
          <w:tcPr>
            <w:tcW w:w="16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/>
            </w:pPr>
            <w:r>
              <w:rPr/>
              <w:t>Продолжительность времени, необходимого для завершения технологического процесса, цикла производства, час</w:t>
            </w:r>
          </w:p>
        </w:tc>
        <w:tc>
          <w:tcPr>
            <w:tcW w:w="17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/>
            </w:pPr>
            <w:r>
              <w:rPr/>
              <w:t>Допустимое время перерыва электроснабжения энергопринимающего устройства, подключенного к токоприемникам технологической брони, час</w:t>
            </w:r>
          </w:p>
        </w:tc>
      </w:tr>
      <w:tr>
        <w:trPr>
          <w:trHeight w:val="240" w:hRule="atLeast"/>
          <w:cantSplit w:val="true"/>
        </w:trPr>
        <w:tc>
          <w:tcPr>
            <w:tcW w:w="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3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3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6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7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>
        <w:trPr>
          <w:trHeight w:val="388" w:hRule="atLeast"/>
          <w:cantSplit w:val="true"/>
        </w:trPr>
        <w:tc>
          <w:tcPr>
            <w:tcW w:w="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/>
            </w:pPr>
            <w:r>
              <w:rPr/>
            </w:r>
          </w:p>
        </w:tc>
        <w:tc>
          <w:tcPr>
            <w:tcW w:w="1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88" w:hRule="atLeast"/>
          <w:cantSplit w:val="true"/>
        </w:trPr>
        <w:tc>
          <w:tcPr>
            <w:tcW w:w="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widowControl w:val="false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88" w:hRule="atLeast"/>
          <w:cantSplit w:val="true"/>
        </w:trPr>
        <w:tc>
          <w:tcPr>
            <w:tcW w:w="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widowControl w:val="false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88" w:hRule="atLeast"/>
          <w:cantSplit w:val="true"/>
        </w:trPr>
        <w:tc>
          <w:tcPr>
            <w:tcW w:w="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widowControl w:val="false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right="-7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spacing w:before="120" w:after="0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before="120" w:after="0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before="120" w:after="0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before="120" w:after="0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  <w:t>Часть 2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1. При возникновении или угрозе возникновения аварийных электроэнергетических режимов могут быть немедленно отключены с питающих центров сетевой организации: питающие линии:____________________________________________________________________________________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>2. Питающие линии  _____________________ могут быть  отключены  на  время, указанное в графе 12.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3. Питающие линии  _____________________ могут быть отключены по истечении времени, указанного в графе 11. 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4. По требованию сетевой организации  Потребитель немедленно отключает   ____ кВт;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5. Использование имеющихся в работе устройств автоматического включения резерва – ____________.</w:t>
      </w:r>
    </w:p>
    <w:tbl>
      <w:tblPr>
        <w:tblW w:w="15451" w:type="dxa"/>
        <w:jc w:val="left"/>
        <w:tblInd w:w="10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284"/>
        <w:gridCol w:w="7087"/>
        <w:gridCol w:w="8080"/>
      </w:tblGrid>
      <w:tr>
        <w:trPr>
          <w:trHeight w:val="1063" w:hRule="atLeast"/>
        </w:trPr>
        <w:tc>
          <w:tcPr>
            <w:tcW w:w="284" w:type="dxa"/>
            <w:tcBorders/>
            <w:shd w:color="auto" w:fill="auto" w:val="clea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  <w:p>
            <w:pPr>
              <w:pStyle w:val="Normal"/>
              <w:ind w:left="0" w:right="-108" w:hanging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Normal"/>
              <w:ind w:left="0" w:hanging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ind w:left="0" w:hanging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Сетевая организация                                           </w:t>
            </w:r>
          </w:p>
          <w:p>
            <w:pPr>
              <w:pStyle w:val="Normal"/>
              <w:ind w:left="0" w:hanging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</w:p>
          <w:p>
            <w:pPr>
              <w:pStyle w:val="Normal"/>
              <w:ind w:left="0" w:hanging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Главный инженер ______________   ______________                                 </w:t>
            </w:r>
          </w:p>
          <w:p>
            <w:pPr>
              <w:pStyle w:val="Normal"/>
              <w:ind w:left="0" w:hanging="0"/>
              <w:rPr/>
            </w:pPr>
            <w:r>
              <w:rPr>
                <w:sz w:val="24"/>
                <w:szCs w:val="24"/>
              </w:rPr>
              <w:t xml:space="preserve">        </w:t>
            </w:r>
            <w:r>
              <w:rPr/>
              <w:t xml:space="preserve">                                       </w:t>
            </w:r>
            <w:r>
              <w:rPr/>
              <w:t>(подпись)               (ФИО)</w:t>
            </w:r>
          </w:p>
        </w:tc>
        <w:tc>
          <w:tcPr>
            <w:tcW w:w="8080" w:type="dxa"/>
            <w:tcBorders/>
            <w:shd w:color="auto" w:fill="auto" w:val="clear"/>
          </w:tcPr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left="0" w:right="-508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left="0" w:right="-508" w:hanging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Потребитель </w:t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left="0" w:right="-508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left="0" w:right="-508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электрохозяйство       ___________________________</w:t>
            </w:r>
          </w:p>
          <w:p>
            <w:pPr>
              <w:pStyle w:val="Normal"/>
              <w:tabs>
                <w:tab w:val="left" w:pos="176" w:leader="none"/>
                <w:tab w:val="left" w:pos="6412" w:leader="none"/>
              </w:tabs>
              <w:ind w:left="0" w:right="-508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</w:t>
            </w:r>
            <w:r>
              <w:rPr/>
              <w:t xml:space="preserve">                                                                 </w:t>
            </w:r>
            <w:r>
              <w:rPr/>
              <w:t>(подпись)                     (ФИО)</w:t>
            </w:r>
          </w:p>
        </w:tc>
      </w:tr>
    </w:tbl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  <w:t>Форма «Акт согласования технологической и (или) аварийной брони электроснабжения</w:t>
      </w:r>
    </w:p>
    <w:p>
      <w:pPr>
        <w:pStyle w:val="Normal"/>
        <w:tabs>
          <w:tab w:val="left" w:pos="9180" w:leader="none"/>
          <w:tab w:val="left" w:pos="9540" w:leader="none"/>
        </w:tabs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  <w:t>Потребителя электрической энергии (мощности)» согласована.</w:t>
      </w:r>
    </w:p>
    <w:p>
      <w:pPr>
        <w:pStyle w:val="Normal"/>
        <w:tabs>
          <w:tab w:val="left" w:pos="9180" w:leader="none"/>
          <w:tab w:val="left" w:pos="9540" w:leader="none"/>
        </w:tabs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9180" w:leader="none"/>
          <w:tab w:val="left" w:pos="9540" w:leader="none"/>
        </w:tabs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margin">
                  <wp:posOffset>630555</wp:posOffset>
                </wp:positionH>
                <wp:positionV relativeFrom="paragraph">
                  <wp:posOffset>186055</wp:posOffset>
                </wp:positionV>
                <wp:extent cx="7636510" cy="1021080"/>
                <wp:effectExtent l="0" t="0" r="0" b="0"/>
                <wp:wrapSquare wrapText="bothSides"/>
                <wp:docPr id="2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960" cy="102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12025" w:type="dxa"/>
                              <w:jc w:val="left"/>
                              <w:tblInd w:w="109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7195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7195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ind w:left="357" w:firstLine="357"/>
                                    <w:outlineLvl w:val="1"/>
                                    <w:rPr/>
                                  </w:pPr>
                                  <w:r>
                                    <w:rPr>
                                      <w:rFonts w:eastAsia="Arial Unicode MS"/>
                                      <w:b/>
                                      <w:sz w:val="24"/>
                                      <w:szCs w:val="24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rFonts w:eastAsia="Arial Unicode MS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Arial Unicode MS"/>
                                      <w:b/>
                                      <w:sz w:val="24"/>
                                      <w:szCs w:val="24"/>
                                    </w:rPr>
                                    <w:t>Потребитель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______________________ 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А.З. Жосан</w:t>
                                  </w:r>
                                </w:p>
                                <w:p>
                                  <w:pPr>
                                    <w:pStyle w:val="Style25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                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______________</w:t>
                                  </w:r>
                                </w:p>
                                <w:p>
                                  <w:pPr>
                                    <w:pStyle w:val="Style25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 xml:space="preserve">          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25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stroked="f" style="position:absolute;margin-left:49.65pt;margin-top:14.65pt;width:601.2pt;height:80.3pt;mso-position-horizontal-relative:margin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12025" w:type="dxa"/>
                        <w:jc w:val="left"/>
                        <w:tblInd w:w="109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7195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7195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ind w:left="0" w:hanging="0"/>
                              <w:rPr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ind w:left="357" w:firstLine="357"/>
                              <w:outlineLvl w:val="1"/>
                              <w:rPr/>
                            </w:pPr>
                            <w:r>
                              <w:rPr>
                                <w:rFonts w:eastAsia="Arial Unicode MS"/>
                                <w:b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eastAsia="Arial Unicode MS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/>
                                <w:b/>
                                <w:sz w:val="24"/>
                                <w:szCs w:val="24"/>
                              </w:rPr>
                              <w:t>Потребитель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ind w:left="0" w:hanging="0"/>
                              <w:rPr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______________________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А.З. Жосан</w:t>
                            </w:r>
                          </w:p>
                          <w:p>
                            <w:pPr>
                              <w:pStyle w:val="Style25"/>
                              <w:ind w:left="0" w:hanging="0"/>
                              <w:rPr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ind w:left="0" w:hanging="0"/>
                              <w:rPr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______________</w:t>
                            </w:r>
                          </w:p>
                          <w:p>
                            <w:pPr>
                              <w:pStyle w:val="Style25"/>
                              <w:ind w:left="0" w:hanging="0"/>
                              <w:rPr/>
                            </w:pPr>
                            <w:r>
                              <w:rPr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</w:tr>
                    </w:tbl>
                    <w:p>
                      <w:pPr>
                        <w:pStyle w:val="Style25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  <w:t>Исполнитель________________</w:t>
      </w:r>
      <w:r>
        <w:br w:type="page"/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Приложение № 7</w:t>
      </w:r>
    </w:p>
    <w:p>
      <w:pPr>
        <w:pStyle w:val="Normal"/>
        <w:ind w:left="9072" w:hanging="907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договору энергоснабжения </w:t>
      </w:r>
    </w:p>
    <w:p>
      <w:pPr>
        <w:pStyle w:val="Normal"/>
        <w:ind w:left="0" w:hanging="0"/>
        <w:jc w:val="right"/>
        <w:rPr>
          <w:b/>
          <w:b/>
          <w:color w:val="FF0000"/>
          <w:sz w:val="24"/>
          <w:szCs w:val="24"/>
        </w:rPr>
      </w:pPr>
      <w:r>
        <w:rPr>
          <w:rStyle w:val="12"/>
        </w:rPr>
        <w:t>№ </w:t>
      </w:r>
      <w:r>
        <w:rPr>
          <w:rStyle w:val="12"/>
        </w:rPr>
        <w:t>_____________ от ______________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ФОРМА «Акт снятия показаний расчетных приборов учета»</w:t>
      </w:r>
    </w:p>
    <w:p>
      <w:pPr>
        <w:pStyle w:val="Normal"/>
        <w:tabs>
          <w:tab w:val="center" w:pos="4153" w:leader="none"/>
          <w:tab w:val="right" w:pos="8306" w:leader="none"/>
        </w:tabs>
        <w:rPr>
          <w:iCs/>
        </w:rPr>
      </w:pPr>
      <w:r>
        <w:rPr>
          <w:iCs/>
        </w:rPr>
      </w:r>
    </w:p>
    <w:tbl>
      <w:tblPr>
        <w:tblW w:w="14880" w:type="dxa"/>
        <w:jc w:val="left"/>
        <w:tblInd w:w="10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48"/>
        <w:gridCol w:w="5625"/>
        <w:gridCol w:w="2267"/>
        <w:gridCol w:w="2127"/>
        <w:gridCol w:w="2128"/>
        <w:gridCol w:w="1984"/>
      </w:tblGrid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-11" w:hanging="0"/>
              <w:jc w:val="center"/>
              <w:rPr>
                <w:b/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№ </w:t>
            </w:r>
            <w:r>
              <w:rPr>
                <w:b/>
                <w:sz w:val="19"/>
                <w:szCs w:val="19"/>
              </w:rPr>
              <w:t>п/п</w:t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-11" w:hanging="0"/>
              <w:jc w:val="center"/>
              <w:rPr>
                <w:b/>
                <w:b/>
                <w:sz w:val="19"/>
                <w:szCs w:val="19"/>
                <w:lang w:eastAsia="ar-SA"/>
              </w:rPr>
            </w:pPr>
            <w:r>
              <w:rPr>
                <w:b/>
                <w:sz w:val="19"/>
                <w:szCs w:val="19"/>
              </w:rPr>
              <w:t>Наименование объекта</w:t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34" w:hanging="34"/>
              <w:jc w:val="center"/>
              <w:rPr>
                <w:b/>
                <w:b/>
                <w:sz w:val="19"/>
                <w:szCs w:val="19"/>
                <w:lang w:eastAsia="ar-SA"/>
              </w:rPr>
            </w:pPr>
            <w:r>
              <w:rPr>
                <w:b/>
                <w:sz w:val="19"/>
                <w:szCs w:val="19"/>
              </w:rPr>
              <w:t xml:space="preserve">№  </w:t>
            </w:r>
            <w:r>
              <w:rPr>
                <w:b/>
                <w:sz w:val="19"/>
                <w:szCs w:val="19"/>
              </w:rPr>
              <w:t>счетчика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0" w:hanging="0"/>
              <w:jc w:val="center"/>
              <w:rPr>
                <w:b/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Показания на день снятия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34" w:hanging="0"/>
              <w:jc w:val="center"/>
              <w:rPr>
                <w:b/>
                <w:b/>
                <w:sz w:val="19"/>
                <w:szCs w:val="19"/>
                <w:lang w:eastAsia="ar-SA"/>
              </w:rPr>
            </w:pPr>
            <w:r>
              <w:rPr>
                <w:b/>
                <w:sz w:val="19"/>
                <w:szCs w:val="19"/>
              </w:rPr>
              <w:t>Предыдущие показания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suppressAutoHyphens w:val="true"/>
              <w:snapToGrid w:val="false"/>
              <w:ind w:left="0" w:hanging="0"/>
              <w:rPr>
                <w:b/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Разница показаний</w:t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  <w:tr>
        <w:trPr/>
        <w:tc>
          <w:tcPr>
            <w:tcW w:w="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ind w:left="357" w:right="468" w:firstLine="357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6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snapToGrid w:val="false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Потребитель</w:t>
      </w:r>
      <w:r>
        <w:rPr/>
        <w:t xml:space="preserve"> ____________________________</w:t>
      </w:r>
    </w:p>
    <w:p>
      <w:pPr>
        <w:pStyle w:val="Normal"/>
        <w:rPr/>
      </w:pPr>
      <w:r>
        <w:rPr/>
      </w:r>
    </w:p>
    <w:p>
      <w:pPr>
        <w:pStyle w:val="Normal"/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  <w:t>Форма «Акт снятия показаний расчетных приборов учета» согласована.</w:t>
      </w:r>
    </w:p>
    <w:p>
      <w:pPr>
        <w:pStyle w:val="Normal"/>
        <w:tabs>
          <w:tab w:val="left" w:pos="9180" w:leader="none"/>
          <w:tab w:val="left" w:pos="9540" w:leader="none"/>
        </w:tabs>
        <w:ind w:lef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margin">
                  <wp:posOffset>630555</wp:posOffset>
                </wp:positionH>
                <wp:positionV relativeFrom="paragraph">
                  <wp:posOffset>186055</wp:posOffset>
                </wp:positionV>
                <wp:extent cx="7636510" cy="1021080"/>
                <wp:effectExtent l="0" t="0" r="0" b="0"/>
                <wp:wrapSquare wrapText="bothSides"/>
                <wp:docPr id="4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960" cy="102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12025" w:type="dxa"/>
                              <w:jc w:val="left"/>
                              <w:tblInd w:w="109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7195"/>
                              <w:gridCol w:w="4829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7195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 </w:t>
                                  </w:r>
                                  <w:bookmarkStart w:id="0" w:name="__UnoMark__1658_1575786035"/>
                                  <w:bookmarkEnd w:id="0"/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ind w:left="357" w:firstLine="357"/>
                                    <w:jc w:val="center"/>
                                    <w:outlineLvl w:val="1"/>
                                    <w:rPr/>
                                  </w:pPr>
                                  <w:bookmarkStart w:id="1" w:name="__UnoMark__1659_1575786035"/>
                                  <w:bookmarkEnd w:id="1"/>
                                  <w:r>
                                    <w:rPr>
                                      <w:rFonts w:eastAsia="Arial Unicode MS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bookmarkStart w:id="2" w:name="__UnoMark__1660_1575786035"/>
                                  <w:bookmarkEnd w:id="2"/>
                                  <w:r>
                                    <w:rPr>
                                      <w:rFonts w:eastAsia="Arial Unicode MS"/>
                                      <w:b/>
                                      <w:sz w:val="24"/>
                                      <w:szCs w:val="24"/>
                                    </w:rPr>
                                    <w:t>Потребитель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bookmarkStart w:id="3" w:name="__UnoMark__1661_1575786035"/>
                                  <w:bookmarkStart w:id="4" w:name="__UnoMark__1662_1575786035"/>
                                  <w:bookmarkStart w:id="5" w:name="__UnoMark__1661_1575786035"/>
                                  <w:bookmarkStart w:id="6" w:name="__UnoMark__1662_1575786035"/>
                                  <w:bookmarkEnd w:id="5"/>
                                  <w:bookmarkEnd w:id="6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bookmarkStart w:id="7" w:name="__UnoMark__1663_1575786035"/>
                                  <w:bookmarkStart w:id="8" w:name="__UnoMark__1664_1575786035"/>
                                  <w:bookmarkStart w:id="9" w:name="__UnoMark__1663_1575786035"/>
                                  <w:bookmarkStart w:id="10" w:name="__UnoMark__1664_1575786035"/>
                                  <w:bookmarkEnd w:id="9"/>
                                  <w:bookmarkEnd w:id="10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bookmarkStart w:id="11" w:name="__UnoMark__1665_1575786035"/>
                                  <w:bookmarkStart w:id="12" w:name="__UnoMark__1666_1575786035"/>
                                  <w:bookmarkStart w:id="13" w:name="__UnoMark__1665_1575786035"/>
                                  <w:bookmarkStart w:id="14" w:name="__UnoMark__1666_1575786035"/>
                                  <w:bookmarkEnd w:id="13"/>
                                  <w:bookmarkEnd w:id="14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bookmarkStart w:id="15" w:name="__UnoMark__1667_1575786035"/>
                                  <w:bookmarkStart w:id="16" w:name="__UnoMark__1668_1575786035"/>
                                  <w:bookmarkStart w:id="17" w:name="__UnoMark__1667_1575786035"/>
                                  <w:bookmarkStart w:id="18" w:name="__UnoMark__1668_1575786035"/>
                                  <w:bookmarkEnd w:id="17"/>
                                  <w:bookmarkEnd w:id="18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195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ind w:left="0" w:hanging="0"/>
                                    <w:rPr/>
                                  </w:pPr>
                                  <w:bookmarkStart w:id="19" w:name="__UnoMark__1669_1575786035"/>
                                  <w:bookmarkEnd w:id="19"/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______________________  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А.З. Жосан</w:t>
                                  </w:r>
                                </w:p>
                                <w:p>
                                  <w:pPr>
                                    <w:pStyle w:val="Style25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                </w:t>
                                  </w:r>
                                  <w:bookmarkStart w:id="20" w:name="__UnoMark__1670_1575786035"/>
                                  <w:bookmarkEnd w:id="20"/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Style25"/>
                                    <w:ind w:left="0" w:hanging="0"/>
                                    <w:rPr/>
                                  </w:pPr>
                                  <w:bookmarkStart w:id="21" w:name="__UnoMark__1671_1575786035"/>
                                  <w:bookmarkEnd w:id="21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______________</w:t>
                                  </w:r>
                                </w:p>
                                <w:p>
                                  <w:pPr>
                                    <w:pStyle w:val="Style25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 xml:space="preserve">           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25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2" stroked="f" style="position:absolute;margin-left:49.65pt;margin-top:14.65pt;width:601.2pt;height:80.3pt;mso-position-horizontal-relative:margin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12025" w:type="dxa"/>
                        <w:jc w:val="left"/>
                        <w:tblInd w:w="109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7195"/>
                        <w:gridCol w:w="4829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7195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ind w:left="0" w:hanging="0"/>
                              <w:rPr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bookmarkStart w:id="22" w:name="__UnoMark__1658_1575786035"/>
                            <w:bookmarkEnd w:id="22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ind w:left="357" w:firstLine="357"/>
                              <w:jc w:val="center"/>
                              <w:outlineLvl w:val="1"/>
                              <w:rPr/>
                            </w:pPr>
                            <w:bookmarkStart w:id="23" w:name="__UnoMark__1659_1575786035"/>
                            <w:bookmarkEnd w:id="23"/>
                            <w:r>
                              <w:rPr>
                                <w:rFonts w:eastAsia="Arial Unicode MS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bookmarkStart w:id="24" w:name="__UnoMark__1660_1575786035"/>
                            <w:bookmarkEnd w:id="24"/>
                            <w:r>
                              <w:rPr>
                                <w:rFonts w:eastAsia="Arial Unicode MS"/>
                                <w:b/>
                                <w:sz w:val="24"/>
                                <w:szCs w:val="24"/>
                              </w:rPr>
                              <w:t>Потребитель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bookmarkStart w:id="25" w:name="__UnoMark__1661_1575786035"/>
                            <w:bookmarkStart w:id="26" w:name="__UnoMark__1662_1575786035"/>
                            <w:bookmarkStart w:id="27" w:name="__UnoMark__1661_1575786035"/>
                            <w:bookmarkStart w:id="28" w:name="__UnoMark__1662_1575786035"/>
                            <w:bookmarkEnd w:id="27"/>
                            <w:bookmarkEnd w:id="28"/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bookmarkStart w:id="29" w:name="__UnoMark__1663_1575786035"/>
                            <w:bookmarkStart w:id="30" w:name="__UnoMark__1664_1575786035"/>
                            <w:bookmarkStart w:id="31" w:name="__UnoMark__1663_1575786035"/>
                            <w:bookmarkStart w:id="32" w:name="__UnoMark__1664_1575786035"/>
                            <w:bookmarkEnd w:id="31"/>
                            <w:bookmarkEnd w:id="32"/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rPr>
                                <w:sz w:val="24"/>
                                <w:szCs w:val="24"/>
                              </w:rPr>
                            </w:pPr>
                            <w:bookmarkStart w:id="33" w:name="__UnoMark__1665_1575786035"/>
                            <w:bookmarkStart w:id="34" w:name="__UnoMark__1666_1575786035"/>
                            <w:bookmarkStart w:id="35" w:name="__UnoMark__1665_1575786035"/>
                            <w:bookmarkStart w:id="36" w:name="__UnoMark__1666_1575786035"/>
                            <w:bookmarkEnd w:id="35"/>
                            <w:bookmarkEnd w:id="36"/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bookmarkStart w:id="37" w:name="__UnoMark__1667_1575786035"/>
                            <w:bookmarkStart w:id="38" w:name="__UnoMark__1668_1575786035"/>
                            <w:bookmarkStart w:id="39" w:name="__UnoMark__1667_1575786035"/>
                            <w:bookmarkStart w:id="40" w:name="__UnoMark__1668_1575786035"/>
                            <w:bookmarkEnd w:id="39"/>
                            <w:bookmarkEnd w:id="40"/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195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ind w:left="0" w:hanging="0"/>
                              <w:rPr/>
                            </w:pPr>
                            <w:bookmarkStart w:id="41" w:name="__UnoMark__1669_1575786035"/>
                            <w:bookmarkEnd w:id="41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______________________ 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А.З. Жосан</w:t>
                            </w:r>
                          </w:p>
                          <w:p>
                            <w:pPr>
                              <w:pStyle w:val="Style25"/>
                              <w:ind w:left="0" w:hanging="0"/>
                              <w:rPr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  <w:bookmarkStart w:id="42" w:name="__UnoMark__1670_1575786035"/>
                            <w:bookmarkEnd w:id="42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Style25"/>
                              <w:ind w:left="0" w:hanging="0"/>
                              <w:rPr/>
                            </w:pPr>
                            <w:bookmarkStart w:id="43" w:name="__UnoMark__1671_1575786035"/>
                            <w:bookmarkEnd w:id="43"/>
                            <w:r>
                              <w:rPr>
                                <w:sz w:val="24"/>
                                <w:szCs w:val="24"/>
                              </w:rPr>
                              <w:t>______________</w:t>
                            </w:r>
                          </w:p>
                          <w:p>
                            <w:pPr>
                              <w:pStyle w:val="Style25"/>
                              <w:ind w:left="0" w:hanging="0"/>
                              <w:rPr/>
                            </w:pPr>
                            <w:r>
                              <w:rPr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</w:tr>
                    </w:tbl>
                    <w:p>
                      <w:pPr>
                        <w:pStyle w:val="Style25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left="0" w:hanging="0"/>
        <w:jc w:val="right"/>
        <w:rPr/>
      </w:pPr>
      <w:r>
        <w:rPr/>
      </w:r>
    </w:p>
    <w:p>
      <w:pPr>
        <w:pStyle w:val="Normal"/>
        <w:ind w:left="0" w:hanging="0"/>
        <w:jc w:val="right"/>
        <w:rPr/>
      </w:pPr>
      <w:r>
        <w:rPr/>
      </w:r>
    </w:p>
    <w:p>
      <w:pPr>
        <w:pStyle w:val="Normal"/>
        <w:ind w:left="0" w:hanging="0"/>
        <w:jc w:val="right"/>
        <w:rPr/>
      </w:pPr>
      <w:r>
        <w:rPr/>
      </w:r>
    </w:p>
    <w:p>
      <w:pPr>
        <w:pStyle w:val="Normal"/>
        <w:ind w:left="0" w:hanging="0"/>
        <w:jc w:val="right"/>
        <w:rPr/>
      </w:pPr>
      <w:r>
        <w:rPr/>
      </w:r>
    </w:p>
    <w:p>
      <w:pPr>
        <w:pStyle w:val="Normal"/>
        <w:ind w:left="0" w:hanging="0"/>
        <w:jc w:val="right"/>
        <w:rPr/>
      </w:pPr>
      <w:r>
        <w:rPr/>
      </w:r>
    </w:p>
    <w:p>
      <w:pPr>
        <w:pStyle w:val="Normal"/>
        <w:ind w:left="0" w:hanging="0"/>
        <w:jc w:val="right"/>
        <w:rPr/>
      </w:pPr>
      <w:r>
        <w:rPr/>
      </w:r>
    </w:p>
    <w:p>
      <w:pPr>
        <w:pStyle w:val="Normal"/>
        <w:ind w:left="0" w:hanging="0"/>
        <w:jc w:val="right"/>
        <w:rPr/>
      </w:pPr>
      <w:r>
        <w:rPr/>
      </w:r>
    </w:p>
    <w:p>
      <w:pPr>
        <w:pStyle w:val="Normal"/>
        <w:ind w:left="0" w:hanging="0"/>
        <w:jc w:val="right"/>
        <w:rPr/>
      </w:pPr>
      <w:r>
        <w:rPr/>
      </w:r>
    </w:p>
    <w:p>
      <w:pPr>
        <w:pStyle w:val="Normal"/>
        <w:ind w:left="0" w:hanging="0"/>
        <w:jc w:val="right"/>
        <w:rPr/>
      </w:pPr>
      <w:r>
        <w:rPr/>
      </w:r>
    </w:p>
    <w:p>
      <w:pPr>
        <w:pStyle w:val="Normal"/>
        <w:ind w:left="0" w:hanging="0"/>
        <w:jc w:val="right"/>
        <w:rPr/>
      </w:pPr>
      <w:r>
        <w:rPr/>
      </w:r>
    </w:p>
    <w:p>
      <w:pPr>
        <w:pStyle w:val="Normal"/>
        <w:ind w:left="0" w:hanging="0"/>
        <w:jc w:val="left"/>
        <w:rPr/>
      </w:pPr>
      <w:r>
        <w:rPr/>
        <w:t>Исполнитель________________</w:t>
      </w:r>
    </w:p>
    <w:p>
      <w:pPr>
        <w:pStyle w:val="Normal"/>
        <w:ind w:left="0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  <w:r>
        <w:br w:type="page"/>
      </w:r>
    </w:p>
    <w:p>
      <w:pPr>
        <w:pStyle w:val="Normal"/>
        <w:ind w:left="0" w:hanging="0"/>
        <w:jc w:val="right"/>
        <w:rPr/>
      </w:pPr>
      <w:r>
        <w:rPr>
          <w:b/>
          <w:sz w:val="24"/>
          <w:szCs w:val="24"/>
        </w:rPr>
        <w:t>Приложение № 8</w:t>
      </w:r>
    </w:p>
    <w:p>
      <w:pPr>
        <w:pStyle w:val="Normal"/>
        <w:ind w:left="9072" w:hanging="907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договору энергоснабжения </w:t>
      </w:r>
    </w:p>
    <w:p>
      <w:pPr>
        <w:pStyle w:val="Normal"/>
        <w:ind w:left="0" w:hanging="0"/>
        <w:jc w:val="right"/>
        <w:rPr>
          <w:b/>
          <w:b/>
          <w:color w:val="FF0000"/>
          <w:sz w:val="24"/>
          <w:szCs w:val="24"/>
        </w:rPr>
      </w:pPr>
      <w:r>
        <w:rPr>
          <w:rStyle w:val="12"/>
        </w:rPr>
        <w:t>№ </w:t>
      </w:r>
      <w:r>
        <w:rPr>
          <w:rStyle w:val="12"/>
        </w:rPr>
        <w:t>____________ от ________________</w:t>
      </w:r>
    </w:p>
    <w:p>
      <w:pPr>
        <w:pStyle w:val="Normal"/>
        <w:ind w:left="0" w:hanging="0"/>
        <w:jc w:val="right"/>
        <w:rPr/>
      </w:pPr>
      <w:r>
        <w:rPr/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Публичное акционерное общество энергетики и электрификации «Камчатскэнерго» 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683000, Камчатский край г. Петропавловск-Камчатский, ул. Набережная, 10</w:t>
      </w:r>
    </w:p>
    <w:p>
      <w:pPr>
        <w:pStyle w:val="Normal"/>
        <w:ind w:left="0" w:hanging="0"/>
        <w:jc w:val="center"/>
        <w:rPr/>
      </w:pPr>
      <w:r>
        <w:rPr>
          <w:sz w:val="26"/>
          <w:szCs w:val="26"/>
        </w:rPr>
        <w:t xml:space="preserve">Форма </w:t>
      </w:r>
    </w:p>
    <w:p>
      <w:pPr>
        <w:pStyle w:val="Normal"/>
        <w:ind w:left="0" w:hanging="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>«Акт выполненных работ (приема-передачи электрической энергии)</w:t>
      </w:r>
      <w:r>
        <w:rPr>
          <w:sz w:val="26"/>
          <w:szCs w:val="26"/>
        </w:rPr>
        <w:t>»</w:t>
      </w:r>
    </w:p>
    <w:p>
      <w:pPr>
        <w:pStyle w:val="Normal"/>
        <w:ind w:left="0" w:hanging="0"/>
        <w:rPr/>
      </w:pPr>
      <w:r>
        <w:rPr>
          <w:sz w:val="26"/>
          <w:szCs w:val="26"/>
        </w:rPr>
        <w:t>ИНН                                 КПП</w:t>
      </w:r>
    </w:p>
    <w:tbl>
      <w:tblPr>
        <w:tblW w:w="14370" w:type="dxa"/>
        <w:jc w:val="left"/>
        <w:tblInd w:w="93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865"/>
        <w:gridCol w:w="1406"/>
        <w:gridCol w:w="1159"/>
        <w:gridCol w:w="102"/>
        <w:gridCol w:w="1160"/>
        <w:gridCol w:w="583"/>
        <w:gridCol w:w="8095"/>
      </w:tblGrid>
      <w:tr>
        <w:trPr>
          <w:trHeight w:val="330" w:hRule="exact"/>
        </w:trPr>
        <w:tc>
          <w:tcPr>
            <w:tcW w:w="1865" w:type="dxa"/>
            <w:tcBorders/>
            <w:shd w:color="auto" w:fill="auto" w:val="clear"/>
            <w:vAlign w:val="bottom"/>
          </w:tcPr>
          <w:p>
            <w:pPr>
              <w:pStyle w:val="Normal"/>
              <w:ind w:left="0" w:hang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2667" w:type="dxa"/>
            <w:gridSpan w:val="3"/>
            <w:tcBorders/>
            <w:shd w:color="auto" w:fill="auto" w:val="clear"/>
            <w:vAlign w:val="bottom"/>
          </w:tcPr>
          <w:p>
            <w:pPr>
              <w:pStyle w:val="Normal"/>
              <w:ind w:left="0" w:hang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1160" w:type="dxa"/>
            <w:tcBorders/>
            <w:shd w:color="auto" w:fill="auto" w:val="clear"/>
            <w:vAlign w:val="bottom"/>
          </w:tcPr>
          <w:p>
            <w:pPr>
              <w:pStyle w:val="Normal"/>
              <w:ind w:left="0" w:hang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  <w:tc>
          <w:tcPr>
            <w:tcW w:w="8678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ind w:left="0" w:hang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trHeight w:val="735" w:hRule="atLeast"/>
        </w:trPr>
        <w:tc>
          <w:tcPr>
            <w:tcW w:w="3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Наименование услуг</w:t>
            </w:r>
          </w:p>
        </w:tc>
        <w:tc>
          <w:tcPr>
            <w:tcW w:w="1159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Ед. изм</w:t>
            </w:r>
          </w:p>
        </w:tc>
        <w:tc>
          <w:tcPr>
            <w:tcW w:w="1845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Кол-во</w:t>
            </w:r>
          </w:p>
        </w:tc>
        <w:tc>
          <w:tcPr>
            <w:tcW w:w="8095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Цена</w:t>
            </w:r>
          </w:p>
        </w:tc>
      </w:tr>
      <w:tr>
        <w:trPr>
          <w:trHeight w:val="675" w:hRule="atLeast"/>
        </w:trPr>
        <w:tc>
          <w:tcPr>
            <w:tcW w:w="32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0" w:hanging="0"/>
              <w:rPr/>
            </w:pPr>
            <w:r>
              <w:rPr/>
              <w:t>Электроэнергия</w:t>
            </w:r>
          </w:p>
        </w:tc>
        <w:tc>
          <w:tcPr>
            <w:tcW w:w="1159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кВт. ч</w:t>
            </w:r>
          </w:p>
        </w:tc>
        <w:tc>
          <w:tcPr>
            <w:tcW w:w="1845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095" w:type="dxa"/>
            <w:tcBorders>
              <w:top w:val="single" w:sz="4" w:space="0" w:color="00000A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ind w:lef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Normal"/>
        <w:tabs>
          <w:tab w:val="left" w:pos="3495" w:leader="none"/>
        </w:tabs>
        <w:ind w:left="0" w:hanging="0"/>
        <w:rPr/>
      </w:pPr>
      <w:r>
        <w:rPr>
          <w:sz w:val="26"/>
          <w:szCs w:val="26"/>
        </w:rPr>
        <w:t xml:space="preserve">                                                  </w:t>
      </w:r>
      <w:r>
        <w:rPr>
          <w:sz w:val="26"/>
          <w:szCs w:val="26"/>
        </w:rPr>
        <w:t>ИТОГО:                                                      НДС</w:t>
      </w:r>
    </w:p>
    <w:p>
      <w:pPr>
        <w:pStyle w:val="Normal"/>
        <w:tabs>
          <w:tab w:val="left" w:pos="3495" w:leader="none"/>
        </w:tabs>
        <w:ind w:left="0" w:hanging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</w:t>
      </w:r>
      <w:r>
        <w:rPr>
          <w:sz w:val="26"/>
          <w:szCs w:val="26"/>
        </w:rPr>
        <w:t>Всего с учетом НДС:</w:t>
      </w:r>
    </w:p>
    <w:p>
      <w:pPr>
        <w:pStyle w:val="Normal"/>
        <w:ind w:left="0" w:hanging="0"/>
        <w:rPr>
          <w:sz w:val="24"/>
          <w:szCs w:val="24"/>
        </w:rPr>
      </w:pPr>
      <w:r>
        <w:rPr>
          <w:sz w:val="24"/>
          <w:szCs w:val="24"/>
        </w:rPr>
        <w:t>оказано услуг на сумму:</w:t>
      </w:r>
    </w:p>
    <w:p>
      <w:pPr>
        <w:pStyle w:val="Normal"/>
        <w:ind w:left="0" w:hanging="0"/>
        <w:rPr/>
      </w:pPr>
      <w:r>
        <w:rPr>
          <w:sz w:val="24"/>
          <w:szCs w:val="24"/>
        </w:rPr>
        <w:t>Перечисленные услуги выполнены полностью и в срок. Потребитель не имеет претензий по объему и качеству оказанных услуг.</w:t>
      </w:r>
    </w:p>
    <w:p>
      <w:pPr>
        <w:pStyle w:val="Normal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0" w:hanging="0"/>
        <w:jc w:val="center"/>
        <w:rPr/>
      </w:pPr>
      <w:r>
        <w:rPr/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7">
                <wp:simplePos x="0" y="0"/>
                <wp:positionH relativeFrom="margin">
                  <wp:posOffset>-68580</wp:posOffset>
                </wp:positionH>
                <wp:positionV relativeFrom="paragraph">
                  <wp:posOffset>186055</wp:posOffset>
                </wp:positionV>
                <wp:extent cx="6134100" cy="701040"/>
                <wp:effectExtent l="0" t="0" r="0" b="0"/>
                <wp:wrapSquare wrapText="bothSides"/>
                <wp:docPr id="6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70104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0" w:tblpY="293" w:topFromText="0" w:vertAnchor="text"/>
                              <w:tblW w:w="9660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4830"/>
                              <w:gridCol w:w="4829"/>
                            </w:tblGrid>
                            <w:tr>
                              <w:trPr/>
                              <w:tc>
                                <w:tcPr>
                                  <w:tcW w:w="4830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jc w:val="center"/>
                                    <w:rPr/>
                                  </w:pPr>
                                  <w:r>
                                    <w:rPr>
                                      <w:bCs/>
                                      <w:sz w:val="24"/>
                                      <w:szCs w:val="24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ind w:left="0" w:hanging="0"/>
                                    <w:jc w:val="center"/>
                                    <w:outlineLvl w:val="1"/>
                                    <w:rPr/>
                                  </w:pPr>
                                  <w:r>
                                    <w:rPr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Cs/>
                                      <w:sz w:val="24"/>
                                      <w:szCs w:val="24"/>
                                    </w:rPr>
                                    <w:t>Потребитель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30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30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ind w:left="0" w:hanging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30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Cs/>
                                      <w:sz w:val="24"/>
                                      <w:szCs w:val="24"/>
                                    </w:rPr>
                                    <w:t xml:space="preserve">_____________________  </w:t>
                                  </w:r>
                                </w:p>
                              </w:tc>
                              <w:tc>
                                <w:tcPr>
                                  <w:tcW w:w="4829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___________________</w:t>
                                  </w:r>
                                  <w:r>
                                    <w:rPr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483pt;height:55.2pt;mso-wrap-distance-left:9pt;mso-wrap-distance-right:9pt;mso-wrap-distance-top:0pt;mso-wrap-distance-bottom:0pt;margin-top:14.65pt;mso-position-vertical-relative:text;margin-left:-5.4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0" w:tblpY="293" w:topFromText="0" w:vertAnchor="text"/>
                        <w:tblW w:w="9660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4830"/>
                        <w:gridCol w:w="4829"/>
                      </w:tblGrid>
                      <w:tr>
                        <w:trPr/>
                        <w:tc>
                          <w:tcPr>
                            <w:tcW w:w="4830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jc w:val="center"/>
                              <w:rPr/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ind w:left="0" w:hanging="0"/>
                              <w:jc w:val="center"/>
                              <w:outlineLvl w:val="1"/>
                              <w:rPr/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Потребитель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30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30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ind w:left="0" w:hanging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30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rPr/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_____________________  </w:t>
                            </w:r>
                          </w:p>
                        </w:tc>
                        <w:tc>
                          <w:tcPr>
                            <w:tcW w:w="4829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rPr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___________________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ind w:left="0" w:hanging="0"/>
        <w:rPr>
          <w:b/>
          <w:b/>
        </w:rPr>
      </w:pPr>
      <w:r>
        <w:rPr/>
      </w:r>
    </w:p>
    <w:p>
      <w:pPr>
        <w:pStyle w:val="Normal"/>
        <w:ind w:left="0" w:hanging="0"/>
        <w:rPr>
          <w:b/>
          <w:b/>
        </w:rPr>
      </w:pPr>
      <w:r>
        <w:rPr/>
      </w:r>
    </w:p>
    <w:p>
      <w:pPr>
        <w:pStyle w:val="Normal"/>
        <w:ind w:left="0" w:hanging="0"/>
        <w:rPr>
          <w:b/>
          <w:b/>
        </w:rPr>
      </w:pPr>
      <w:r>
        <w:rPr/>
      </w:r>
    </w:p>
    <w:p>
      <w:pPr>
        <w:pStyle w:val="Normal"/>
        <w:ind w:left="0" w:hanging="0"/>
        <w:rPr>
          <w:b/>
          <w:b/>
        </w:rPr>
      </w:pPr>
      <w:r>
        <w:rPr/>
      </w:r>
    </w:p>
    <w:p>
      <w:pPr>
        <w:pStyle w:val="Normal"/>
        <w:ind w:left="0" w:hanging="0"/>
        <w:rPr>
          <w:b/>
          <w:b/>
        </w:rPr>
      </w:pPr>
      <w:r>
        <w:rPr/>
      </w:r>
    </w:p>
    <w:p>
      <w:pPr>
        <w:pStyle w:val="Normal"/>
        <w:ind w:left="0" w:hanging="0"/>
        <w:rPr>
          <w:b/>
          <w:b/>
        </w:rPr>
      </w:pPr>
      <w:r>
        <w:rPr/>
      </w:r>
    </w:p>
    <w:p>
      <w:pPr>
        <w:pStyle w:val="Normal"/>
        <w:ind w:left="0" w:hanging="0"/>
        <w:rPr/>
      </w:pPr>
      <w:r>
        <w:rPr>
          <w:b/>
        </w:rPr>
        <w:t xml:space="preserve">                        </w:t>
      </w:r>
      <w:r>
        <w:rPr>
          <w:b/>
        </w:rPr>
        <w:t>М.п.                                                                                        М.п.</w:t>
      </w:r>
    </w:p>
    <w:p>
      <w:pPr>
        <w:pStyle w:val="Normal"/>
        <w:ind w:left="0" w:hanging="0"/>
        <w:jc w:val="left"/>
        <w:rPr/>
      </w:pPr>
      <w:r>
        <w:rPr>
          <w:sz w:val="24"/>
          <w:szCs w:val="24"/>
        </w:rPr>
        <w:t xml:space="preserve">Форма </w:t>
      </w:r>
      <w:r>
        <w:rPr>
          <w:bCs/>
          <w:sz w:val="22"/>
          <w:szCs w:val="22"/>
        </w:rPr>
        <w:t>«Акт выполненных работ (приема-передачи электрической энергии)</w:t>
      </w:r>
      <w:r>
        <w:rPr>
          <w:sz w:val="26"/>
          <w:szCs w:val="26"/>
        </w:rPr>
        <w:t xml:space="preserve">» </w:t>
      </w:r>
      <w:r>
        <w:rPr>
          <w:sz w:val="24"/>
          <w:szCs w:val="24"/>
        </w:rPr>
        <w:t>согласована.</w:t>
      </w:r>
    </w:p>
    <w:p>
      <w:pPr>
        <w:pStyle w:val="Normal"/>
        <w:jc w:val="center"/>
        <w:rPr/>
      </w:pPr>
      <w:r>
        <w:rPr/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8">
                <wp:simplePos x="0" y="0"/>
                <wp:positionH relativeFrom="margin">
                  <wp:posOffset>-20955</wp:posOffset>
                </wp:positionH>
                <wp:positionV relativeFrom="paragraph">
                  <wp:posOffset>186055</wp:posOffset>
                </wp:positionV>
                <wp:extent cx="6015355" cy="876300"/>
                <wp:effectExtent l="0" t="0" r="0" b="0"/>
                <wp:wrapSquare wrapText="bothSides"/>
                <wp:docPr id="7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355" cy="876300"/>
                        </a:xfrm>
                        <a:prstGeom prst="rect"/>
                      </wps:spPr>
                      <wps:txbx>
                        <w:txbxContent>
                          <w:tbl>
                            <w:tblPr>
                              <w:tblpPr w:bottomFromText="0" w:horzAnchor="margin" w:leftFromText="180" w:rightFromText="180" w:tblpX="75" w:tblpY="293" w:topFromText="0" w:vertAnchor="text"/>
                              <w:tblW w:w="9473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4642"/>
                              <w:gridCol w:w="4830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4642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jc w:val="center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Гарантирующий поставщик</w:t>
                                  </w:r>
                                </w:p>
                              </w:tc>
                              <w:tc>
                                <w:tcPr>
                                  <w:tcW w:w="4830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keepNext w:val="true"/>
                                    <w:numPr>
                                      <w:ilvl w:val="0"/>
                                      <w:numId w:val="0"/>
                                    </w:numPr>
                                    <w:ind w:left="357" w:firstLine="357"/>
                                    <w:jc w:val="center"/>
                                    <w:outlineLvl w:val="1"/>
                                    <w:rPr/>
                                  </w:pPr>
                                  <w:r>
                                    <w:rPr>
                                      <w:rFonts w:eastAsia="Arial Unicode MS"/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Arial Unicode MS"/>
                                      <w:b/>
                                      <w:sz w:val="24"/>
                                      <w:szCs w:val="24"/>
                                    </w:rPr>
                                    <w:t>Потребитель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2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30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2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30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642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rPr/>
                                  </w:pPr>
                                  <w:bookmarkStart w:id="44" w:name="__UnoMark__1817_3153941827"/>
                                  <w:bookmarkEnd w:id="44"/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__________________ </w:t>
                                  </w: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 А.З. Жосан</w:t>
                                  </w:r>
                                </w:p>
                                <w:p>
                                  <w:pPr>
                                    <w:pStyle w:val="Normal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            </w:t>
                                  </w:r>
                                  <w:bookmarkStart w:id="45" w:name="__UnoMark__1818_3153941827"/>
                                  <w:bookmarkEnd w:id="45"/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30" w:type="dxa"/>
                                  <w:tcBorders/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ind w:left="0" w:hanging="0"/>
                                    <w:rPr/>
                                  </w:pPr>
                                  <w:bookmarkStart w:id="46" w:name="__UnoMark__1819_3153941827"/>
                                  <w:bookmarkEnd w:id="46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______________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ind w:left="0" w:hanging="0"/>
                                    <w:rPr/>
                                  </w:pPr>
                                  <w:r>
                                    <w:rPr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 xml:space="preserve">          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473.65pt;height:69pt;mso-wrap-distance-left:9pt;mso-wrap-distance-right:9pt;mso-wrap-distance-top:0pt;mso-wrap-distance-bottom:0pt;margin-top:14.65pt;mso-position-vertical-relative:text;margin-left:-1.65pt;mso-position-horizontal-relative:margin">
                <v:textbox inset="0in,0in,0in,0in">
                  <w:txbxContent>
                    <w:tbl>
                      <w:tblPr>
                        <w:tblpPr w:bottomFromText="0" w:horzAnchor="margin" w:leftFromText="180" w:rightFromText="180" w:tblpX="75" w:tblpY="293" w:topFromText="0" w:vertAnchor="text"/>
                        <w:tblW w:w="9473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4642"/>
                        <w:gridCol w:w="4830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4642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jc w:val="center"/>
                              <w:rPr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Гарантирующий поставщик</w:t>
                            </w:r>
                          </w:p>
                        </w:tc>
                        <w:tc>
                          <w:tcPr>
                            <w:tcW w:w="4830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keepNext w:val="true"/>
                              <w:numPr>
                                <w:ilvl w:val="0"/>
                                <w:numId w:val="0"/>
                              </w:numPr>
                              <w:ind w:left="357" w:firstLine="357"/>
                              <w:jc w:val="center"/>
                              <w:outlineLvl w:val="1"/>
                              <w:rPr/>
                            </w:pPr>
                            <w:r>
                              <w:rPr>
                                <w:rFonts w:eastAsia="Arial Unicode MS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eastAsia="Arial Unicode MS"/>
                                <w:b/>
                                <w:sz w:val="24"/>
                                <w:szCs w:val="24"/>
                              </w:rPr>
                              <w:t>Потребитель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2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30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2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4830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642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rPr/>
                            </w:pPr>
                            <w:bookmarkStart w:id="47" w:name="__UnoMark__1817_3153941827"/>
                            <w:bookmarkEnd w:id="47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__________________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А.З. Жосан</w:t>
                            </w:r>
                          </w:p>
                          <w:p>
                            <w:pPr>
                              <w:pStyle w:val="Normal"/>
                              <w:ind w:left="0" w:hanging="0"/>
                              <w:rPr/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  <w:bookmarkStart w:id="48" w:name="__UnoMark__1818_3153941827"/>
                            <w:bookmarkEnd w:id="48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30" w:type="dxa"/>
                            <w:tcBorders/>
                            <w:shd w:color="auto" w:fill="auto" w:val="clear"/>
                          </w:tcPr>
                          <w:p>
                            <w:pPr>
                              <w:pStyle w:val="Normal"/>
                              <w:ind w:left="0" w:hanging="0"/>
                              <w:rPr/>
                            </w:pPr>
                            <w:bookmarkStart w:id="49" w:name="__UnoMark__1819_3153941827"/>
                            <w:bookmarkEnd w:id="49"/>
                            <w:r>
                              <w:rPr>
                                <w:sz w:val="24"/>
                                <w:szCs w:val="24"/>
                              </w:rPr>
                              <w:t>______________</w:t>
                            </w:r>
                          </w:p>
                          <w:p>
                            <w:pPr>
                              <w:pStyle w:val="Normal"/>
                              <w:ind w:left="0" w:hanging="0"/>
                              <w:rPr/>
                            </w:pPr>
                            <w:r>
                              <w:rPr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>
                              <w:rPr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м.п.</w:t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sectPr>
          <w:footerReference w:type="default" r:id="rId7"/>
          <w:type w:val="nextPage"/>
          <w:pgSz w:orient="landscape" w:w="16838" w:h="11906"/>
          <w:pgMar w:left="1418" w:right="851" w:header="0" w:top="1134" w:footer="720" w:bottom="1134" w:gutter="0"/>
          <w:pgNumType w:fmt="decimal"/>
          <w:formProt w:val="false"/>
          <w:textDirection w:val="lrTb"/>
          <w:docGrid w:type="default" w:linePitch="249" w:charSpace="2047"/>
        </w:sectPr>
        <w:pStyle w:val="Normal"/>
        <w:tabs>
          <w:tab w:val="left" w:pos="1302" w:leader="none"/>
          <w:tab w:val="center" w:pos="4153" w:leader="none"/>
          <w:tab w:val="right" w:pos="8306" w:leader="none"/>
        </w:tabs>
        <w:ind w:left="0" w:hanging="0"/>
        <w:jc w:val="left"/>
        <w:rPr/>
      </w:pPr>
      <w:r>
        <w:rPr/>
      </w:r>
    </w:p>
    <w:p>
      <w:pPr>
        <w:pStyle w:val="Normal"/>
        <w:ind w:left="0" w:right="-3" w:hanging="0"/>
        <w:jc w:val="right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Приложение № 9</w:t>
      </w:r>
    </w:p>
    <w:p>
      <w:pPr>
        <w:pStyle w:val="Normal"/>
        <w:ind w:left="9072" w:hanging="907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договору энергоснабжения </w:t>
      </w:r>
    </w:p>
    <w:p>
      <w:pPr>
        <w:pStyle w:val="Normal"/>
        <w:ind w:left="0" w:hanging="0"/>
        <w:jc w:val="right"/>
        <w:rPr>
          <w:b/>
          <w:b/>
          <w:color w:val="FF0000"/>
          <w:sz w:val="24"/>
          <w:szCs w:val="24"/>
        </w:rPr>
      </w:pPr>
      <w:r>
        <w:rPr>
          <w:rStyle w:val="12"/>
        </w:rPr>
        <w:t>№ </w:t>
      </w:r>
      <w:r>
        <w:rPr>
          <w:rStyle w:val="12"/>
        </w:rPr>
        <w:t>_____________ от _______________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ind w:left="0" w:hanging="0"/>
        <w:jc w:val="center"/>
        <w:rPr>
          <w:b/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Список ответственных лиц и иная контактная информация</w:t>
      </w:r>
    </w:p>
    <w:p>
      <w:pPr>
        <w:pStyle w:val="Normal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07" w:type="dxa"/>
        <w:jc w:val="left"/>
        <w:tblInd w:w="-43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25"/>
        <w:gridCol w:w="4424"/>
        <w:gridCol w:w="5358"/>
      </w:tblGrid>
      <w:tr>
        <w:trPr>
          <w:trHeight w:val="470" w:hRule="atLeast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rPr>
                <w:sz w:val="22"/>
                <w:szCs w:val="22"/>
                <w:lang w:val="en-US"/>
              </w:rPr>
            </w:pPr>
            <w:r>
              <w:rPr>
                <w:b/>
                <w:sz w:val="24"/>
                <w:szCs w:val="24"/>
              </w:rPr>
              <w:t>Гарантирующий поставщик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99"/>
              <w:jc w:val="center"/>
              <w:outlineLvl w:val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Контактная информация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Приемная телефон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8(415 2) 49-09-00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Приемная факс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8(415 2) 49-04-84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Инженер по договорам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4" w:hanging="20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ind w:left="357" w:hanging="49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357" w:hanging="499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07" w:type="dxa"/>
        <w:jc w:val="left"/>
        <w:tblInd w:w="-43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08"/>
        <w:gridCol w:w="4383"/>
        <w:gridCol w:w="5416"/>
      </w:tblGrid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99"/>
              <w:outlineLvl w:val="3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Потребитель</w:t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99"/>
              <w:jc w:val="center"/>
              <w:outlineLvl w:val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Контактная информация</w:t>
            </w:r>
          </w:p>
        </w:tc>
      </w:tr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99"/>
              <w:outlineLvl w:val="3"/>
              <w:rPr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99"/>
              <w:outlineLvl w:val="0"/>
              <w:rPr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>
        <w:trPr>
          <w:trHeight w:val="656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Ответственный за электрохозяйство</w:t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707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Ответственный</w:t>
            </w:r>
            <w:r>
              <w:rPr>
                <w:sz w:val="22"/>
                <w:szCs w:val="22"/>
              </w:rPr>
              <w:t xml:space="preserve"> за </w:t>
            </w:r>
            <w:r>
              <w:rPr>
                <w:iCs/>
                <w:sz w:val="22"/>
                <w:szCs w:val="22"/>
              </w:rPr>
              <w:t>эксплуатацию ПУ</w:t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Ответственный за право ведения оперативных переговоров, получения и принятия, подписания документов</w:t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hanging="4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ind w:left="0" w:hanging="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Номер мобильного телефона для направления уведомления о введении ограничения режима потребления электрической энергии</w:t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Адрес электронной почты для направления уведомления о введении ограничения режима потребления электрической энергии:</w:t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99" w:hRule="atLeast"/>
        </w:trPr>
        <w:tc>
          <w:tcPr>
            <w:tcW w:w="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57" w:hanging="49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0" w:hanging="0"/>
              <w:outlineLvl w:val="3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Адрес электронной почты для направления платежных документов и иной переписки:</w:t>
            </w:r>
          </w:p>
        </w:tc>
        <w:tc>
          <w:tcPr>
            <w:tcW w:w="5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uppressAutoHyphens w:val="true"/>
              <w:ind w:left="0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Сетевые организации</w:t>
      </w:r>
    </w:p>
    <w:p>
      <w:pPr>
        <w:pStyle w:val="Normal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07" w:type="dxa"/>
        <w:jc w:val="left"/>
        <w:tblInd w:w="-44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25"/>
        <w:gridCol w:w="4424"/>
        <w:gridCol w:w="5358"/>
      </w:tblGrid>
      <w:tr>
        <w:trPr/>
        <w:tc>
          <w:tcPr>
            <w:tcW w:w="1020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outlineLvl w:val="3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филиал ПАО «Камчатскэнерго» Центральные электрические сети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Горячая линия:  8 (800) 234-29-39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bidi w:val="0"/>
              <w:ind w:left="0" w:right="0" w:hanging="0"/>
              <w:jc w:val="left"/>
              <w:outlineLvl w:val="3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ул. Сахалинская, 28 г. Петропавловск-Камчатский;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bidi w:val="0"/>
              <w:ind w:left="0" w:right="0" w:hanging="0"/>
              <w:jc w:val="left"/>
              <w:outlineLvl w:val="3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ул. Амурская, д. 5, 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АО «Оборонэнерго»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3"/>
              <w:numPr>
                <w:ilvl w:val="0"/>
                <w:numId w:val="0"/>
              </w:numPr>
              <w:bidi w:val="0"/>
              <w:spacing w:before="0" w:after="0"/>
              <w:ind w:left="720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A"/>
                <w:spacing w:val="0"/>
                <w:sz w:val="22"/>
                <w:szCs w:val="22"/>
                <w:lang w:eastAsia="ru-RU"/>
              </w:rPr>
              <w:t xml:space="preserve">8 800 222 32 20; 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ул. Морская, д. 5, </w:t>
            </w:r>
          </w:p>
          <w:p>
            <w:pPr>
              <w:pStyle w:val="3"/>
              <w:numPr>
                <w:ilvl w:val="0"/>
                <w:numId w:val="0"/>
              </w:numPr>
              <w:bidi w:val="0"/>
              <w:spacing w:before="0" w:after="0"/>
              <w:ind w:left="720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 "РСО "Силуэт"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434343"/>
                <w:spacing w:val="0"/>
                <w:sz w:val="22"/>
                <w:szCs w:val="22"/>
                <w:lang w:eastAsia="ru-RU"/>
              </w:rPr>
              <w:t xml:space="preserve">+7 (963) 831-61-41; +7 (963) 830-14-14;  +7 (4152) 31-61-41 </w:t>
            </w:r>
            <w:hyperlink r:id="rId8">
              <w:r>
                <w:rPr>
                  <w:rStyle w:val="Strong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https://rsosiluet.ru/</w:t>
              </w:r>
            </w:hyperlink>
            <w:r>
              <w:rPr>
                <w:rStyle w:val="Strong"/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 ул. Бохняка 18, поз 101 (3 этаж) г. Петропавловск-Камчатский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АО "ТЭСК"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8 (4152) 30-55-60, </w:t>
            </w:r>
            <w:hyperlink r:id="rId9">
              <w:r>
                <w:rPr>
                  <w:rStyle w:val="Style5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ttps://tesk</w:t>
              </w:r>
            </w:hyperlink>
            <w:hyperlink r:id="rId10">
              <w:r>
                <w:rPr>
                  <w:rStyle w:val="Style5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h</w:t>
              </w:r>
            </w:hyperlink>
            <w:hyperlink r:id="rId11">
              <w:r>
                <w:rPr>
                  <w:rStyle w:val="Style5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pk.ru/</w:t>
              </w:r>
            </w:hyperlink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 г. Петропавловск-Камчатский, ул. Владивостокская, д. 29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 "41 Электрическая сеть"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8 800 700 47 11, </w:t>
            </w:r>
            <w:hyperlink r:id="rId12">
              <w:r>
                <w:rPr>
                  <w:rStyle w:val="Style5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https://41-es.ru/</w:t>
              </w:r>
            </w:hyperlink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 Камчатский край, пгт. Вулканный, ул. Центральная, д. 1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"Алеир"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>+7 (4152) 308 -688,</w:t>
            </w: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 </w:t>
            </w:r>
            <w:hyperlink r:id="rId13">
              <w:r>
                <w:rPr>
                  <w:rStyle w:val="Style5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https://aleir-kamchatka.ru/</w:t>
              </w:r>
            </w:hyperlink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>Проспект Победы 107 г. Петропавловск-Камчатский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 "Петропавловск-Камчатский морской торговый порт"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shd w:fill="EAEAEA" w:val="clear"/>
                <w:lang w:eastAsia="ru-RU"/>
              </w:rPr>
              <w:t>+7 (4152) 43-41-00, факс: +7 (4152) 43-44-19</w:t>
            </w: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 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(4152) 43-46-15 / 31-00-01, </w:t>
            </w:r>
            <w:hyperlink r:id="rId14">
              <w:r>
                <w:rPr>
                  <w:rStyle w:val="Style5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http://port.kamchatka.ru/</w:t>
              </w:r>
            </w:hyperlink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г. Петропавловск-Камчатский, пл. Г. И. Щедрина, д. 2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"28- Электросеть"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(41531) 6-16-78 Оперативный тлф: 8-914-027-5521 </w:t>
            </w:r>
            <w:hyperlink r:id="rId15">
              <w:r>
                <w:rPr>
                  <w:rStyle w:val="Style5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http://28elset.ru/about</w:t>
              </w:r>
            </w:hyperlink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 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684000, Российская Федерация, Камчатский край, Елизовский район, г. Елизово, ул. Магистральная, 2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"Терминал "Сероглазка""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hyperlink r:id="rId16">
              <w:r>
                <w:rPr>
                  <w:rStyle w:val="Style5"/>
                  <w:rFonts w:eastAsia="Times New Roman" w:cs="Times New Roman"/>
                  <w:b w:val="false"/>
                  <w:bCs w:val="false"/>
                  <w:sz w:val="22"/>
                  <w:szCs w:val="22"/>
                  <w:highlight w:val="white"/>
                  <w:lang w:eastAsia="ru-RU"/>
                </w:rPr>
                <w:t>+7 (4152) 466-682</w:t>
              </w:r>
            </w:hyperlink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,</w:t>
            </w: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 xml:space="preserve"> </w:t>
            </w:r>
            <w:hyperlink r:id="rId17">
              <w:r>
                <w:rPr>
                  <w:rStyle w:val="Style5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http://seroglazka.com/</w:t>
              </w:r>
            </w:hyperlink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shd w:fill="FFFFFF" w:val="clear"/>
                <w:lang w:eastAsia="ru-RU"/>
              </w:rPr>
              <w:t xml:space="preserve">г. Петропавловск-Камчатский, улица Мишенная, 131 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"МК Транс"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2"/>
              <w:numPr>
                <w:ilvl w:val="0"/>
                <w:numId w:val="0"/>
              </w:numPr>
              <w:bidi w:val="0"/>
              <w:spacing w:before="0" w:after="0"/>
              <w:ind w:left="576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ru-RU"/>
              </w:rPr>
              <w:t xml:space="preserve">+7 4152 252 055, </w:t>
            </w:r>
            <w:hyperlink r:id="rId18">
              <w:r>
                <w:rPr>
                  <w:rStyle w:val="Style5"/>
                  <w:rFonts w:eastAsia="Times New Roman" w:cs="Times New Roman"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color w:val="000000"/>
                  <w:spacing w:val="0"/>
                  <w:sz w:val="22"/>
                  <w:szCs w:val="22"/>
                  <w:lang w:eastAsia="ru-RU"/>
                </w:rPr>
                <w:t>https://mktranskam.ru/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eastAsia="ru-RU"/>
              </w:rPr>
              <w:t>, 683031, Камчатский край, г Петропавловск-Камчатский, пр-кт Карла Маркса, д 29/1, офис 205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ООО «Камчатская энергетическая компания»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(800) 234-79-17, </w:t>
            </w:r>
            <w:hyperlink r:id="rId19">
              <w:r>
                <w:rPr>
                  <w:rStyle w:val="Style5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https://kek41.ru/</w:t>
              </w:r>
            </w:hyperlink>
          </w:p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683031, Камчатский край, г. Петропавловск-Камчатский, пр. Карла Маркса, д. 11А, пом. 3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"ОКЕАН-ГАЗ"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lineRule="auto" w:line="24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color w:val="00000A"/>
                <w:sz w:val="22"/>
                <w:szCs w:val="22"/>
                <w:lang w:eastAsia="ru-RU"/>
              </w:rPr>
              <w:t xml:space="preserve">+7 (4152) 42-06-01, +7(914) 628 51 44, +7(4152) 21 56 70, </w:t>
            </w:r>
            <w:hyperlink r:id="rId20">
              <w:r>
                <w:rPr>
                  <w:rStyle w:val="Style5"/>
                  <w:rFonts w:eastAsia="Times New Roman" w:cs="Times New Roman"/>
                  <w:b w:val="false"/>
                  <w:bCs w:val="false"/>
                  <w:color w:val="00000A"/>
                  <w:sz w:val="22"/>
                  <w:szCs w:val="22"/>
                  <w:lang w:eastAsia="ru-RU"/>
                </w:rPr>
                <w:t>https://oceangas.ru/</w:t>
              </w:r>
            </w:hyperlink>
            <w:r>
              <w:rPr>
                <w:rFonts w:eastAsia="Times New Roman" w:cs="Times New Roman"/>
                <w:b w:val="false"/>
                <w:bCs w:val="false"/>
                <w:color w:val="00000A"/>
                <w:sz w:val="22"/>
                <w:szCs w:val="22"/>
                <w:lang w:eastAsia="ru-RU"/>
              </w:rPr>
              <w:t>,</w:t>
            </w:r>
          </w:p>
          <w:p>
            <w:pPr>
              <w:pStyle w:val="3"/>
              <w:numPr>
                <w:ilvl w:val="2"/>
                <w:numId w:val="1"/>
              </w:numPr>
              <w:bidi w:val="0"/>
              <w:spacing w:lineRule="auto" w:line="240"/>
              <w:ind w:left="0" w:right="0"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A"/>
                <w:spacing w:val="0"/>
                <w:sz w:val="22"/>
                <w:szCs w:val="22"/>
                <w:lang w:eastAsia="ru-RU"/>
              </w:rPr>
              <w:t>Юридический адрес для отправки корреспонденции: 683009, Камчатский край, г. Петропавловск-Камчатский,  ул. Академика Королева, д. 35, кв. 25</w:t>
            </w:r>
          </w:p>
          <w:p>
            <w:pPr>
              <w:pStyle w:val="3"/>
              <w:widowControl/>
              <w:numPr>
                <w:ilvl w:val="0"/>
                <w:numId w:val="0"/>
              </w:numPr>
              <w:bidi w:val="0"/>
              <w:spacing w:lineRule="auto" w:line="240" w:before="0" w:after="0"/>
              <w:ind w:left="720" w:right="0"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A"/>
                <w:spacing w:val="0"/>
                <w:sz w:val="22"/>
                <w:szCs w:val="22"/>
                <w:lang w:eastAsia="ru-RU"/>
              </w:rPr>
              <w:t>Фактический адрес для приема посетителей:</w:t>
            </w:r>
          </w:p>
          <w:p>
            <w:pPr>
              <w:pStyle w:val="Style17"/>
              <w:widowControl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A"/>
                <w:spacing w:val="0"/>
                <w:sz w:val="22"/>
                <w:szCs w:val="22"/>
                <w:lang w:eastAsia="ru-RU"/>
              </w:rPr>
              <w:t>г. Петропавловск-Камчатский, ул. Бохняка, д. 3, кв. первый этаж, вход со двора по центру здания (пластиковый модуль)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"Марлин"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2"/>
              <w:numPr>
                <w:ilvl w:val="0"/>
                <w:numId w:val="0"/>
              </w:numPr>
              <w:bidi w:val="0"/>
              <w:spacing w:before="0" w:after="0"/>
              <w:ind w:left="576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(4152) 42-02-09, </w:t>
            </w:r>
            <w:hyperlink r:id="rId21">
              <w:r>
                <w:rPr>
                  <w:rStyle w:val="Style5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http://intarsia.nethouse.ru</w:t>
              </w:r>
            </w:hyperlink>
          </w:p>
          <w:p>
            <w:pPr>
              <w:pStyle w:val="2"/>
              <w:numPr>
                <w:ilvl w:val="0"/>
                <w:numId w:val="0"/>
              </w:numPr>
              <w:bidi w:val="0"/>
              <w:spacing w:before="0" w:after="0"/>
              <w:ind w:left="576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683000, Россия, Петропавловск-Камчатский, УЛ. ОЗЕРНОВСКАЯ КОСА, Д. 11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"Электролиния"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2"/>
              <w:numPr>
                <w:ilvl w:val="0"/>
                <w:numId w:val="0"/>
              </w:numPr>
              <w:bidi w:val="0"/>
              <w:spacing w:before="0" w:after="0"/>
              <w:ind w:left="576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+7 962 291 53 68, </w:t>
            </w:r>
            <w:hyperlink r:id="rId22">
              <w:r>
                <w:rPr>
                  <w:rStyle w:val="Style5"/>
                  <w:rFonts w:eastAsia="Times New Roman" w:cs="Times New Roman" w:ascii="Times New Roman" w:hAnsi="Times New Roman"/>
                  <w:b w:val="false"/>
                  <w:bCs w:val="false"/>
                  <w:sz w:val="22"/>
                  <w:szCs w:val="22"/>
                  <w:lang w:eastAsia="ru-RU"/>
                </w:rPr>
                <w:t>http://protoktp.ru/</w:t>
              </w:r>
            </w:hyperlink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,</w:t>
            </w:r>
          </w:p>
          <w:p>
            <w:pPr>
              <w:pStyle w:val="2"/>
              <w:numPr>
                <w:ilvl w:val="0"/>
                <w:numId w:val="0"/>
              </w:numPr>
              <w:bidi w:val="0"/>
              <w:spacing w:before="0" w:after="0"/>
              <w:ind w:left="576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683003, КАМЧАТСКИЙ КРАЙ, Г. ПЕТРОПАВЛОВСК-КАМЧАТСКИЙ, УЛ. ЛЕНИНГРАДСКАЯ, Д. 65\1, КВ. 45</w:t>
            </w:r>
          </w:p>
        </w:tc>
      </w:tr>
      <w:tr>
        <w:trPr/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bCs w:val="false"/>
                <w:sz w:val="20"/>
                <w:szCs w:val="20"/>
                <w:lang w:eastAsia="ru-RU"/>
              </w:rPr>
            </w:r>
          </w:p>
        </w:tc>
        <w:tc>
          <w:tcPr>
            <w:tcW w:w="44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ind w:left="0" w:right="0"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>Общество с ограниченной ответственностью "ТАРГЕТЭН"</w:t>
            </w:r>
          </w:p>
        </w:tc>
        <w:tc>
          <w:tcPr>
            <w:tcW w:w="53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bidi w:val="0"/>
              <w:spacing w:before="0" w:after="0"/>
              <w:ind w:left="0" w:right="0" w:hanging="0"/>
              <w:contextualSpacing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sz w:val="22"/>
                <w:szCs w:val="22"/>
                <w:lang w:eastAsia="ru-RU"/>
              </w:rPr>
              <w:t xml:space="preserve">+7 (914) 022 7008, </w:t>
            </w:r>
            <w:hyperlink r:id="rId23">
              <w:r>
                <w:rPr>
                  <w:rStyle w:val="Style5"/>
                  <w:rFonts w:eastAsia="Times New Roman" w:cs="Times New Roman"/>
                  <w:b w:val="false"/>
                  <w:bCs w:val="false"/>
                  <w:sz w:val="22"/>
                  <w:szCs w:val="22"/>
                  <w:lang w:eastAsia="ru-RU"/>
                </w:rPr>
                <w:t>https://targeten.ru/</w:t>
              </w:r>
            </w:hyperlink>
          </w:p>
          <w:p>
            <w:pPr>
              <w:pStyle w:val="2"/>
              <w:numPr>
                <w:ilvl w:val="0"/>
                <w:numId w:val="0"/>
              </w:numPr>
              <w:bidi w:val="0"/>
              <w:spacing w:before="0" w:after="0"/>
              <w:ind w:left="576" w:right="0" w:hanging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eastAsia="ru-RU"/>
              </w:rPr>
              <w:t>683003, Камчатский край, г Петропавловск-Камчатский, ул Ленинградская, д 124а, кв.50</w:t>
            </w:r>
          </w:p>
        </w:tc>
      </w:tr>
    </w:tbl>
    <w:p>
      <w:pPr>
        <w:pStyle w:val="Normal"/>
        <w:ind w:left="0" w:hanging="0"/>
        <w:rPr>
          <w:b/>
          <w:b/>
        </w:rPr>
      </w:pPr>
      <w:r>
        <w:rPr>
          <w:b/>
        </w:rPr>
      </w:r>
    </w:p>
    <w:p>
      <w:pPr>
        <w:pStyle w:val="Normal"/>
        <w:ind w:left="0" w:hanging="0"/>
        <w:rPr>
          <w:b/>
          <w:b/>
        </w:rPr>
      </w:pPr>
      <w:r>
        <w:rPr>
          <w:b/>
        </w:rPr>
      </w:r>
    </w:p>
    <w:p>
      <w:pPr>
        <w:pStyle w:val="Normal"/>
        <w:ind w:left="0" w:hanging="0"/>
        <w:rPr>
          <w:b/>
          <w:b/>
        </w:rPr>
      </w:pPr>
      <w:r>
        <w:rPr>
          <w:b/>
        </w:rPr>
        <w:t>Примечание</w:t>
      </w:r>
    </w:p>
    <w:p>
      <w:pPr>
        <w:pStyle w:val="Normal"/>
        <w:tabs>
          <w:tab w:val="center" w:pos="4153" w:leader="none"/>
          <w:tab w:val="right" w:pos="8306" w:leader="none"/>
        </w:tabs>
        <w:ind w:left="0" w:hanging="0"/>
        <w:rPr/>
      </w:pPr>
      <w:r>
        <w:rPr/>
        <w:t>При отсутствии круглосуточного дежурства оперативного электротехнического персонала дополнительно в списке указать номер телефона дежурного по предприятию.</w:t>
      </w:r>
    </w:p>
    <w:p>
      <w:pPr>
        <w:pStyle w:val="Normal"/>
        <w:ind w:left="0" w:hanging="0"/>
        <w:rPr/>
      </w:pPr>
      <w:r>
        <w:rPr/>
      </w:r>
    </w:p>
    <w:p>
      <w:pPr>
        <w:pStyle w:val="Normal"/>
        <w:ind w:left="0" w:hanging="0"/>
        <w:rPr/>
      </w:pPr>
      <w:r>
        <w:rPr/>
      </w:r>
    </w:p>
    <w:tbl>
      <w:tblPr>
        <w:tblpPr w:bottomFromText="0" w:horzAnchor="margin" w:leftFromText="180" w:rightFromText="180" w:tblpX="0" w:tblpY="293" w:topFromText="0" w:vertAnchor="text"/>
        <w:tblW w:w="9658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829"/>
        <w:gridCol w:w="4828"/>
      </w:tblGrid>
      <w:tr>
        <w:trPr/>
        <w:tc>
          <w:tcPr>
            <w:tcW w:w="4829" w:type="dxa"/>
            <w:tcBorders/>
            <w:shd w:color="auto" w:fill="auto" w:val="clear"/>
          </w:tcPr>
          <w:p>
            <w:pPr>
              <w:pStyle w:val="Normal"/>
              <w:ind w:left="0" w:hanging="0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>Гарантирующий поставщик</w:t>
            </w:r>
          </w:p>
        </w:tc>
        <w:tc>
          <w:tcPr>
            <w:tcW w:w="4828" w:type="dxa"/>
            <w:tcBorders/>
            <w:shd w:color="auto" w:fill="auto" w:val="clea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outlineLvl w:val="1"/>
              <w:rPr>
                <w:rFonts w:eastAsia="Arial Unicode MS"/>
                <w:b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Потребитель</w:t>
            </w:r>
          </w:p>
        </w:tc>
      </w:tr>
      <w:tr>
        <w:trPr/>
        <w:tc>
          <w:tcPr>
            <w:tcW w:w="4829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8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29" w:type="dxa"/>
            <w:tcBorders/>
            <w:shd w:color="auto"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28" w:type="dxa"/>
            <w:tcBorders/>
            <w:shd w:color="auto" w:fill="auto" w:val="clear"/>
          </w:tcPr>
          <w:p>
            <w:pPr>
              <w:pStyle w:val="Normal"/>
              <w:tabs>
                <w:tab w:val="left" w:pos="708" w:leader="none"/>
                <w:tab w:val="center" w:pos="4153" w:leader="none"/>
                <w:tab w:val="right" w:pos="830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29" w:type="dxa"/>
            <w:tcBorders/>
            <w:shd w:color="auto" w:fill="auto" w:val="clear"/>
          </w:tcPr>
          <w:p>
            <w:pPr>
              <w:pStyle w:val="Normal"/>
              <w:ind w:left="0" w:hanging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___________________ </w:t>
            </w:r>
            <w:r>
              <w:rPr>
                <w:b/>
                <w:sz w:val="24"/>
                <w:szCs w:val="24"/>
              </w:rPr>
              <w:t xml:space="preserve"> А.З. Жосан</w:t>
            </w:r>
          </w:p>
        </w:tc>
        <w:tc>
          <w:tcPr>
            <w:tcW w:w="4828" w:type="dxa"/>
            <w:tcBorders/>
            <w:shd w:color="auto" w:fill="auto" w:val="clear"/>
          </w:tcPr>
          <w:p>
            <w:pPr>
              <w:pStyle w:val="Normal"/>
              <w:ind w:left="0" w:hanging="0"/>
              <w:rPr/>
            </w:pPr>
            <w:r>
              <w:rPr>
                <w:sz w:val="24"/>
                <w:szCs w:val="24"/>
              </w:rPr>
              <w:t>_________________</w:t>
            </w:r>
          </w:p>
        </w:tc>
      </w:tr>
    </w:tbl>
    <w:p>
      <w:pPr>
        <w:pStyle w:val="Normal"/>
        <w:ind w:left="0" w:hanging="0"/>
        <w:rPr/>
      </w:pPr>
      <w:r>
        <w:rPr/>
      </w:r>
    </w:p>
    <w:p>
      <w:pPr>
        <w:pStyle w:val="Normal"/>
        <w:ind w:left="0" w:hanging="0"/>
        <w:rPr/>
      </w:pPr>
      <w:r>
        <w:rPr>
          <w:b/>
        </w:rPr>
        <w:t xml:space="preserve">                   </w:t>
      </w:r>
      <w:r>
        <w:rPr>
          <w:b/>
        </w:rPr>
        <w:t>м.п.                                                                                        м.п.</w:t>
      </w:r>
    </w:p>
    <w:p>
      <w:pPr>
        <w:pStyle w:val="Normal"/>
        <w:tabs>
          <w:tab w:val="left" w:pos="2655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left" w:pos="1302" w:leader="none"/>
        </w:tabs>
        <w:ind w:left="0" w:hanging="0"/>
        <w:jc w:val="left"/>
        <w:rPr/>
      </w:pPr>
      <w:r>
        <w:rPr/>
      </w:r>
    </w:p>
    <w:sectPr>
      <w:footerReference w:type="default" r:id="rId24"/>
      <w:type w:val="nextPage"/>
      <w:pgSz w:w="11906" w:h="16838"/>
      <w:pgMar w:left="1418" w:right="851" w:header="0" w:top="1134" w:footer="567" w:bottom="1134" w:gutter="0"/>
      <w:pgNumType w:fmt="decimal"/>
      <w:formProt w:val="false"/>
      <w:textDirection w:val="lrTb"/>
      <w:docGrid w:type="default" w:linePitch="249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aff0"/>
      <w:tblW w:w="9627" w:type="dxa"/>
      <w:jc w:val="center"/>
      <w:tblInd w:w="0" w:type="dxa"/>
      <w:tblCellMar>
        <w:top w:w="0" w:type="dxa"/>
        <w:left w:w="103" w:type="dxa"/>
        <w:bottom w:w="0" w:type="dxa"/>
        <w:right w:w="108" w:type="dxa"/>
      </w:tblCellMar>
      <w:tblLook w:val="04a0" w:noVBand="1" w:noHBand="0" w:lastColumn="0" w:firstColumn="1" w:lastRow="0" w:firstRow="1"/>
    </w:tblPr>
    <w:tblGrid>
      <w:gridCol w:w="4813"/>
      <w:gridCol w:w="4813"/>
    </w:tblGrid>
    <w:tr>
      <w:trPr/>
      <w:tc>
        <w:tcPr>
          <w:tcW w:w="4813" w:type="dxa"/>
          <w:tcBorders/>
          <w:shd w:color="auto" w:fill="auto" w:val="clear"/>
          <w:tcMar>
            <w:left w:w="103" w:type="dxa"/>
          </w:tcMar>
        </w:tcPr>
        <w:p>
          <w:pPr>
            <w:pStyle w:val="Normal"/>
            <w:ind w:left="0" w:hanging="0"/>
            <w:rPr>
              <w:sz w:val="18"/>
              <w:szCs w:val="18"/>
            </w:rPr>
          </w:pPr>
          <w:r>
            <w:rPr>
              <w:sz w:val="18"/>
              <w:szCs w:val="18"/>
            </w:rPr>
            <w:t>Исполнитель</w:t>
          </w:r>
        </w:p>
      </w:tc>
      <w:tc>
        <w:tcPr>
          <w:tcW w:w="4813" w:type="dxa"/>
          <w:tcBorders/>
          <w:shd w:color="auto" w:fill="auto" w:val="clear"/>
          <w:tcMar>
            <w:left w:w="103" w:type="dxa"/>
          </w:tcMar>
        </w:tcPr>
        <w:p>
          <w:pPr>
            <w:pStyle w:val="Normal"/>
            <w:ind w:left="0" w:hanging="0"/>
            <w:rPr>
              <w:sz w:val="18"/>
              <w:szCs w:val="18"/>
            </w:rPr>
          </w:pPr>
          <w:r>
            <w:rPr>
              <w:sz w:val="18"/>
              <w:szCs w:val="18"/>
            </w:rPr>
            <w:t>Потребитель</w:t>
          </w:r>
        </w:p>
      </w:tc>
    </w:tr>
    <w:tr>
      <w:trPr/>
      <w:tc>
        <w:tcPr>
          <w:tcW w:w="9626" w:type="dxa"/>
          <w:gridSpan w:val="2"/>
          <w:tcBorders/>
          <w:shd w:color="auto" w:fill="auto" w:val="clear"/>
          <w:tcMar>
            <w:left w:w="103" w:type="dxa"/>
          </w:tcMar>
        </w:tcPr>
        <w:p>
          <w:pPr>
            <w:pStyle w:val="Normal"/>
            <w:jc w:val="center"/>
            <w:rPr/>
          </w:pPr>
          <w:r>
            <w:rPr/>
            <w:t>Договор энергоснабжения с хозрасчетным потребителем</w:t>
          </w:r>
        </w:p>
      </w:tc>
    </w:tr>
  </w:tbl>
  <w:p>
    <w:pPr>
      <w:pStyle w:val="Style23"/>
      <w:jc w:val="cen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decimal"/>
      <w:lvlText w:val="%1"/>
      <w:lvlJc w:val="left"/>
      <w:pPr>
        <w:ind w:left="432" w:hanging="432"/>
      </w:pPr>
    </w:lvl>
    <w:lvl w:ilvl="1">
      <w:start w:val="1"/>
      <w:pStyle w:val="2"/>
      <w:numFmt w:val="decimal"/>
      <w:lvlText w:val="%1.%2"/>
      <w:lvlJc w:val="left"/>
      <w:pPr>
        <w:ind w:left="576" w:hanging="576"/>
      </w:pPr>
    </w:lvl>
    <w:lvl w:ilvl="2">
      <w:start w:val="1"/>
      <w:pStyle w:val="3"/>
      <w:numFmt w:val="decimal"/>
      <w:lvlText w:val="%1.%2.%3"/>
      <w:lvlJc w:val="left"/>
      <w:pPr>
        <w:ind w:left="720" w:hanging="720"/>
      </w:pPr>
    </w:lvl>
    <w:lvl w:ilvl="3">
      <w:start w:val="1"/>
      <w:pStyle w:val="4"/>
      <w:numFmt w:val="decimal"/>
      <w:lvlText w:val="%1.%2.%3.%4"/>
      <w:lvlJc w:val="left"/>
      <w:pPr>
        <w:ind w:left="864" w:hanging="864"/>
      </w:pPr>
    </w:lvl>
    <w:lvl w:ilvl="4">
      <w:start w:val="1"/>
      <w:pStyle w:val="5"/>
      <w:numFmt w:val="decimal"/>
      <w:lvlText w:val="%1.%2.%3.%4.%5"/>
      <w:lvlJc w:val="left"/>
      <w:pPr>
        <w:ind w:left="1008" w:hanging="1008"/>
      </w:pPr>
    </w:lvl>
    <w:lvl w:ilvl="5">
      <w:start w:val="1"/>
      <w:pStyle w:val="6"/>
      <w:numFmt w:val="decimal"/>
      <w:lvlText w:val="%1.%2.%3.%4.%5.%6"/>
      <w:lvlJc w:val="left"/>
      <w:pPr>
        <w:ind w:left="1152" w:hanging="1152"/>
      </w:pPr>
    </w:lvl>
    <w:lvl w:ilvl="6">
      <w:start w:val="1"/>
      <w:pStyle w:val="7"/>
      <w:numFmt w:val="decimal"/>
      <w:lvlText w:val="%1.%2.%3.%4.%5.%6.%7"/>
      <w:lvlJc w:val="left"/>
      <w:pPr>
        <w:ind w:left="1296" w:hanging="1296"/>
      </w:pPr>
    </w:lvl>
    <w:lvl w:ilvl="7">
      <w:start w:val="1"/>
      <w:pStyle w:val="8"/>
      <w:numFmt w:val="decimal"/>
      <w:lvlText w:val="%1.%2.%3.%4.%5.%6.%7.%8"/>
      <w:lvlJc w:val="left"/>
      <w:pPr>
        <w:ind w:left="1440" w:hanging="1440"/>
      </w:pPr>
    </w:lvl>
    <w:lvl w:ilvl="8">
      <w:start w:val="1"/>
      <w:pStyle w:val="9"/>
      <w:numFmt w:val="decimal"/>
      <w:lvlText w:val="%1.%2.%3.%4.%5.%6.%7.%8.%9"/>
      <w:lvlJc w:val="left"/>
      <w:pPr>
        <w:ind w:left="1584" w:hanging="1584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b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sz w:val="22"/>
        <w:b/>
        <w:szCs w:val="22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sz w:val="22"/>
        <w:b/>
        <w:color w:val="00000A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sz w:val="22"/>
        <w:b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sz w:val="22"/>
        <w:color w:val="00000A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lvl w:ilvl="0">
      <w:start w:val="1"/>
      <w:numFmt w:val="decimal"/>
      <w:lvlText w:val="%1."/>
      <w:lvlJc w:val="left"/>
      <w:pPr>
        <w:ind w:left="1020" w:hanging="1020"/>
      </w:pPr>
    </w:lvl>
    <w:lvl w:ilvl="1">
      <w:start w:val="1"/>
      <w:numFmt w:val="decimal"/>
      <w:lvlText w:val="%1.%2."/>
      <w:lvlJc w:val="left"/>
      <w:pPr>
        <w:ind w:left="2722" w:hanging="1020"/>
      </w:pPr>
      <w:rPr>
        <w:sz w:val="22"/>
        <w:b/>
      </w:rPr>
    </w:lvl>
    <w:lvl w:ilvl="2">
      <w:start w:val="1"/>
      <w:numFmt w:val="decimal"/>
      <w:lvlText w:val="%1.%2.%3."/>
      <w:lvlJc w:val="left"/>
      <w:pPr>
        <w:ind w:left="1020" w:hanging="1020"/>
      </w:pPr>
    </w:lvl>
    <w:lvl w:ilvl="3">
      <w:start w:val="1"/>
      <w:numFmt w:val="decimal"/>
      <w:lvlText w:val="%1.%2.%3.%4."/>
      <w:lvlJc w:val="left"/>
      <w:pPr>
        <w:ind w:left="1020" w:hanging="10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  <w:position w:val="0"/>
        <w:sz w:val="20"/>
        <w:sz w:val="20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6533c"/>
    <w:pPr>
      <w:widowControl/>
      <w:bidi w:val="0"/>
      <w:ind w:left="357" w:firstLine="357"/>
      <w:jc w:val="both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1">
    <w:name w:val="Heading 1"/>
    <w:basedOn w:val="Normal"/>
    <w:qFormat/>
    <w:rsid w:val="0016533c"/>
    <w:pPr>
      <w:keepNext w:val="true"/>
      <w:numPr>
        <w:ilvl w:val="0"/>
        <w:numId w:val="1"/>
      </w:numPr>
      <w:jc w:val="center"/>
      <w:outlineLvl w:val="0"/>
    </w:pPr>
    <w:rPr>
      <w:rFonts w:ascii="Arial" w:hAnsi="Arial"/>
      <w:b/>
      <w:sz w:val="22"/>
    </w:rPr>
  </w:style>
  <w:style w:type="paragraph" w:styleId="2">
    <w:name w:val="Heading 2"/>
    <w:basedOn w:val="Normal"/>
    <w:link w:val="20"/>
    <w:qFormat/>
    <w:rsid w:val="0016533c"/>
    <w:pPr>
      <w:keepNext w:val="true"/>
      <w:numPr>
        <w:ilvl w:val="1"/>
        <w:numId w:val="1"/>
      </w:numPr>
      <w:outlineLvl w:val="1"/>
    </w:pPr>
    <w:rPr>
      <w:rFonts w:ascii="Arial" w:hAnsi="Arial"/>
      <w:b/>
      <w:sz w:val="22"/>
      <w:lang w:val="en-US"/>
    </w:rPr>
  </w:style>
  <w:style w:type="paragraph" w:styleId="3">
    <w:name w:val="Heading 3"/>
    <w:basedOn w:val="Normal"/>
    <w:qFormat/>
    <w:rsid w:val="0016533c"/>
    <w:pPr>
      <w:keepNext w:val="true"/>
      <w:numPr>
        <w:ilvl w:val="2"/>
        <w:numId w:val="1"/>
      </w:numPr>
      <w:jc w:val="center"/>
      <w:outlineLvl w:val="2"/>
    </w:pPr>
    <w:rPr>
      <w:rFonts w:ascii="Arial" w:hAnsi="Arial"/>
      <w:b/>
      <w:sz w:val="16"/>
      <w:lang w:val="en-US"/>
    </w:rPr>
  </w:style>
  <w:style w:type="paragraph" w:styleId="4">
    <w:name w:val="Heading 4"/>
    <w:basedOn w:val="Normal"/>
    <w:qFormat/>
    <w:rsid w:val="0016533c"/>
    <w:pPr>
      <w:keepNext w:val="true"/>
      <w:numPr>
        <w:ilvl w:val="3"/>
        <w:numId w:val="1"/>
      </w:numPr>
      <w:jc w:val="center"/>
      <w:outlineLvl w:val="3"/>
    </w:pPr>
    <w:rPr>
      <w:rFonts w:ascii="Arial" w:hAnsi="Arial"/>
      <w:b/>
      <w:lang w:val="en-US"/>
    </w:rPr>
  </w:style>
  <w:style w:type="paragraph" w:styleId="5">
    <w:name w:val="Heading 5"/>
    <w:basedOn w:val="Normal"/>
    <w:link w:val="50"/>
    <w:qFormat/>
    <w:rsid w:val="0016533c"/>
    <w:pPr>
      <w:keepNext w:val="true"/>
      <w:numPr>
        <w:ilvl w:val="4"/>
        <w:numId w:val="1"/>
      </w:numPr>
      <w:outlineLvl w:val="4"/>
    </w:pPr>
    <w:rPr>
      <w:b/>
      <w:i/>
    </w:rPr>
  </w:style>
  <w:style w:type="paragraph" w:styleId="6">
    <w:name w:val="Heading 6"/>
    <w:basedOn w:val="Normal"/>
    <w:link w:val="60"/>
    <w:semiHidden/>
    <w:unhideWhenUsed/>
    <w:qFormat/>
    <w:rsid w:val="006139be"/>
    <w:pPr>
      <w:keepNext w:val="true"/>
      <w:keepLines/>
      <w:numPr>
        <w:ilvl w:val="5"/>
        <w:numId w:val="1"/>
      </w:numPr>
      <w:spacing w:before="200" w:after="0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7">
    <w:name w:val="Heading 7"/>
    <w:basedOn w:val="Normal"/>
    <w:link w:val="70"/>
    <w:semiHidden/>
    <w:unhideWhenUsed/>
    <w:qFormat/>
    <w:rsid w:val="006139be"/>
    <w:pPr>
      <w:keepNext w:val="true"/>
      <w:keepLines/>
      <w:numPr>
        <w:ilvl w:val="6"/>
        <w:numId w:val="1"/>
      </w:numPr>
      <w:spacing w:before="200" w:after="0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Normal"/>
    <w:link w:val="80"/>
    <w:semiHidden/>
    <w:unhideWhenUsed/>
    <w:qFormat/>
    <w:rsid w:val="006139be"/>
    <w:pPr>
      <w:keepNext w:val="true"/>
      <w:keepLines/>
      <w:numPr>
        <w:ilvl w:val="7"/>
        <w:numId w:val="1"/>
      </w:numPr>
      <w:spacing w:before="200" w:after="0"/>
      <w:outlineLvl w:val="7"/>
    </w:pPr>
    <w:rPr>
      <w:rFonts w:ascii="Cambria" w:hAnsi="Cambria" w:eastAsia="" w:cs="" w:asciiTheme="majorHAnsi" w:cstheme="majorBidi" w:eastAsiaTheme="majorEastAsia" w:hAnsiTheme="majorHAnsi"/>
      <w:color w:val="404040" w:themeColor="text1" w:themeTint="bf"/>
    </w:rPr>
  </w:style>
  <w:style w:type="paragraph" w:styleId="9">
    <w:name w:val="Heading 9"/>
    <w:basedOn w:val="Normal"/>
    <w:link w:val="90"/>
    <w:semiHidden/>
    <w:unhideWhenUsed/>
    <w:qFormat/>
    <w:rsid w:val="006139be"/>
    <w:pPr>
      <w:keepNext w:val="true"/>
      <w:keepLines/>
      <w:numPr>
        <w:ilvl w:val="8"/>
        <w:numId w:val="1"/>
      </w:numPr>
      <w:spacing w:before="200" w:after="0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6533c"/>
    <w:rPr/>
  </w:style>
  <w:style w:type="character" w:styleId="Style5" w:customStyle="1">
    <w:name w:val="Интернет-ссылка"/>
    <w:rsid w:val="00c84986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qFormat/>
    <w:rsid w:val="003a33d4"/>
    <w:rPr/>
  </w:style>
  <w:style w:type="character" w:styleId="11" w:customStyle="1">
    <w:name w:val="Стиль1_св-ва документа Знак"/>
    <w:qFormat/>
    <w:rsid w:val="00f26e59"/>
    <w:rPr>
      <w:b/>
      <w:bCs/>
      <w:sz w:val="25"/>
      <w:szCs w:val="25"/>
    </w:rPr>
  </w:style>
  <w:style w:type="character" w:styleId="125" w:customStyle="1">
    <w:name w:val="Обычный125Жир Знак"/>
    <w:link w:val="125"/>
    <w:qFormat/>
    <w:rsid w:val="003c61f8"/>
    <w:rPr>
      <w:b/>
      <w:bCs/>
      <w:color w:val="0000FF"/>
      <w:sz w:val="25"/>
      <w:szCs w:val="25"/>
    </w:rPr>
  </w:style>
  <w:style w:type="character" w:styleId="12" w:customStyle="1">
    <w:name w:val="Об12жир Знак"/>
    <w:link w:val="12"/>
    <w:qFormat/>
    <w:rsid w:val="003c61f8"/>
    <w:rPr>
      <w:b/>
      <w:bCs/>
      <w:color w:val="0000FF"/>
      <w:sz w:val="24"/>
      <w:szCs w:val="24"/>
    </w:rPr>
  </w:style>
  <w:style w:type="character" w:styleId="13" w:customStyle="1">
    <w:name w:val="Об_13_Жир Знак"/>
    <w:link w:val="13"/>
    <w:qFormat/>
    <w:rsid w:val="003c61f8"/>
    <w:rPr>
      <w:b/>
      <w:color w:val="0000FF"/>
      <w:sz w:val="26"/>
      <w:szCs w:val="26"/>
    </w:rPr>
  </w:style>
  <w:style w:type="character" w:styleId="10" w:customStyle="1">
    <w:name w:val="ТР_10_Жир Знак"/>
    <w:link w:val="10"/>
    <w:qFormat/>
    <w:rsid w:val="003c61f8"/>
    <w:rPr>
      <w:b/>
      <w:color w:val="0000FF"/>
    </w:rPr>
  </w:style>
  <w:style w:type="character" w:styleId="101" w:customStyle="1">
    <w:name w:val="ТР_10 Знак"/>
    <w:link w:val="100"/>
    <w:qFormat/>
    <w:rsid w:val="003c61f8"/>
    <w:rPr>
      <w:color w:val="0000FF"/>
    </w:rPr>
  </w:style>
  <w:style w:type="character" w:styleId="102" w:customStyle="1">
    <w:name w:val="Тр_10_Жир Знак"/>
    <w:link w:val="102"/>
    <w:qFormat/>
    <w:rsid w:val="008910fe"/>
    <w:rPr>
      <w:b/>
      <w:color w:val="3333FF"/>
    </w:rPr>
  </w:style>
  <w:style w:type="character" w:styleId="21" w:customStyle="1">
    <w:name w:val="Заголовок 2 Знак"/>
    <w:link w:val="2"/>
    <w:qFormat/>
    <w:rsid w:val="00aa10ca"/>
    <w:rPr>
      <w:rFonts w:ascii="Arial" w:hAnsi="Arial"/>
      <w:b/>
      <w:sz w:val="22"/>
      <w:lang w:val="en-US"/>
    </w:rPr>
  </w:style>
  <w:style w:type="character" w:styleId="Style7" w:customStyle="1">
    <w:name w:val="Нижний колонтитул Знак"/>
    <w:basedOn w:val="DefaultParagraphFont"/>
    <w:uiPriority w:val="99"/>
    <w:qFormat/>
    <w:rsid w:val="005e1edd"/>
    <w:rPr/>
  </w:style>
  <w:style w:type="character" w:styleId="Annotationreference">
    <w:name w:val="annotation reference"/>
    <w:qFormat/>
    <w:rsid w:val="00d7157a"/>
    <w:rPr>
      <w:sz w:val="16"/>
      <w:szCs w:val="16"/>
    </w:rPr>
  </w:style>
  <w:style w:type="character" w:styleId="Style8" w:customStyle="1">
    <w:name w:val="Текст примечания Знак"/>
    <w:basedOn w:val="DefaultParagraphFont"/>
    <w:qFormat/>
    <w:rsid w:val="00d7157a"/>
    <w:rPr/>
  </w:style>
  <w:style w:type="character" w:styleId="Style9" w:customStyle="1">
    <w:name w:val="Тема примечания Знак"/>
    <w:qFormat/>
    <w:rsid w:val="00d7157a"/>
    <w:rPr>
      <w:b/>
      <w:bCs/>
    </w:rPr>
  </w:style>
  <w:style w:type="character" w:styleId="22" w:customStyle="1">
    <w:name w:val="Основной текст 2 Знак"/>
    <w:link w:val="21"/>
    <w:qFormat/>
    <w:rsid w:val="00d7157a"/>
    <w:rPr>
      <w:sz w:val="24"/>
      <w:szCs w:val="24"/>
    </w:rPr>
  </w:style>
  <w:style w:type="character" w:styleId="Style10">
    <w:name w:val="Выделение"/>
    <w:qFormat/>
    <w:rsid w:val="00d7157a"/>
    <w:rPr>
      <w:i/>
      <w:iCs/>
    </w:rPr>
  </w:style>
  <w:style w:type="character" w:styleId="Messagein1" w:customStyle="1">
    <w:name w:val="messagein1"/>
    <w:qFormat/>
    <w:rsid w:val="00d7157a"/>
    <w:rPr>
      <w:rFonts w:ascii="Tahoma" w:hAnsi="Tahoma" w:cs="Tahoma"/>
      <w:b w:val="false"/>
      <w:bCs w:val="false"/>
      <w:color w:val="000000"/>
      <w:sz w:val="16"/>
      <w:szCs w:val="16"/>
    </w:rPr>
  </w:style>
  <w:style w:type="character" w:styleId="FollowedHyperlink">
    <w:name w:val="FollowedHyperlink"/>
    <w:qFormat/>
    <w:rsid w:val="00d7157a"/>
    <w:rPr>
      <w:color w:val="800080"/>
      <w:u w:val="single"/>
    </w:rPr>
  </w:style>
  <w:style w:type="character" w:styleId="51" w:customStyle="1">
    <w:name w:val="Заголовок 5 Знак"/>
    <w:link w:val="5"/>
    <w:qFormat/>
    <w:rsid w:val="00d7157a"/>
    <w:rPr>
      <w:b/>
      <w:i/>
    </w:rPr>
  </w:style>
  <w:style w:type="character" w:styleId="Style11" w:customStyle="1">
    <w:name w:val="Шапка Знак"/>
    <w:basedOn w:val="DefaultParagraphFont"/>
    <w:qFormat/>
    <w:rsid w:val="00d7157a"/>
    <w:rPr/>
  </w:style>
  <w:style w:type="character" w:styleId="Style12" w:customStyle="1">
    <w:name w:val="Заголовок Знак"/>
    <w:qFormat/>
    <w:rsid w:val="00d7157a"/>
    <w:rPr>
      <w:b/>
      <w:bCs/>
      <w:sz w:val="22"/>
      <w:szCs w:val="22"/>
    </w:rPr>
  </w:style>
  <w:style w:type="character" w:styleId="Strong">
    <w:name w:val="Strong"/>
    <w:basedOn w:val="DefaultParagraphFont"/>
    <w:uiPriority w:val="22"/>
    <w:qFormat/>
    <w:rsid w:val="003f2ec9"/>
    <w:rPr>
      <w:b/>
      <w:bCs/>
    </w:rPr>
  </w:style>
  <w:style w:type="character" w:styleId="61" w:customStyle="1">
    <w:name w:val="Заголовок 6 Знак"/>
    <w:basedOn w:val="DefaultParagraphFont"/>
    <w:link w:val="6"/>
    <w:semiHidden/>
    <w:qFormat/>
    <w:rsid w:val="006139be"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71" w:customStyle="1">
    <w:name w:val="Заголовок 7 Знак"/>
    <w:basedOn w:val="DefaultParagraphFont"/>
    <w:link w:val="7"/>
    <w:semiHidden/>
    <w:qFormat/>
    <w:rsid w:val="006139be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81" w:customStyle="1">
    <w:name w:val="Заголовок 8 Знак"/>
    <w:basedOn w:val="DefaultParagraphFont"/>
    <w:link w:val="8"/>
    <w:semiHidden/>
    <w:qFormat/>
    <w:rsid w:val="006139be"/>
    <w:rPr>
      <w:rFonts w:ascii="Cambria" w:hAnsi="Cambria" w:eastAsia="" w:cs="" w:asciiTheme="majorHAnsi" w:cstheme="majorBidi" w:eastAsiaTheme="majorEastAsia" w:hAnsiTheme="majorHAnsi"/>
      <w:color w:val="404040" w:themeColor="text1" w:themeTint="bf"/>
    </w:rPr>
  </w:style>
  <w:style w:type="character" w:styleId="91" w:customStyle="1">
    <w:name w:val="Заголовок 9 Знак"/>
    <w:basedOn w:val="DefaultParagraphFont"/>
    <w:link w:val="9"/>
    <w:semiHidden/>
    <w:qFormat/>
    <w:rsid w:val="006139be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Style13" w:customStyle="1">
    <w:name w:val="Основной текст Знак"/>
    <w:basedOn w:val="DefaultParagraphFont"/>
    <w:qFormat/>
    <w:rsid w:val="00820081"/>
    <w:rPr>
      <w:sz w:val="24"/>
    </w:rPr>
  </w:style>
  <w:style w:type="character" w:styleId="ListLabel1" w:customStyle="1">
    <w:name w:val="ListLabel 1"/>
    <w:qFormat/>
    <w:rPr>
      <w:b/>
      <w:i w:val="false"/>
    </w:rPr>
  </w:style>
  <w:style w:type="character" w:styleId="ListLabel2" w:customStyle="1">
    <w:name w:val="ListLabel 2"/>
    <w:qFormat/>
    <w:rPr>
      <w:b/>
    </w:rPr>
  </w:style>
  <w:style w:type="character" w:styleId="ListLabel3" w:customStyle="1">
    <w:name w:val="ListLabel 3"/>
    <w:qFormat/>
    <w:rPr>
      <w:b/>
      <w:sz w:val="20"/>
      <w:szCs w:val="20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b/>
    </w:rPr>
  </w:style>
  <w:style w:type="character" w:styleId="ListLabel14" w:customStyle="1">
    <w:name w:val="ListLabel 14"/>
    <w:qFormat/>
    <w:rPr>
      <w:b/>
      <w:sz w:val="22"/>
      <w:szCs w:val="22"/>
    </w:rPr>
  </w:style>
  <w:style w:type="character" w:styleId="ListLabel15" w:customStyle="1">
    <w:name w:val="ListLabel 15"/>
    <w:qFormat/>
    <w:rPr>
      <w:b/>
      <w:color w:val="00000A"/>
      <w:sz w:val="22"/>
    </w:rPr>
  </w:style>
  <w:style w:type="character" w:styleId="ListLabel16" w:customStyle="1">
    <w:name w:val="ListLabel 16"/>
    <w:qFormat/>
    <w:rPr>
      <w:b/>
      <w:sz w:val="22"/>
    </w:rPr>
  </w:style>
  <w:style w:type="character" w:styleId="ListLabel17" w:customStyle="1">
    <w:name w:val="ListLabel 17"/>
    <w:qFormat/>
    <w:rPr>
      <w:color w:val="00000A"/>
      <w:sz w:val="22"/>
    </w:rPr>
  </w:style>
  <w:style w:type="character" w:styleId="ListLabel18" w:customStyle="1">
    <w:name w:val="ListLabel 18"/>
    <w:qFormat/>
    <w:rPr>
      <w:b/>
      <w:sz w:val="20"/>
      <w:szCs w:val="20"/>
    </w:rPr>
  </w:style>
  <w:style w:type="character" w:styleId="ListLabel19" w:customStyle="1">
    <w:name w:val="ListLabel 19"/>
    <w:qFormat/>
    <w:rPr>
      <w:b/>
    </w:rPr>
  </w:style>
  <w:style w:type="character" w:styleId="ListLabel20" w:customStyle="1">
    <w:name w:val="ListLabel 20"/>
    <w:qFormat/>
    <w:rPr>
      <w:b/>
    </w:rPr>
  </w:style>
  <w:style w:type="character" w:styleId="ListLabel21" w:customStyle="1">
    <w:name w:val="ListLabel 21"/>
    <w:qFormat/>
    <w:rPr>
      <w:b/>
      <w:i w:val="false"/>
    </w:rPr>
  </w:style>
  <w:style w:type="character" w:styleId="ListLabel22" w:customStyle="1">
    <w:name w:val="ListLabel 22"/>
    <w:qFormat/>
    <w:rPr>
      <w:b/>
    </w:rPr>
  </w:style>
  <w:style w:type="character" w:styleId="ListLabel23" w:customStyle="1">
    <w:name w:val="ListLabel 23"/>
    <w:qFormat/>
    <w:rPr>
      <w:b/>
      <w:sz w:val="22"/>
    </w:rPr>
  </w:style>
  <w:style w:type="character" w:styleId="ListLabel24" w:customStyle="1">
    <w:name w:val="ListLabel 24"/>
    <w:qFormat/>
    <w:rPr>
      <w:rFonts w:cs="Courier New"/>
    </w:rPr>
  </w:style>
  <w:style w:type="character" w:styleId="ListLabel25" w:customStyle="1">
    <w:name w:val="ListLabel 25"/>
    <w:qFormat/>
    <w:rPr>
      <w:rFonts w:cs="Courier New"/>
    </w:rPr>
  </w:style>
  <w:style w:type="character" w:styleId="ListLabel26" w:customStyle="1">
    <w:name w:val="ListLabel 26"/>
    <w:qFormat/>
    <w:rPr>
      <w:rFonts w:cs="Courier New"/>
    </w:rPr>
  </w:style>
  <w:style w:type="character" w:styleId="ListLabel27" w:customStyle="1">
    <w:name w:val="ListLabel 27"/>
    <w:qFormat/>
    <w:rPr>
      <w:rFonts w:cs="Courier New"/>
    </w:rPr>
  </w:style>
  <w:style w:type="character" w:styleId="ListLabel28" w:customStyle="1">
    <w:name w:val="ListLabel 28"/>
    <w:qFormat/>
    <w:rPr>
      <w:rFonts w:cs="Courier New"/>
    </w:rPr>
  </w:style>
  <w:style w:type="character" w:styleId="ListLabel29" w:customStyle="1">
    <w:name w:val="ListLabel 29"/>
    <w:qFormat/>
    <w:rPr>
      <w:rFonts w:cs="Courier New"/>
    </w:rPr>
  </w:style>
  <w:style w:type="character" w:styleId="ListLabel30" w:customStyle="1">
    <w:name w:val="ListLabel 30"/>
    <w:qFormat/>
    <w:rPr>
      <w:b/>
      <w:position w:val="0"/>
      <w:sz w:val="20"/>
      <w:sz w:val="20"/>
      <w:vertAlign w:val="baseline"/>
    </w:rPr>
  </w:style>
  <w:style w:type="character" w:styleId="ListLabel31" w:customStyle="1">
    <w:name w:val="ListLabel 31"/>
    <w:qFormat/>
    <w:rPr>
      <w:b/>
      <w:sz w:val="20"/>
      <w:szCs w:val="20"/>
    </w:rPr>
  </w:style>
  <w:style w:type="character" w:styleId="ListLabel32" w:customStyle="1">
    <w:name w:val="ListLabel 32"/>
    <w:qFormat/>
    <w:rPr>
      <w:b/>
      <w:sz w:val="20"/>
      <w:szCs w:val="20"/>
    </w:rPr>
  </w:style>
  <w:style w:type="character" w:styleId="ListLabel33" w:customStyle="1">
    <w:name w:val="ListLabel 33"/>
    <w:qFormat/>
    <w:rPr>
      <w:b/>
    </w:rPr>
  </w:style>
  <w:style w:type="character" w:styleId="ListLabel34" w:customStyle="1">
    <w:name w:val="ListLabel 34"/>
    <w:qFormat/>
    <w:rPr>
      <w:b/>
      <w:sz w:val="20"/>
      <w:szCs w:val="20"/>
    </w:rPr>
  </w:style>
  <w:style w:type="character" w:styleId="ListLabel35" w:customStyle="1">
    <w:name w:val="ListLabel 35"/>
    <w:qFormat/>
    <w:rPr>
      <w:color w:val="FFFFFF"/>
    </w:rPr>
  </w:style>
  <w:style w:type="character" w:styleId="ListLabel36" w:customStyle="1">
    <w:name w:val="ListLabel 36"/>
    <w:qFormat/>
    <w:rPr>
      <w:b/>
    </w:rPr>
  </w:style>
  <w:style w:type="character" w:styleId="ListLabel37" w:customStyle="1">
    <w:name w:val="ListLabel 37"/>
    <w:qFormat/>
    <w:rPr>
      <w:b/>
      <w:sz w:val="20"/>
      <w:szCs w:val="20"/>
    </w:rPr>
  </w:style>
  <w:style w:type="character" w:styleId="ListLabel38" w:customStyle="1">
    <w:name w:val="ListLabel 38"/>
    <w:qFormat/>
    <w:rPr>
      <w:b/>
    </w:rPr>
  </w:style>
  <w:style w:type="character" w:styleId="Style14" w:customStyle="1">
    <w:name w:val="Посещённая гиперссылка"/>
    <w:qFormat/>
    <w:rPr>
      <w:color w:val="800000"/>
      <w:u w:val="single"/>
    </w:rPr>
  </w:style>
  <w:style w:type="character" w:styleId="Style15" w:customStyle="1">
    <w:name w:val="Символ нумерации"/>
    <w:qFormat/>
    <w:rPr/>
  </w:style>
  <w:style w:type="character" w:styleId="ListLabel39">
    <w:name w:val="ListLabel 39"/>
    <w:qFormat/>
    <w:rPr>
      <w:b/>
      <w:sz w:val="20"/>
      <w:szCs w:val="20"/>
    </w:rPr>
  </w:style>
  <w:style w:type="character" w:styleId="ListLabel40">
    <w:name w:val="ListLabel 40"/>
    <w:qFormat/>
    <w:rPr>
      <w:b/>
      <w:sz w:val="22"/>
      <w:szCs w:val="22"/>
    </w:rPr>
  </w:style>
  <w:style w:type="character" w:styleId="ListLabel41">
    <w:name w:val="ListLabel 41"/>
    <w:qFormat/>
    <w:rPr>
      <w:b/>
      <w:color w:val="00000A"/>
      <w:sz w:val="22"/>
    </w:rPr>
  </w:style>
  <w:style w:type="character" w:styleId="ListLabel42">
    <w:name w:val="ListLabel 42"/>
    <w:qFormat/>
    <w:rPr>
      <w:b/>
      <w:sz w:val="22"/>
    </w:rPr>
  </w:style>
  <w:style w:type="character" w:styleId="ListLabel43">
    <w:name w:val="ListLabel 43"/>
    <w:qFormat/>
    <w:rPr>
      <w:color w:val="00000A"/>
      <w:sz w:val="22"/>
    </w:rPr>
  </w:style>
  <w:style w:type="character" w:styleId="ListLabel44">
    <w:name w:val="ListLabel 44"/>
    <w:qFormat/>
    <w:rPr>
      <w:b/>
      <w:sz w:val="22"/>
    </w:rPr>
  </w:style>
  <w:style w:type="character" w:styleId="ListLabel45">
    <w:name w:val="ListLabel 45"/>
    <w:qFormat/>
    <w:rPr>
      <w:b/>
      <w:position w:val="0"/>
      <w:sz w:val="20"/>
      <w:sz w:val="20"/>
      <w:vertAlign w:val="baseline"/>
    </w:rPr>
  </w:style>
  <w:style w:type="character" w:styleId="ListLabel46">
    <w:name w:val="ListLabel 46"/>
    <w:qFormat/>
    <w:rPr>
      <w:b/>
      <w:sz w:val="22"/>
      <w:szCs w:val="20"/>
    </w:rPr>
  </w:style>
  <w:style w:type="character" w:styleId="ListLabel47">
    <w:name w:val="ListLabel 47"/>
    <w:qFormat/>
    <w:rPr>
      <w:b w:val="false"/>
    </w:rPr>
  </w:style>
  <w:style w:type="character" w:styleId="ListLabel48">
    <w:name w:val="ListLabel 48"/>
    <w:qFormat/>
    <w:rPr>
      <w:b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7">
    <w:name w:val="Body Text"/>
    <w:basedOn w:val="Normal"/>
    <w:rsid w:val="0016533c"/>
    <w:pPr/>
    <w:rPr>
      <w:sz w:val="24"/>
    </w:rPr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Style21">
    <w:name w:val="Title"/>
    <w:basedOn w:val="Normal"/>
    <w:qFormat/>
    <w:rsid w:val="005861ca"/>
    <w:pPr>
      <w:jc w:val="center"/>
    </w:pPr>
    <w:rPr>
      <w:b/>
      <w:bCs/>
      <w:sz w:val="22"/>
      <w:szCs w:val="22"/>
    </w:rPr>
  </w:style>
  <w:style w:type="paragraph" w:styleId="Caption">
    <w:name w:val="caption"/>
    <w:basedOn w:val="Normal"/>
    <w:qFormat/>
    <w:rsid w:val="0016533c"/>
    <w:pPr/>
    <w:rPr>
      <w:b/>
      <w:bCs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22">
    <w:name w:val="Header"/>
    <w:basedOn w:val="Normal"/>
    <w:rsid w:val="0016533c"/>
    <w:pPr>
      <w:tabs>
        <w:tab w:val="center" w:pos="4153" w:leader="none"/>
        <w:tab w:val="right" w:pos="8306" w:leader="none"/>
      </w:tabs>
    </w:pPr>
    <w:rPr/>
  </w:style>
  <w:style w:type="paragraph" w:styleId="Style23">
    <w:name w:val="Footer"/>
    <w:basedOn w:val="Normal"/>
    <w:uiPriority w:val="99"/>
    <w:rsid w:val="0016533c"/>
    <w:pPr>
      <w:tabs>
        <w:tab w:val="center" w:pos="4153" w:leader="none"/>
        <w:tab w:val="right" w:pos="8306" w:leader="none"/>
      </w:tabs>
    </w:pPr>
    <w:rPr/>
  </w:style>
  <w:style w:type="paragraph" w:styleId="Style24">
    <w:name w:val="Body Text Indent"/>
    <w:basedOn w:val="Normal"/>
    <w:rsid w:val="0016533c"/>
    <w:pPr>
      <w:ind w:left="6096" w:firstLine="357"/>
    </w:pPr>
    <w:rPr>
      <w:rFonts w:ascii="Arial" w:hAnsi="Arial"/>
    </w:rPr>
  </w:style>
  <w:style w:type="paragraph" w:styleId="MessageHeader">
    <w:name w:val="Message Header"/>
    <w:basedOn w:val="Style17"/>
    <w:qFormat/>
    <w:rsid w:val="0016533c"/>
    <w:pPr>
      <w:keepLines/>
      <w:spacing w:lineRule="atLeast" w:line="415"/>
      <w:ind w:left="1985" w:right="-360" w:hanging="1145"/>
      <w:jc w:val="left"/>
    </w:pPr>
    <w:rPr>
      <w:sz w:val="20"/>
    </w:rPr>
  </w:style>
  <w:style w:type="paragraph" w:styleId="BodyTextIndent2">
    <w:name w:val="Body Text Indent 2"/>
    <w:basedOn w:val="Normal"/>
    <w:qFormat/>
    <w:rsid w:val="00c84986"/>
    <w:pPr>
      <w:spacing w:lineRule="auto" w:line="480" w:before="0" w:after="120"/>
      <w:ind w:left="283" w:firstLine="357"/>
    </w:pPr>
    <w:rPr>
      <w:sz w:val="24"/>
      <w:szCs w:val="24"/>
    </w:rPr>
  </w:style>
  <w:style w:type="paragraph" w:styleId="PlainText">
    <w:name w:val="Plain Text"/>
    <w:basedOn w:val="Normal"/>
    <w:qFormat/>
    <w:rsid w:val="006d5ed5"/>
    <w:pPr/>
    <w:rPr>
      <w:rFonts w:ascii="Courier New" w:hAnsi="Courier New" w:cs="Courier New"/>
    </w:rPr>
  </w:style>
  <w:style w:type="paragraph" w:styleId="BalloonText">
    <w:name w:val="Balloon Text"/>
    <w:basedOn w:val="Normal"/>
    <w:semiHidden/>
    <w:qFormat/>
    <w:rsid w:val="00b85c86"/>
    <w:pPr/>
    <w:rPr>
      <w:rFonts w:ascii="Tahoma" w:hAnsi="Tahoma" w:cs="Tahoma"/>
      <w:sz w:val="16"/>
      <w:szCs w:val="16"/>
    </w:rPr>
  </w:style>
  <w:style w:type="paragraph" w:styleId="14" w:customStyle="1">
    <w:name w:val="Стиль1_св-ва документа"/>
    <w:basedOn w:val="4"/>
    <w:qFormat/>
    <w:rsid w:val="00f26e59"/>
    <w:pPr>
      <w:numPr>
        <w:ilvl w:val="0"/>
        <w:numId w:val="0"/>
      </w:numPr>
      <w:ind w:left="-13" w:firstLine="357"/>
      <w:jc w:val="both"/>
    </w:pPr>
    <w:rPr>
      <w:rFonts w:ascii="Times New Roman" w:hAnsi="Times New Roman"/>
      <w:bCs/>
      <w:sz w:val="25"/>
      <w:szCs w:val="25"/>
    </w:rPr>
  </w:style>
  <w:style w:type="paragraph" w:styleId="1251" w:customStyle="1">
    <w:name w:val="Обычный125Жир"/>
    <w:basedOn w:val="Normal"/>
    <w:qFormat/>
    <w:rsid w:val="003c61f8"/>
    <w:pPr>
      <w:keepNext w:val="true"/>
      <w:ind w:left="-13" w:hanging="0"/>
      <w:jc w:val="left"/>
      <w:outlineLvl w:val="3"/>
    </w:pPr>
    <w:rPr>
      <w:b/>
      <w:bCs/>
      <w:color w:val="0000FF"/>
      <w:sz w:val="25"/>
      <w:szCs w:val="25"/>
    </w:rPr>
  </w:style>
  <w:style w:type="paragraph" w:styleId="121" w:customStyle="1">
    <w:name w:val="Об12жир"/>
    <w:basedOn w:val="Normal"/>
    <w:qFormat/>
    <w:rsid w:val="003c61f8"/>
    <w:pPr>
      <w:ind w:left="0" w:hanging="0"/>
    </w:pPr>
    <w:rPr>
      <w:b/>
      <w:bCs/>
      <w:color w:val="0000FF"/>
      <w:sz w:val="24"/>
      <w:szCs w:val="24"/>
    </w:rPr>
  </w:style>
  <w:style w:type="paragraph" w:styleId="131" w:customStyle="1">
    <w:name w:val="Об_13_Жир"/>
    <w:basedOn w:val="Normal"/>
    <w:qFormat/>
    <w:rsid w:val="003c61f8"/>
    <w:pPr>
      <w:spacing w:before="120" w:after="120"/>
      <w:ind w:left="0" w:firstLine="357"/>
    </w:pPr>
    <w:rPr>
      <w:b/>
      <w:color w:val="0000FF"/>
      <w:sz w:val="26"/>
      <w:szCs w:val="26"/>
    </w:rPr>
  </w:style>
  <w:style w:type="paragraph" w:styleId="103" w:customStyle="1">
    <w:name w:val="ТР_10_Жир"/>
    <w:basedOn w:val="Normal"/>
    <w:link w:val="101"/>
    <w:qFormat/>
    <w:rsid w:val="003c61f8"/>
    <w:pPr>
      <w:ind w:left="0" w:hanging="0"/>
      <w:jc w:val="left"/>
    </w:pPr>
    <w:rPr>
      <w:b/>
      <w:color w:val="0000FF"/>
    </w:rPr>
  </w:style>
  <w:style w:type="paragraph" w:styleId="104" w:customStyle="1">
    <w:name w:val="ТР_10"/>
    <w:basedOn w:val="Normal"/>
    <w:link w:val="104"/>
    <w:qFormat/>
    <w:rsid w:val="003c61f8"/>
    <w:pPr>
      <w:ind w:left="0" w:hanging="0"/>
      <w:jc w:val="left"/>
    </w:pPr>
    <w:rPr>
      <w:color w:val="0000FF"/>
    </w:rPr>
  </w:style>
  <w:style w:type="paragraph" w:styleId="105" w:customStyle="1">
    <w:name w:val="Тр_10_Жир"/>
    <w:basedOn w:val="BodyTextIndent2"/>
    <w:link w:val="103"/>
    <w:qFormat/>
    <w:rsid w:val="008910fe"/>
    <w:pPr>
      <w:spacing w:lineRule="auto" w:line="240" w:before="120" w:after="120"/>
      <w:ind w:left="0" w:hanging="0"/>
      <w:jc w:val="center"/>
    </w:pPr>
    <w:rPr>
      <w:b/>
      <w:color w:val="3333FF"/>
      <w:sz w:val="20"/>
      <w:szCs w:val="20"/>
    </w:rPr>
  </w:style>
  <w:style w:type="paragraph" w:styleId="Annotationtext">
    <w:name w:val="annotation text"/>
    <w:basedOn w:val="Normal"/>
    <w:qFormat/>
    <w:rsid w:val="00d7157a"/>
    <w:pPr/>
    <w:rPr/>
  </w:style>
  <w:style w:type="paragraph" w:styleId="Annotationsubject">
    <w:name w:val="annotation subject"/>
    <w:basedOn w:val="Annotationtext"/>
    <w:qFormat/>
    <w:rsid w:val="00d7157a"/>
    <w:pPr/>
    <w:rPr>
      <w:b/>
      <w:bCs/>
    </w:rPr>
  </w:style>
  <w:style w:type="paragraph" w:styleId="ListParagraph">
    <w:name w:val="List Paragraph"/>
    <w:basedOn w:val="Normal"/>
    <w:uiPriority w:val="34"/>
    <w:qFormat/>
    <w:rsid w:val="00d7157a"/>
    <w:pPr>
      <w:spacing w:before="0" w:after="0"/>
      <w:ind w:left="720" w:firstLine="357"/>
      <w:contextualSpacing/>
    </w:pPr>
    <w:rPr/>
  </w:style>
  <w:style w:type="paragraph" w:styleId="BodyText2">
    <w:name w:val="Body Text 2"/>
    <w:basedOn w:val="Normal"/>
    <w:qFormat/>
    <w:rsid w:val="00d7157a"/>
    <w:pPr>
      <w:spacing w:lineRule="auto" w:line="480" w:before="0" w:after="120"/>
      <w:ind w:left="0" w:hanging="0"/>
      <w:jc w:val="left"/>
    </w:pPr>
    <w:rPr>
      <w:sz w:val="24"/>
      <w:szCs w:val="24"/>
    </w:rPr>
  </w:style>
  <w:style w:type="paragraph" w:styleId="ConsPlusNormal" w:customStyle="1">
    <w:name w:val="ConsPlusNormal"/>
    <w:qFormat/>
    <w:rsid w:val="00d7157a"/>
    <w:pPr>
      <w:widowControl/>
      <w:bidi w:val="0"/>
      <w:ind w:firstLine="720"/>
      <w:jc w:val="left"/>
    </w:pPr>
    <w:rPr>
      <w:rFonts w:ascii="Arial" w:hAnsi="Arial" w:cs="Arial" w:eastAsia="Times New Roman"/>
      <w:color w:val="auto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d7157a"/>
    <w:pPr>
      <w:widowControl/>
      <w:bidi w:val="0"/>
      <w:jc w:val="left"/>
    </w:pPr>
    <w:rPr>
      <w:rFonts w:ascii="Courier New" w:hAnsi="Courier New" w:cs="Courier New" w:eastAsia="Times New Roman"/>
      <w:color w:val="auto"/>
      <w:sz w:val="20"/>
      <w:szCs w:val="20"/>
      <w:lang w:val="ru-RU" w:eastAsia="ru-RU" w:bidi="ar-SA"/>
    </w:rPr>
  </w:style>
  <w:style w:type="paragraph" w:styleId="F9E977197262459AB16AE09F8A4F0155" w:customStyle="1">
    <w:name w:val="F9E977197262459AB16AE09F8A4F0155"/>
    <w:qFormat/>
    <w:rsid w:val="00d7157a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sz w:val="22"/>
      <w:szCs w:val="22"/>
      <w:lang w:val="ru-RU" w:eastAsia="ru-RU" w:bidi="ar-SA"/>
    </w:rPr>
  </w:style>
  <w:style w:type="paragraph" w:styleId="Style25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5" w:customStyle="1">
    <w:name w:val="Нет списка1"/>
    <w:semiHidden/>
    <w:qFormat/>
    <w:rsid w:val="00d7157a"/>
  </w:style>
  <w:style w:type="numbering" w:styleId="111" w:customStyle="1">
    <w:name w:val="Нет списка11"/>
    <w:uiPriority w:val="99"/>
    <w:semiHidden/>
    <w:unhideWhenUsed/>
    <w:qFormat/>
    <w:rsid w:val="00d7157a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rsid w:val="005861c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ref=376DA00A4A2B58C618693F50FE34346DED310CC413F483D98C22E3577C474177B0118598C80B819D35JDF" TargetMode="External"/><Relationship Id="rId4" Type="http://schemas.openxmlformats.org/officeDocument/2006/relationships/hyperlink" Target="http://www.kamenergo.ru/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https://rsosiluet.ru/" TargetMode="External"/><Relationship Id="rId9" Type="http://schemas.openxmlformats.org/officeDocument/2006/relationships/hyperlink" Target="https://teskpk.ru/" TargetMode="External"/><Relationship Id="rId10" Type="http://schemas.openxmlformats.org/officeDocument/2006/relationships/hyperlink" Target="https://teskpk.ru/" TargetMode="External"/><Relationship Id="rId11" Type="http://schemas.openxmlformats.org/officeDocument/2006/relationships/hyperlink" Target="https://teskpk.ru/" TargetMode="External"/><Relationship Id="rId12" Type="http://schemas.openxmlformats.org/officeDocument/2006/relationships/hyperlink" Target="https://41-es.ru/" TargetMode="External"/><Relationship Id="rId13" Type="http://schemas.openxmlformats.org/officeDocument/2006/relationships/hyperlink" Target="https://aleir-kamchatka.ru/" TargetMode="External"/><Relationship Id="rId14" Type="http://schemas.openxmlformats.org/officeDocument/2006/relationships/hyperlink" Target="http://port.kamchatka.ru/" TargetMode="External"/><Relationship Id="rId15" Type="http://schemas.openxmlformats.org/officeDocument/2006/relationships/hyperlink" Target="http://28elset.ru/about" TargetMode="External"/><Relationship Id="rId16" Type="http://schemas.openxmlformats.org/officeDocument/2006/relationships/hyperlink" Target="tel:+74152466682" TargetMode="External"/><Relationship Id="rId17" Type="http://schemas.openxmlformats.org/officeDocument/2006/relationships/hyperlink" Target="http://seroglazka.com/" TargetMode="External"/><Relationship Id="rId18" Type="http://schemas.openxmlformats.org/officeDocument/2006/relationships/hyperlink" Target="https://mktranskam.ru/" TargetMode="External"/><Relationship Id="rId19" Type="http://schemas.openxmlformats.org/officeDocument/2006/relationships/hyperlink" Target="https://kek41.ru/" TargetMode="External"/><Relationship Id="rId20" Type="http://schemas.openxmlformats.org/officeDocument/2006/relationships/hyperlink" Target="https://oceangas.ru/" TargetMode="External"/><Relationship Id="rId21" Type="http://schemas.openxmlformats.org/officeDocument/2006/relationships/hyperlink" Target="http://intarsia.nethouse.ru/" TargetMode="External"/><Relationship Id="rId22" Type="http://schemas.openxmlformats.org/officeDocument/2006/relationships/hyperlink" Target="http://protoktp.ru/" TargetMode="External"/><Relationship Id="rId23" Type="http://schemas.openxmlformats.org/officeDocument/2006/relationships/hyperlink" Target="https://targeten.ru/" TargetMode="External"/><Relationship Id="rId24" Type="http://schemas.openxmlformats.org/officeDocument/2006/relationships/footer" Target="footer4.xml"/><Relationship Id="rId25" Type="http://schemas.openxmlformats.org/officeDocument/2006/relationships/numbering" Target="numbering.xml"/><Relationship Id="rId26" Type="http://schemas.openxmlformats.org/officeDocument/2006/relationships/fontTable" Target="fontTable.xml"/><Relationship Id="rId27" Type="http://schemas.openxmlformats.org/officeDocument/2006/relationships/settings" Target="settings.xml"/><Relationship Id="rId28" Type="http://schemas.openxmlformats.org/officeDocument/2006/relationships/theme" Target="theme/theme1.xml"/><Relationship Id="rId2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D4D2D-8294-4149-B5BC-861A73F0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LibreOffice/5.3.6.1$Linux_X86_64 LibreOffice_project/30$Build-1</Application>
  <Pages>24</Pages>
  <Words>8292</Words>
  <Characters>62566</Characters>
  <CharactersWithSpaces>71923</CharactersWithSpaces>
  <Paragraphs>528</Paragraphs>
  <Company>LENENERGO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2023-02-09T03:37:00Z</dcterms:created>
  <dc:creator>Порошина Ольга Венедиктовна</dc:creator>
  <dc:description/>
  <dc:language>ru-RU</dc:language>
  <cp:lastModifiedBy/>
  <cp:lastPrinted>2020-06-10T06:12:00Z</cp:lastPrinted>
  <dcterms:modified xsi:type="dcterms:W3CDTF">2025-07-14T16:17:48Z</dcterms:modified>
  <cp:revision>10</cp:revision>
  <dc:subject/>
  <dc:title>ПРИЛОЖЕНИЕ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ountName">
    <vt:lpwstr>@@AccountName</vt:lpwstr>
  </property>
  <property fmtid="{D5CDD505-2E9C-101B-9397-08002B2CF9AE}" pid="3" name="AccountNum">
    <vt:lpwstr>@@AccountNum</vt:lpwstr>
  </property>
  <property fmtid="{D5CDD505-2E9C-101B-9397-08002B2CF9AE}" pid="4" name="Account_W">
    <vt:lpwstr>@@Account_W</vt:lpwstr>
  </property>
  <property fmtid="{D5CDD505-2E9C-101B-9397-08002B2CF9AE}" pid="5" name="AdressAbonent">
    <vt:lpwstr>@@AdressAbonent</vt:lpwstr>
  </property>
  <property fmtid="{D5CDD505-2E9C-101B-9397-08002B2CF9AE}" pid="6" name="AppVersion">
    <vt:lpwstr>16.0000</vt:lpwstr>
  </property>
  <property fmtid="{D5CDD505-2E9C-101B-9397-08002B2CF9AE}" pid="7" name="Company">
    <vt:lpwstr>LENENERGO</vt:lpwstr>
  </property>
  <property fmtid="{D5CDD505-2E9C-101B-9397-08002B2CF9AE}" pid="8" name="DateContact">
    <vt:lpwstr>@@DateContact</vt:lpwstr>
  </property>
  <property fmtid="{D5CDD505-2E9C-101B-9397-08002B2CF9AE}" pid="9" name="DirectName">
    <vt:lpwstr>@@DirectName</vt:lpwstr>
  </property>
  <property fmtid="{D5CDD505-2E9C-101B-9397-08002B2CF9AE}" pid="10" name="DirectNameRP">
    <vt:lpwstr>@@DirectNameRP</vt:lpwstr>
  </property>
  <property fmtid="{D5CDD505-2E9C-101B-9397-08002B2CF9AE}" pid="11" name="DocSecurity">
    <vt:i4>0</vt:i4>
  </property>
  <property fmtid="{D5CDD505-2E9C-101B-9397-08002B2CF9AE}" pid="12" name="DocumentInformation">
    <vt:lpwstr>@@DocumentInformation</vt:lpwstr>
  </property>
  <property fmtid="{D5CDD505-2E9C-101B-9397-08002B2CF9AE}" pid="13" name="Email">
    <vt:lpwstr>@@Email</vt:lpwstr>
  </property>
  <property fmtid="{D5CDD505-2E9C-101B-9397-08002B2CF9AE}" pid="14" name="FirstName">
    <vt:lpwstr>@@FirstName</vt:lpwstr>
  </property>
  <property fmtid="{D5CDD505-2E9C-101B-9397-08002B2CF9AE}" pid="15" name="GroupId">
    <vt:lpwstr>@@GroupId</vt:lpwstr>
  </property>
  <property fmtid="{D5CDD505-2E9C-101B-9397-08002B2CF9AE}" pid="16" name="HyperlinksChanged">
    <vt:bool>0</vt:bool>
  </property>
  <property fmtid="{D5CDD505-2E9C-101B-9397-08002B2CF9AE}" pid="17" name="INN">
    <vt:lpwstr>@@INN</vt:lpwstr>
  </property>
  <property fmtid="{D5CDD505-2E9C-101B-9397-08002B2CF9AE}" pid="18" name="KPP">
    <vt:lpwstr>@@KPP</vt:lpwstr>
  </property>
  <property fmtid="{D5CDD505-2E9C-101B-9397-08002B2CF9AE}" pid="19" name="LinksUpToDate">
    <vt:bool>0</vt:bool>
  </property>
  <property fmtid="{D5CDD505-2E9C-101B-9397-08002B2CF9AE}" pid="20" name="MiddleName">
    <vt:lpwstr>@@MiddleName</vt:lpwstr>
  </property>
  <property fmtid="{D5CDD505-2E9C-101B-9397-08002B2CF9AE}" pid="21" name="NContract">
    <vt:lpwstr>@@NContract</vt:lpwstr>
  </property>
  <property fmtid="{D5CDD505-2E9C-101B-9397-08002B2CF9AE}" pid="22" name="NDS">
    <vt:lpwstr>@@NDS</vt:lpwstr>
  </property>
  <property fmtid="{D5CDD505-2E9C-101B-9397-08002B2CF9AE}" pid="23" name="NameAbonent">
    <vt:lpwstr>@@NameAbonent</vt:lpwstr>
  </property>
  <property fmtid="{D5CDD505-2E9C-101B-9397-08002B2CF9AE}" pid="24" name="NameDirectAbonent">
    <vt:lpwstr>@@NameDirectAbonent</vt:lpwstr>
  </property>
  <property fmtid="{D5CDD505-2E9C-101B-9397-08002B2CF9AE}" pid="25" name="OGRN">
    <vt:lpwstr>@@OGRN</vt:lpwstr>
  </property>
  <property fmtid="{D5CDD505-2E9C-101B-9397-08002B2CF9AE}" pid="26" name="OKATO">
    <vt:lpwstr>@@OKATO</vt:lpwstr>
  </property>
  <property fmtid="{D5CDD505-2E9C-101B-9397-08002B2CF9AE}" pid="27" name="OKPO">
    <vt:lpwstr>@@OKPO</vt:lpwstr>
  </property>
  <property fmtid="{D5CDD505-2E9C-101B-9397-08002B2CF9AE}" pid="28" name="OKVED">
    <vt:lpwstr>@@OKVED</vt:lpwstr>
  </property>
  <property fmtid="{D5CDD505-2E9C-101B-9397-08002B2CF9AE}" pid="29" name="PostIP">
    <vt:lpwstr>@@PostIP</vt:lpwstr>
  </property>
  <property fmtid="{D5CDD505-2E9C-101B-9397-08002B2CF9AE}" pid="30" name="PostRP">
    <vt:lpwstr>@@PostRP</vt:lpwstr>
  </property>
  <property fmtid="{D5CDD505-2E9C-101B-9397-08002B2CF9AE}" pid="31" name="ScaleCrop">
    <vt:bool>0</vt:bool>
  </property>
  <property fmtid="{D5CDD505-2E9C-101B-9397-08002B2CF9AE}" pid="32" name="ShareDoc">
    <vt:bool>0</vt:bool>
  </property>
  <property fmtid="{D5CDD505-2E9C-101B-9397-08002B2CF9AE}" pid="33" name="Telephone">
    <vt:lpwstr>@@Telephone</vt:lpwstr>
  </property>
</Properties>
</file>