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jpeg" ContentType="image/jpeg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left" w:pos="16" w:leader="none"/>
        </w:tabs>
        <w:ind w:left="-13" w:hanging="0"/>
        <w:jc w:val="center"/>
        <w:outlineLvl w:val="3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/>
          <w:b/>
          <w:b/>
          <w:iCs/>
          <w:color w:val="0000FF"/>
        </w:rPr>
      </w:pPr>
      <w:r>
        <w:rPr/>
        <w:drawing>
          <wp:inline distT="0" distB="0" distL="0" distR="0">
            <wp:extent cx="2695575" cy="439420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0"/>
        <w:spacing w:lineRule="auto" w:line="240"/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Style20"/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ДОГОВОР ЭНЕРГОСНАБЖЕНИЯ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 xml:space="preserve">№ </w:t>
      </w: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___________</w:t>
      </w:r>
    </w:p>
    <w:p>
      <w:pPr>
        <w:pStyle w:val="Style20"/>
        <w:spacing w:lineRule="auto" w:line="24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20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 xml:space="preserve">г. Петропавловск-Камчатский                                                                        «    » ______________ ____ г. </w:t>
      </w:r>
    </w:p>
    <w:p>
      <w:pPr>
        <w:pStyle w:val="Style20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20"/>
        <w:spacing w:lineRule="auto" w:line="240"/>
        <w:ind w:firstLine="85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rFonts w:ascii="Times New Roman" w:hAnsi="Times New Roman"/>
          <w:sz w:val="22"/>
          <w:szCs w:val="22"/>
        </w:rPr>
        <w:t xml:space="preserve">, именуемое в дальнейшем </w:t>
      </w:r>
      <w:r>
        <w:rPr>
          <w:rFonts w:ascii="Times New Roman" w:hAnsi="Times New Roman"/>
          <w:b/>
          <w:sz w:val="22"/>
          <w:szCs w:val="22"/>
        </w:rPr>
        <w:t>«Гарантирующий поставщик»</w:t>
      </w:r>
      <w:r>
        <w:rPr>
          <w:rFonts w:ascii="Times New Roman" w:hAnsi="Times New Roman"/>
          <w:sz w:val="22"/>
          <w:szCs w:val="22"/>
        </w:rPr>
        <w:t xml:space="preserve">, в лице </w:t>
      </w:r>
      <w:r>
        <w:rPr>
          <w:rFonts w:ascii="Times New Roman" w:hAnsi="Times New Roman"/>
          <w:color w:val="000000"/>
          <w:sz w:val="22"/>
          <w:szCs w:val="22"/>
        </w:rPr>
        <w:t>в лице __________________________________________________________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филиала ПАО «Дальневосточная энергетическая компания» «Камчатскэнергосбыт» _____________________________________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, действующей на основании </w:t>
      </w:r>
      <w:r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>_______________________________</w:t>
      </w:r>
      <w:r>
        <w:rPr>
          <w:rFonts w:ascii="Times New Roman" w:hAnsi="Times New Roman"/>
          <w:sz w:val="22"/>
          <w:szCs w:val="22"/>
        </w:rPr>
        <w:t>, с одной стороны, и</w:t>
      </w:r>
    </w:p>
    <w:p>
      <w:pPr>
        <w:pStyle w:val="Style20"/>
        <w:spacing w:lineRule="auto" w:line="240"/>
        <w:ind w:firstLine="85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______________________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 xml:space="preserve">именуемое в дальнейшем </w:t>
      </w:r>
      <w:r>
        <w:rPr>
          <w:rFonts w:ascii="Times New Roman" w:hAnsi="Times New Roman"/>
          <w:b/>
          <w:iCs/>
          <w:sz w:val="22"/>
          <w:szCs w:val="22"/>
        </w:rPr>
        <w:t>«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Потребитель», </w:t>
      </w:r>
      <w:r>
        <w:rPr>
          <w:rFonts w:ascii="Times New Roman" w:hAnsi="Times New Roman"/>
          <w:iCs/>
          <w:sz w:val="22"/>
          <w:szCs w:val="22"/>
        </w:rPr>
        <w:t xml:space="preserve">в лице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>___________________________________</w:t>
      </w:r>
      <w:r>
        <w:rPr>
          <w:rFonts w:ascii="Times New Roman" w:hAnsi="Times New Roman"/>
          <w:b/>
          <w:iCs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 xml:space="preserve">действующего (-ей) на основании </w:t>
      </w:r>
      <w:r>
        <w:rPr>
          <w:rFonts w:ascii="Times New Roman" w:hAnsi="Times New Roman"/>
          <w:color w:val="0000FF"/>
          <w:sz w:val="22"/>
          <w:szCs w:val="22"/>
        </w:rPr>
        <w:t>____________________________________</w:t>
      </w:r>
      <w:r>
        <w:rPr>
          <w:rFonts w:ascii="Times New Roman" w:hAnsi="Times New Roman"/>
          <w:sz w:val="22"/>
          <w:szCs w:val="22"/>
        </w:rPr>
        <w:t xml:space="preserve">, с другой стороны, а вместе именуемые </w:t>
      </w:r>
      <w:r>
        <w:rPr>
          <w:rFonts w:ascii="Times New Roman" w:hAnsi="Times New Roman"/>
          <w:b/>
          <w:sz w:val="22"/>
          <w:szCs w:val="22"/>
        </w:rPr>
        <w:t>«Стороны»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 xml:space="preserve">на основании пункта 29 части 1 статьи 93 Федерального закона от 5 апреля 2013 № 44-ФЗ «О договорной системе в сфере закупок товаров, работ, услуг для обеспечения государственных и муниципальных нужд», </w:t>
      </w:r>
      <w:r>
        <w:rPr>
          <w:rFonts w:ascii="Times New Roman" w:hAnsi="Times New Roman"/>
          <w:sz w:val="22"/>
          <w:szCs w:val="22"/>
        </w:rPr>
        <w:t>заключили настоящий договор о нижеследующем:</w:t>
      </w:r>
    </w:p>
    <w:p>
      <w:pPr>
        <w:pStyle w:val="Style20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Normal"/>
        <w:numPr>
          <w:ilvl w:val="0"/>
          <w:numId w:val="1"/>
        </w:numPr>
        <w:tabs>
          <w:tab w:val="left" w:pos="0" w:leader="none"/>
        </w:tabs>
        <w:suppressAutoHyphens w:val="true"/>
        <w:spacing w:before="60" w:after="6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ПРЕДМЕТ ДОГОВОРА.</w:t>
      </w:r>
    </w:p>
    <w:p>
      <w:pPr>
        <w:pStyle w:val="Normal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 обязуется осуществлять продажу электрической энергии (мощности), а также самостоятельно или через привлеченных третьих лиц (в дальнейшем – Сетевая организация) оказывать услуги по передаче электрической энергии и услуги, оказание которых является неотъемлемой частью процесса поставки электрической энергии Потребителю, а Потребитель обязуется оплачивать приобретаемую электрическую энергию (мощность) и оказанные услуги.</w:t>
      </w:r>
    </w:p>
    <w:p>
      <w:pPr>
        <w:pStyle w:val="Normal"/>
        <w:numPr>
          <w:ilvl w:val="1"/>
          <w:numId w:val="2"/>
        </w:numPr>
        <w:tabs>
          <w:tab w:val="left" w:pos="709" w:leader="none"/>
          <w:tab w:val="left" w:pos="120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Точкой поставки по настоящему договору является место исполнения обязательств, используемое для определения объема взаимных обязательств сторон по договору, расположенное на границе балансовой принадлежности энергопринимающих устройств, определенной в Акте об осуществлении технологического присоединения и (или) Акте разграничения балансовой принадлежности электросетей (Приложение № 3), а до составления в установленном порядке Акта об осуществлении технологического присоединения и (или) Акта разграничения балансовой принадлежности электросетей - в точке присоединения энергопринимающего устройства (объекта электроэнергетики).</w:t>
      </w:r>
    </w:p>
    <w:p>
      <w:pPr>
        <w:pStyle w:val="Normal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Учет электрической энергии (мощности) по настоящему договору определяется на основании данных, полученных с использованием приборов учета в том числе входящих в состав измерительного комплекса (совокупности приборов учета и измерительных трансформаторов), систем учета и приборов учета электрической энергии, присоединенных к интеллектуальным системам учета электрической энергии (мощности) и иного оборудования, предназначенных для измерения объемов электрической энергии (мощности) в одной точке поставки (далее – ПУ) электрической энергии (Приложение № 1). В случаях, указанных в разделе 5 настоящего договора, определение объема электрической энергии определяется путем применения расчетных способов.</w:t>
      </w:r>
    </w:p>
    <w:p>
      <w:pPr>
        <w:pStyle w:val="Normal"/>
        <w:widowControl w:val="false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Данные, содержащиеся в Приложении № 1, могут быть изменены в течение действия настоящего договора. Изменение данных отражается в актах допуска ПУ в эксплуатацию и становится обязательным для Сторон с даты введения ПУ в эксплуатацию.</w:t>
      </w:r>
    </w:p>
    <w:p>
      <w:pPr>
        <w:pStyle w:val="ListParagraph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исполнении настоящего договора Стороны обязуются руководствоваться Гражданским кодексом РФ, федеральными законами и подзаконными нормативно-правовыми актами, регулирующими правоотношения в сфере энергоснабжения. В случае принятия нормативно-правовых актов, устанавливающих иной по сравнению с настоящим договором порядок организации отношений Сторон и (или) субъектов электроэнергетики, подлежат применению нормативно-правовые акты с даты их вступления в законную силу. </w:t>
      </w:r>
    </w:p>
    <w:p>
      <w:pPr>
        <w:pStyle w:val="ListParagraph"/>
        <w:numPr>
          <w:ilvl w:val="1"/>
          <w:numId w:val="2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заключении и исполнении договора допускается изменение существенных условий в соответствии с действующим законодательством РФ.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ЦЕНА ДОГОВОРА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Расчеты за </w:t>
      </w:r>
      <w:r>
        <w:rPr>
          <w:rFonts w:ascii="Times New Roman" w:hAnsi="Times New Roman"/>
          <w:sz w:val="22"/>
          <w:szCs w:val="22"/>
        </w:rPr>
        <w:t>электрическую энергию (мощность)</w:t>
      </w:r>
      <w:r>
        <w:rPr>
          <w:rFonts w:ascii="Times New Roman" w:hAnsi="Times New Roman"/>
          <w:iCs/>
          <w:sz w:val="22"/>
          <w:szCs w:val="22"/>
        </w:rPr>
        <w:t xml:space="preserve">, производятся по тарифам, установленным для Гарантирующего поставщика в порядке, определенном действующим законодательством Российской Федерации о государственном регулировании цен (тарифов), 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Изменение тарифов в период действия настоящего договора не требует его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переоформления. Величины тарифов доводятся до Потребителя специальным сообщением в средствах массовой информации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>
      <w:pPr>
        <w:pStyle w:val="Style20"/>
        <w:numPr>
          <w:ilvl w:val="1"/>
          <w:numId w:val="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Цена настоящего договора определяется </w:t>
      </w:r>
      <w:r>
        <w:rPr>
          <w:rFonts w:ascii="Times New Roman" w:hAnsi="Times New Roman"/>
          <w:sz w:val="22"/>
          <w:szCs w:val="22"/>
        </w:rPr>
        <w:t xml:space="preserve">исходя из доведенных лимитов бюджетных обязательств </w:t>
      </w:r>
      <w:r>
        <w:rPr>
          <w:rFonts w:ascii="Times New Roman" w:hAnsi="Times New Roman"/>
          <w:iCs/>
          <w:sz w:val="22"/>
          <w:szCs w:val="22"/>
        </w:rPr>
        <w:t>на соответствующий финансовый год. Цена настоящего договора указана в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Приложении № 2 «Цена договора», которое является неотъемлемой частью настоящего договора и может корректироваться в период всего срока действия настоящего договора на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 xml:space="preserve">основании письменного заявления Потребителя с подтверждением скорректированных лимитов бюджетных обязательств. </w:t>
      </w:r>
    </w:p>
    <w:p>
      <w:pPr>
        <w:pStyle w:val="Style2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left" w:pos="0" w:leader="none"/>
        </w:tabs>
        <w:suppressAutoHyphens w:val="true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ОБЯЗАННОСТИ И ПРАВА ГАРАНТИРУЮЩЕГО ПОСТАВЩИКА.</w:t>
      </w:r>
    </w:p>
    <w:p>
      <w:pPr>
        <w:pStyle w:val="ListParagraph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Гарантирующий поставщик обязуется:</w:t>
      </w:r>
    </w:p>
    <w:p>
      <w:pPr>
        <w:pStyle w:val="ListParagraph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Осуществлять продажу электрической энергии (мощности) в объеме и порядке, установленным настоящим договором, качество и параметры которой должны соответствовать техническим регламентам и иным обязательным требованиям. </w:t>
      </w:r>
    </w:p>
    <w:p>
      <w:pPr>
        <w:pStyle w:val="ListParagraph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надлежащего исполнения настоящего договора урегулировать отношения, связанные с передачей электрической энергии, путем заключения договора оказания услуг по передаче электрической энергии с Сетевой организацией.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передачу электрической энергии (мощности) в соответствии с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согласованной категорией надежности энергопринимающих устройств Потребителя.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/>
      </w:pPr>
      <w:r>
        <w:rPr>
          <w:rFonts w:ascii="Times New Roman" w:hAnsi="Times New Roman"/>
          <w:sz w:val="22"/>
          <w:szCs w:val="22"/>
        </w:rPr>
        <w:t xml:space="preserve">Определять в </w:t>
      </w:r>
      <w:hyperlink r:id="rId3">
        <w:r>
          <w:rPr>
            <w:rStyle w:val="Style10"/>
            <w:rFonts w:ascii="Times New Roman" w:hAnsi="Times New Roman"/>
            <w:sz w:val="22"/>
            <w:szCs w:val="22"/>
          </w:rPr>
          <w:t>порядке</w:t>
        </w:r>
      </w:hyperlink>
      <w:r>
        <w:rPr>
          <w:rFonts w:ascii="Times New Roman" w:hAnsi="Times New Roman"/>
          <w:sz w:val="22"/>
          <w:szCs w:val="22"/>
        </w:rPr>
        <w:t>, установленном Министерством энергетики РФ, значения соотношения потребления активной и реактивной мощности для отдельных энергопринимающих устройств (групп энергопринимающих устройств) Потребителя.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отношении энергопринимающих устройств Потребителя, непосредственно или опосредованно присоединенных к принадлежащим на праве собственности или ином законном основании объектам электросетевого хозяйства ПАО «Камчатскэнерго»: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Обеспечивать на безвозмездной основе коммерческий учет электрической энергии (мощности), путем приобретения, установки, замены, допуска в эксплуатацию ПУ, в случаях отсутствия, выхода из строя, утраты, истечения срока эксплуатации или истечении интервала между поверками ПУ, используемого для коммерческого учета Потребителя, кроме случаев, предусмотренных действующим законодательством РФ, не позднее 6 месяцев с даты наступления указанных событий.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на безвозмездной основе эксплуатацию установленных ПУ, оборудования, используемых для коммерческого учета Потребителя со дня допуска их в эксплуатацию до момента выхода из строя путем проведения осмотров, технического обслуживания, своевременной поверки.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Направлять </w:t>
      </w:r>
      <w:r>
        <w:rPr>
          <w:rFonts w:ascii="Times New Roman" w:hAnsi="Times New Roman"/>
          <w:sz w:val="22"/>
          <w:szCs w:val="22"/>
        </w:rPr>
        <w:t xml:space="preserve">Потребителю </w:t>
      </w:r>
      <w:r>
        <w:rPr>
          <w:rFonts w:ascii="Times New Roman" w:hAnsi="Times New Roman"/>
          <w:iCs/>
          <w:sz w:val="22"/>
          <w:szCs w:val="22"/>
        </w:rPr>
        <w:t>запрос на установку (замену) ПУ способом, позволяющим подтвердить факт получения с учетом требований, предусмотренных законодательством РФ.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Устанавливать ПУ </w:t>
      </w:r>
      <w:r>
        <w:rPr>
          <w:rFonts w:ascii="Times New Roman" w:hAnsi="Times New Roman"/>
          <w:sz w:val="22"/>
          <w:szCs w:val="22"/>
        </w:rPr>
        <w:t xml:space="preserve">Потребителя </w:t>
      </w:r>
      <w:r>
        <w:rPr>
          <w:rFonts w:ascii="Times New Roman" w:hAnsi="Times New Roman"/>
          <w:iCs/>
          <w:sz w:val="22"/>
          <w:szCs w:val="22"/>
        </w:rPr>
        <w:t xml:space="preserve">в месте максимально приближенном к границе балансовой принадлежности в случае отсутствия ответа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iCs/>
          <w:sz w:val="22"/>
          <w:szCs w:val="22"/>
        </w:rPr>
        <w:t xml:space="preserve"> на направленный Гарантирующим поставщиком запрос на установку (замену) ПУ в установленный срок (10 рабочих дней со дня получения запроса) или получения отказа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iCs/>
          <w:sz w:val="22"/>
          <w:szCs w:val="22"/>
        </w:rPr>
        <w:t xml:space="preserve"> в установке ПУ при наличии технической возможности установки или при двукратном недопуске к месту установки ПУ, но не ранее 4 месяцев с момента первого недопуска.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Производить установку ПУ и иного оборудования, используемого для коммерческого учета,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Устанавливать ПУ Потребителя в случаях и в местах,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Направлять Потребителю приглашение на участие в процедуре допуска ПУ в эксплуатацию за 3 календарных дня до проведения. Направлять Потребителю копию акта допуска ПУ в эксплуатацию в течение 2 рабочих дней со дня проведения процедуры допуска ПУ в эксплуатацию в случае неявки Потребителя или его уполномоченного представителя в назначенную в приглашении дату и время.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Направлять Потребителю уведомление о планируемом проведении демонтажа ПУ или иного оборудования, используемого для коммерческого учета, в связи с проведением капитального ремонта или реконструкции объектов в местах установки ПУ, принадлежащих на праве собственности или ином законном праве ПАО «Камчатскэнерго» за 7 рабочих дней до планируемой даты проведения процедуры с указанием даты и времени демонтажа ПУ, а также причин. Перед проведением демонтажа ПУ, производить снятие показаний ПУ, проверку ПУ с фиксацией данных в акте демонтажа ПУ. Направлять Потребителю копию акта демонтажа в течение 3 рабочих дней со дня составления акта в случае отсутствия Потребителя при проведении процедуры демонтажа.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Направлять </w:t>
      </w:r>
      <w:r>
        <w:rPr>
          <w:rFonts w:ascii="Times New Roman" w:hAnsi="Times New Roman"/>
          <w:sz w:val="22"/>
          <w:szCs w:val="22"/>
        </w:rPr>
        <w:t>Потребителю</w:t>
      </w:r>
      <w:r>
        <w:rPr>
          <w:rFonts w:ascii="Times New Roman" w:hAnsi="Times New Roman"/>
          <w:iCs/>
          <w:sz w:val="22"/>
          <w:szCs w:val="22"/>
        </w:rPr>
        <w:t xml:space="preserve"> уведомление о проведении проверки ПУ за 5 рабочих дней до даты проведения с указанием последствий недопуска к ПУ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iCs/>
          <w:sz w:val="22"/>
          <w:szCs w:val="22"/>
        </w:rPr>
        <w:t xml:space="preserve">, в случаях, когда для проведения проверки требуется допуск к энергопринимающим устройствам (объектам по производству электрической энергии)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iCs/>
          <w:sz w:val="22"/>
          <w:szCs w:val="22"/>
        </w:rPr>
        <w:t xml:space="preserve">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Производить снятие показаний ПУ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iCs/>
          <w:sz w:val="22"/>
          <w:szCs w:val="22"/>
        </w:rPr>
        <w:t xml:space="preserve">, присоединенных к интеллектуальным система учета электрической энергии (мощности) Гарантирующего поставщика, или расположенных в границах его объектов электросетевого хозяйства.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Предоставлять </w:t>
      </w:r>
      <w:r>
        <w:rPr>
          <w:rFonts w:ascii="Times New Roman" w:hAnsi="Times New Roman"/>
          <w:sz w:val="22"/>
          <w:szCs w:val="22"/>
        </w:rPr>
        <w:t>Потребителю</w:t>
      </w:r>
      <w:r>
        <w:rPr>
          <w:rFonts w:ascii="Times New Roman" w:hAnsi="Times New Roman"/>
          <w:iCs/>
          <w:sz w:val="22"/>
          <w:szCs w:val="22"/>
        </w:rPr>
        <w:t xml:space="preserve"> показания ПУ, подключенных к интеллектуальной системе учета Гарантирующего поставщика, в порядке и на условиях, определенных правилами предоставления доступа к минимальному набору функций интеллектуальных систем учета электрической энергии.</w:t>
      </w:r>
    </w:p>
    <w:p>
      <w:pPr>
        <w:pStyle w:val="Normal"/>
        <w:widowControl w:val="false"/>
        <w:numPr>
          <w:ilvl w:val="3"/>
          <w:numId w:val="3"/>
        </w:numPr>
        <w:shd w:val="clear" w:color="auto" w:fill="FFFFFF"/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Проводить плановую проверку ПУ Потребителя, не присоединенных к интеллектуальной системе учета Гарантирующего поставщика, не реже 1 раза в год.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действия по обеспечению оборудования точек поставки ПУ, в случае если точки поставки на день заключения договора не оборудованы ПУ.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контроль соблюдения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ПУ,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(мощности), а также извещать заинтересованных субъектов электроэнергетики, потребителей электрической энергии (мощности) и иных владельцев ПУ электрической энергии об их нарушении.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информационный обмен данными, получаемыми в ходе обеспечения коммерческого учета электрической энергии (мощности) на розничных рынках, необходимыми для взаиморасчетов за поставки электрической энергии и мощности, а также за связанные с указанными поставками услуги, на безвозмездной основе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иные действия, необходимые для реализации прав Потребителя, предусмотренные действующим законодательством РФ.</w:t>
      </w:r>
    </w:p>
    <w:p>
      <w:pPr>
        <w:pStyle w:val="Normal"/>
        <w:tabs>
          <w:tab w:val="left" w:pos="1134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3.2. Гарантирующий поставщик имеет право:</w:t>
      </w:r>
    </w:p>
    <w:p>
      <w:pPr>
        <w:pStyle w:val="ListParagraph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Требовать своевременной оплаты за потребленную электрическую энергию (мощность), услуги по передаче электрической энергии</w:t>
      </w:r>
      <w:r>
        <w:rPr>
          <w:rFonts w:ascii="Times New Roman" w:hAnsi="Times New Roman"/>
          <w:sz w:val="22"/>
          <w:szCs w:val="22"/>
        </w:rPr>
        <w:t xml:space="preserve"> и услуги, оказание которых является неотъемлемой частью процесса поставки электрической энергии Потребителю </w:t>
      </w:r>
      <w:r>
        <w:rPr>
          <w:rFonts w:ascii="Times New Roman" w:hAnsi="Times New Roman"/>
          <w:iCs/>
          <w:sz w:val="22"/>
          <w:szCs w:val="22"/>
        </w:rPr>
        <w:t>в</w:t>
      </w:r>
      <w:r>
        <w:rPr>
          <w:rFonts w:ascii="Times New Roman" w:hAnsi="Times New Roman"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iCs/>
          <w:sz w:val="22"/>
          <w:szCs w:val="22"/>
        </w:rPr>
        <w:t>соответствии с условиями настоящего договора.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Инициировать введение полного и (или) частичного ограничения режима потребления в установленном порядке при наступлении любого из обстоятельств, указанных в разделе 7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настоящего договора.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Периодического (не чаще 1 раза в месяц) доступа к ПУ Потребителя для цели проверки условий их эксплуатации и сохранности, снятия контрольных показаний</w:t>
      </w:r>
      <w:r>
        <w:rPr>
          <w:rFonts w:ascii="Times New Roman" w:hAnsi="Times New Roman"/>
          <w:i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проведения проверок (замеров).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Требовать возмещения убытков, причиненных </w:t>
      </w:r>
      <w:r>
        <w:rPr>
          <w:rFonts w:ascii="Times New Roman" w:hAnsi="Times New Roman"/>
          <w:sz w:val="22"/>
          <w:szCs w:val="22"/>
        </w:rPr>
        <w:t>Потребителем</w:t>
      </w:r>
      <w:r>
        <w:rPr>
          <w:rFonts w:ascii="Times New Roman" w:hAnsi="Times New Roman"/>
          <w:iCs/>
          <w:sz w:val="22"/>
          <w:szCs w:val="22"/>
        </w:rPr>
        <w:t xml:space="preserve"> вследствие неисполнения или ненадлежащего исполнения обязанностей по обеспечению сохранности и целостности приборов учета, иного оборудования, используемых для коммерческого учета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iCs/>
          <w:sz w:val="22"/>
          <w:szCs w:val="22"/>
        </w:rPr>
        <w:t xml:space="preserve">, принадлежащих на праве собственности или ином законном праве ПАО «Камчатскэнерго».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процедуру допуска в эксплуатацию ПУ в случае неявки потребителя или его уполномоченного представителя в дату и время, указанные в приглашении на участие в процедуре допуска ПУ. Допускать ПУ в эксплуатацию при неявке Потребителя или его уполномоченного представителя, либо отказе от подписания акта допуска ПУ в эксплуатацию (с указанием в акте допуска ПУ в эксплуатацию соответствующей отметки).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Выбирать расчетный ПУ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iCs/>
          <w:sz w:val="22"/>
          <w:szCs w:val="22"/>
        </w:rPr>
        <w:t xml:space="preserve"> в случае наличия нескольких ПУ, расположенных по обе стороны границы балансовой принадлежности, в соответствии с критериями, определенными законодательством РФ. </w:t>
      </w:r>
    </w:p>
    <w:p>
      <w:pPr>
        <w:pStyle w:val="Normal"/>
        <w:widowControl w:val="false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Проводить внеплановую проверку ПУ </w:t>
      </w:r>
      <w:r>
        <w:rPr>
          <w:rFonts w:ascii="Times New Roman" w:hAnsi="Times New Roman"/>
          <w:sz w:val="22"/>
          <w:szCs w:val="22"/>
        </w:rPr>
        <w:t>Потребителя в случаях, предусмотренных Законодательством РФ.</w:t>
      </w:r>
      <w:r>
        <w:rPr>
          <w:rFonts w:ascii="Times New Roman" w:hAnsi="Times New Roman"/>
          <w:iCs/>
          <w:sz w:val="22"/>
          <w:szCs w:val="22"/>
        </w:rPr>
        <w:t xml:space="preserve"> </w:t>
      </w:r>
    </w:p>
    <w:p>
      <w:pPr>
        <w:pStyle w:val="Normal"/>
        <w:numPr>
          <w:ilvl w:val="2"/>
          <w:numId w:val="4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за отдельную плату установку, замену ПУ до истечения их срока поверки или эксплуатации в случаях, не связанных с утратой, выходом из строя или неисправностью ПУ, при обращении потребителя, а также предоставлять услуги, не включенные в минимальный набор функций интеллектуальных систем учета электрической энергии (мощности), с использованием ПУ и результатов измерений таких ПУ.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3"/>
        </w:numPr>
        <w:spacing w:before="0" w:after="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ОБЯЗАННОСТИ И ПРАВА ПОТРЕБИТЕЛЯ.</w:t>
      </w:r>
    </w:p>
    <w:p>
      <w:pPr>
        <w:pStyle w:val="ListParagraph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Потребитель обязуется: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Оплачивать приобретаемую электрическую энергию (мощность) и оказанные услуги по передаче электрической энергии в сроки и на условиях, предусмотренных настоящим договором. Введение полного и (или) частичного ограничения режима потребления электрической энергии (мощности) в отношении Потребителя по настоящему договору не освобождает Потребителя от обязанности оплатить Гарантирующему поставщику в полном размере стоимость электрической энергии (мощности), поставленной до его введения.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Соблюдать предусмотренный настоящим договором и документами о технологическом присоединении режим потребления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Предоставить подтверждение наличия установленного лимита в рамках бюджетных обязательств; при несвоевременном поступлении средств на его лицевой счет, открытый в органе федерального казначейства, информировать главного распорядителя бюджета о необходимости исполнения поставленных в установленном порядке на учет в органе федерального казначейства обязательств по оплате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Обеспечивать в течение всего срока действия настоящего договора сохранность и целостность ПУ, а также пломб и (или) знаков визуального контроля; снятие и хранение показаний ПУ, своевременное предоставление показаний ПУ, не подключенных к интеллектуальной системе учета сетевой организации и расположенных в границах балансовой принадлежности Потребителя.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Возместить сетевой организации (гарантирующему поставщику) убытки, причиненные неисполнением или ненадлежащим исполнением обязанностей по обеспечению сохранности и целостности установленных сетевой организацией (гарантирующим поставщиком) ПУ и (или) иного оборудования, которые используются для обеспечения коммерческого учета электрической энергии (мощности).</w:t>
      </w:r>
    </w:p>
    <w:p>
      <w:pPr>
        <w:pStyle w:val="Normal"/>
        <w:numPr>
          <w:ilvl w:val="2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выявлении фактов неисправности или утраты расчетного ПУ в течение одних суток сообщить об этом Гарантирующему поставщику.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Осуществлять эксплуатацию принадлежащих Потребителю энергопринимающих устройств в соответствии с правилами технической эксплуатации, техники безопасности и оперативно-диспетчерского управления.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Уведомлять Гарантирующего поставщика путем направления письменной заявки о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намерении демонтировать ПУ в целях проведения капитального ремонта или реконструкции объектов Потребителя в местах установки ПУ не менее чем за 7 рабочих дней до планируемой даты проведения демонтажа ПУ. Обеспечить окончание работ по капитальному ремонту или реконструкции объектов в местах установки ПУ Потребителя или предоставление других мест для установки ПУ не позднее 6 месяцев с момента демонтажа ПУ.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Обеспечить функционирование и реализацию управляющих воздействий устройств релейной защиты, противоаварийной и режимной автоматики, средств регулирования напряжения и компенсации реактивной мощности, установленных в границах его балансовой принадлежности.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Незамедлительно (в течение суток) уведомлять Гарантирующего поставщика и Сетевую организацию об аварийных ситуациях на энергетических объектах, плановом, текущем и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капитальном ремонте на них.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проведение замеров мощности на энергопринимающих устройствах (объектах электроэнергетики), в отношении которых заключен настоящий договор, (за исключением энергопринимающих устройств (объектов электроэнергетики), в отношении которых установлены и введены в эксплуатацию ПУ после 1 июля 2020 года) и представлять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замера. при получении от Сетевой организации требования о проведении замеров.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Поддерживать на границе балансовой принадлежности значения показателей качества электрической энергии, обусловленные работой энергопринимающих устройств Потребителя, соответствующие техническим регламентам и иным обязательным требованиям, в том числе соблюдать установленные договором значения соотношения потребления активной и реактивной мощности, определяемые для отдельных энергопринимающих устройств (групп энергопринимающих устройств). В случае несоблюдения установленного коэффициента мощности оплачивать услуги по компенсации реактивной мощности в соответствии с Приложением № 5 к настоящему договору.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доступ представителей Гарантирующего поставщика и (или) Сетевой организации к энергопринимающим устройствам, находящимся в границах балансовой принадлежности Потребителя, для осуществления проверок (замеров).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запросу Гарантирующего поставщика или Сетевой организации предоставлять технологическую информацию (главные электрические схемы, характеристики оборудования, схемы устройств релейной защиты и противоаварийной автоматики, оперативные данные о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технологических режимах работы оборудования).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Обеспечить своевременное выполнение диспетчерских команд (распоряжений) Гарантирующего поставщика и соответствующих требований Сетевой организации.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Соблюдать заданные в установленном порядке Сетевой организацией требования к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установке устройств релейной защиты и автоматики, а также поддерживать схему электроснабжения с выделением ответственных нагрузок на резервируемые внешние питающие линии, обеспечивающие отпуск электрической энергии для покрытия технологической и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аварийной брони.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Выполнять требования Гарантирующего поставщика об ограничении режима потребления в соответствии с утвержденными графиками аварийного ограничения режима потребления электрической энергии при возникновении (угрозе возникновения) дефицита электрической энергии и мощности, а также в иных случаях, предусмотренных законодательством РФ в качестве основания для введения полного или частичного ограничения режима потребления.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Информировать Гарантирующего поставщика и Сетевую организацию об объеме участия в автоматическом либо оперативном противоаварийном управлении мощностью, в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нормированном первичном регулировании частоты и во вторичном регулировании мощности (для электростанций), а также о перечне и мощности токоприемников, которые могут быть отключены устройствами противоаварийной автоматики.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Подтвердить в течение 10 рабочих дней со дня получения запроса сетевой организации с намерением установить (заменить) ПУ дату и время допуска к местам установки ПУ для совершения действий сетевой организации по установке (замене) и допуску в эксплуатацию ПУ, либо согласовать иные дату и (или) время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доступ к месту установки ПУ представителей организаций, уполномоченных на совершение действий по установке, вводу в эксплуатацию и демонтажу ПУ, а также для проверки и снятия показаний, в том числе контрольного снятия показаний, в согласованную дату и время.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>Предоставить список лиц, ответственных за электрохозяйство, за эксплуатацию ПУ, лиц, имеющих право ведения оперативных переговоров, подписания заявок, принятия претензий, отчетов, актов снятия показаний расчетных приборов учета, актов о неучтенном потреблении электрической энергии и иных актов (Приложение № 9). Список должен содержать должности и фамилии уполномоченных лиц, номер их телефона, факса для оперативной связи. Потребитель обязуется незамедлительно извещать Гарантирующего поставщика об изменении данных, указанных в настоящем пункте.</w:t>
      </w:r>
    </w:p>
    <w:p>
      <w:pPr>
        <w:pStyle w:val="Normal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>В течение 3-х дней с момента соответствующего изменения письменно сообщать Гарантирующему поставщику об изменениях юридического адреса, места нахождения, банковских реквизитов, наименования, ведомственной принадлежности и/или формы собственности, перечне обслуживаемых объектов и других обстоятельствах, влияющих на</w:t>
      </w:r>
      <w:r>
        <w:rPr>
          <w:rFonts w:eastAsia="Calibri" w:ascii="Times New Roman" w:hAnsi="Times New Roman"/>
          <w:sz w:val="22"/>
          <w:szCs w:val="22"/>
          <w:lang w:val="en-US" w:eastAsia="en-US"/>
        </w:rPr>
        <w:t> </w:t>
      </w:r>
      <w:r>
        <w:rPr>
          <w:rFonts w:eastAsia="Calibri" w:ascii="Times New Roman" w:hAnsi="Times New Roman"/>
          <w:sz w:val="22"/>
          <w:szCs w:val="22"/>
          <w:lang w:eastAsia="en-US"/>
        </w:rPr>
        <w:t>надлежащее исполнение настоящего договора, с приложением соответствующих изменениям документов.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 xml:space="preserve">В случае отказа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 от исполнения настоящего договора в одностороннем порядке, не позднее чем за 20 рабочих дней с даты принятия указанного решения, направить письменное уведомление Гарантирующему поставщику способом, позволяющим подтвердить факт и дачу получения уведомления.</w:t>
      </w:r>
      <w:r>
        <w:rPr>
          <w:rFonts w:ascii="Times New Roman" w:hAnsi="Times New Roman"/>
          <w:sz w:val="22"/>
          <w:szCs w:val="22"/>
        </w:rPr>
        <w:t xml:space="preserve"> 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ab/>
      </w:r>
      <w:r>
        <w:rPr>
          <w:rFonts w:ascii="Times New Roman" w:hAnsi="Times New Roman"/>
          <w:bCs/>
          <w:sz w:val="22"/>
          <w:szCs w:val="22"/>
        </w:rPr>
        <w:t xml:space="preserve">При этом Потребитель обязан оплатить Гарантирующему поставщику стоимость потребленной электрической энергии (мощности), что должно быть подтверждено оплатой счета. 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изменении настоящего договора направить Гарантирующему поставщику письменное уведомление об этом не позднее чем за 20 рабочих дней до заявляемой даты изменения настоящего договора способом, позволяющим подтвердить факт и дату получения указанного уведомления.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Обеспечить предоставление Гарантирующему поставщику показаний ПУ, используемых для расчетов по договору, на дату расторжения или изменения договора, для осуществления окончательных расчетов за электрическую энергию (мощность).</w:t>
      </w:r>
    </w:p>
    <w:p>
      <w:pPr>
        <w:pStyle w:val="Normal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соответствия Потребителя критериям, установленным Правительством РФ, при которых у Потребителя возникает обязанность предоставления обеспечения исполнения обязательств по оплате электрической энергии (мощности), предоставить указанное обеспечение в установленные уведомлением Гарантирующего поставщика сроки.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851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Потребитель, ограничение режима потребления электрической энергии (мощности) которого может привести к экономическим, экологическим или социальным последствиям, и категории которых определены в приложении к «Правилам полного и (или) частичного ограничения режима потребления электрической энергии», утвержденным постановлением Правительства РФ от 4 мая 2012 г. №442, - обязан: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  составить и согласовать с Сетевой организацией акт согласования технологической и (или) аварийной брони (форма Приложения № 6). Согласованный акт согласования технологической и (или) аварийной брони предоставить при подписании настоящего договора; 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</w:t>
      </w:r>
      <w:r>
        <w:rPr>
          <w:rFonts w:ascii="Times New Roman" w:hAnsi="Times New Roman"/>
          <w:bCs/>
          <w:sz w:val="22"/>
          <w:szCs w:val="22"/>
        </w:rPr>
        <w:t>выделить электроприемники аварийной брони электроснабжения на отдельные питающие линии, по которым подача электрической энергии (мощности) не подлежит временному отключению, либо путем использования потребителем автономных резервных источников питания;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 обеспечить поддержание автономного резервного источника питания в состоянии готовности к его использованию при возникновении внерегламентных отключений, введении аварийного ограничения режима потребления электрической энергии или использования противоаварийной автоматики;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обеспечивать соблюдение установленного актом согласования технологической и (или) аварийной брони режима потребления электрической энергии, а также уровня нагрузки технологической и (или) аварийной брони и сроков завершения технологического процесса при введении ограничения режима потребления электрической энергии;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709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не позднее трех дней после получения уведомления о введении ограничения режима потребления электрической энергии устранить причины, являющиеся основанием для введения ограничения режима потребления, либо представить Гарантирующему поставщику план мероприятий по обеспечению готовности к введению в отношении его энергопринимающих устройств и (или) объектов электроэнергетики полного ограничения режима потребления, включающий в себя мероприятия, необходимые для безаварийного прекращения технологического процесса, обеспечения безопасности людей и сохранности оборудования, и (или) мероприятия по установке за свой счет автономных источников питания, обеспечивающих снабжение электрической энергией его энергопринимающих устройств и (или) объектов электроэнергетики;</w:t>
      </w:r>
    </w:p>
    <w:p>
      <w:pPr>
        <w:pStyle w:val="Normal"/>
        <w:widowControl w:val="false"/>
        <w:tabs>
          <w:tab w:val="left" w:pos="0" w:leader="none"/>
          <w:tab w:val="left" w:pos="851" w:leader="none"/>
        </w:tabs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 после выполнения мероприятий направить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Гарантирующему поставщику уведомление о готовности к введению полного ограничения режима потребления электрической энергии;</w:t>
      </w:r>
    </w:p>
    <w:p>
      <w:pPr>
        <w:pStyle w:val="Normal"/>
        <w:widowControl w:val="false"/>
        <w:tabs>
          <w:tab w:val="left" w:pos="0" w:leader="none"/>
        </w:tabs>
        <w:ind w:firstLine="567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 направить высшему должностному лицу субъекта Российской Федерации информацию о принадлежащих им на праве собственности или на ином законном основании энергопринимающих устройствах и (или) объектах электроэнергетики, ограничение режима потребления которыми может привести к экономическим, экологическим или социальным последствиям, и о наличии либо об отсутствии соответствующих актов согласования технологической и (или) аварийной брони.</w:t>
      </w:r>
    </w:p>
    <w:p>
      <w:pPr>
        <w:pStyle w:val="ListParagraph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Оплатить объем бездоговорного потребления электрической энергии по счету в течение 10 дней со дня получения счета.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Потребитель не вправе по своему усмотрению демонтировать ПУ</w:t>
      </w:r>
      <w:r>
        <w:rPr>
          <w:rStyle w:val="Annotationreference"/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ограничивать к ним доступ</w:t>
      </w:r>
      <w:r>
        <w:rPr>
          <w:rFonts w:ascii="Times New Roman" w:hAnsi="Times New Roman"/>
          <w:sz w:val="22"/>
          <w:szCs w:val="22"/>
          <w:shd w:fill="C0C0C0" w:val="clear"/>
        </w:rPr>
        <w:t xml:space="preserve">, </w:t>
      </w:r>
      <w:r>
        <w:rPr>
          <w:rFonts w:ascii="Times New Roman" w:hAnsi="Times New Roman"/>
          <w:sz w:val="22"/>
          <w:szCs w:val="22"/>
        </w:rPr>
        <w:t>вмешиваться в процесс удаленного сбора, обработки и передачи показаний ПУ (измерительных трансформаторов), в любой иной форме препятствовать их использованию для обеспечения и осуществления контроля коммерческого учета электрической энергии (мощности), в том числе препятствовать проведению проверок целостности и корректности их работы, использованию для этих целей данных, получаемых с принадлежащих им ПУ электрической энергии</w:t>
      </w:r>
      <w:r>
        <w:rPr>
          <w:rFonts w:ascii="Times New Roman" w:hAnsi="Times New Roman"/>
          <w:sz w:val="22"/>
          <w:szCs w:val="22"/>
          <w:shd w:fill="C0C0C0" w:val="clear"/>
        </w:rPr>
        <w:t>.</w:t>
      </w:r>
    </w:p>
    <w:p>
      <w:pPr>
        <w:pStyle w:val="ListParagraph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Выполнять иные обязанности и требования, установленные отраслевым законодательством в</w:t>
      </w:r>
      <w:r>
        <w:rPr>
          <w:rFonts w:ascii="Times New Roman" w:hAnsi="Times New Roman"/>
          <w:sz w:val="22"/>
          <w:szCs w:val="22"/>
          <w:lang w:val="en-US"/>
        </w:rPr>
        <w:t> </w:t>
      </w:r>
      <w:r>
        <w:rPr>
          <w:rFonts w:ascii="Times New Roman" w:hAnsi="Times New Roman"/>
          <w:sz w:val="22"/>
          <w:szCs w:val="22"/>
        </w:rPr>
        <w:t>сфере энергоснабжения.</w:t>
      </w:r>
    </w:p>
    <w:p>
      <w:pPr>
        <w:pStyle w:val="ListParagraph"/>
        <w:tabs>
          <w:tab w:val="left" w:pos="709" w:leader="none"/>
          <w:tab w:val="left" w:pos="1134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1"/>
          <w:numId w:val="3"/>
        </w:numPr>
        <w:tabs>
          <w:tab w:val="left" w:pos="709" w:leader="none"/>
          <w:tab w:val="left" w:pos="1134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Потребитель имеет право: 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Требовать поддержания на границе балансовой принадлежности электросетей показателей качества электроэнергии в соответствии с действующими нормативными документами.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Требовать обеспечения надежности энергоснабжения в соответствии с условиями настоящего договора и фактической схемой электроснабжения.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Использовать действующие расчетные ПУ вплоть до истечения установленного для них межповерочного интервала, срока эксплуатации, либо до момента выхода таких ПУ из строя или их утраты.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>Отказать Гарантирующему поставщику в установке ПУ при отсутствии технической возможности установки ПУ в месте, указанном Гарантирующим поставщиком в запросе на установку (замену) ПУ.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Требовать с сетевой организации выплату неустойки в случае неисполнения или ненадлежащего исполнения обязанностей по установке, замене и допуску в эксплуатацию ПУ по истечении 6 месяцев с момента наступления одного из событий, повлекших необходимость установки или замены ПУ и ввода его в эксплуатацию (выход ПУ из строя, истечение межповерочного интервала, срока эксплуатации, утрата ПУ) в размере, предусмотренном законодательством РФ, кроме случаев, когда неисполнение или ненадлежащее исполнение таких обязанностей возникло по причине недопуска </w:t>
      </w:r>
      <w:r>
        <w:rPr>
          <w:rFonts w:ascii="Times New Roman" w:hAnsi="Times New Roman"/>
          <w:sz w:val="22"/>
          <w:szCs w:val="22"/>
        </w:rPr>
        <w:t xml:space="preserve">Потребителем </w:t>
      </w:r>
      <w:r>
        <w:rPr>
          <w:rFonts w:ascii="Times New Roman" w:hAnsi="Times New Roman"/>
          <w:bCs/>
          <w:sz w:val="22"/>
          <w:szCs w:val="22"/>
        </w:rPr>
        <w:t xml:space="preserve"> представителя Гарантирующего поставщика к местам установки ПУ, в то время как техническая возможность установки ПУ в ином месте, максимально приближенном к границе балансовой принадлежности, отсутствует. </w:t>
      </w:r>
      <w:r>
        <w:rPr>
          <w:rFonts w:ascii="Times New Roman" w:hAnsi="Times New Roman"/>
          <w:sz w:val="22"/>
          <w:szCs w:val="22"/>
        </w:rPr>
        <w:t>Проводить проверки соблюдения сетевой организацией или гарантирующим поставщиком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ПУ.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 в том числе с привлечением аккредитованных в установленном порядке в области обеспечения единства измерений юридических лиц (индивидуальных предпринимателей)</w:t>
      </w:r>
    </w:p>
    <w:p>
      <w:pPr>
        <w:pStyle w:val="Normal"/>
        <w:numPr>
          <w:ilvl w:val="2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С даты утраты Гарантирующим поставщиком его статуса перейти на обслуживание к</w:t>
      </w:r>
      <w:r>
        <w:rPr>
          <w:rFonts w:ascii="Times New Roman" w:hAnsi="Times New Roman"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Cs/>
          <w:sz w:val="22"/>
          <w:szCs w:val="22"/>
        </w:rPr>
        <w:t>организации, которой присвоен статус Гарантирующего поставщика или к энергосбытовой (энергоснабжающей) организации или производителю электрической энергии (мощности) на</w:t>
      </w:r>
      <w:r>
        <w:rPr>
          <w:rFonts w:ascii="Times New Roman" w:hAnsi="Times New Roman"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Cs/>
          <w:sz w:val="22"/>
          <w:szCs w:val="22"/>
        </w:rPr>
        <w:t xml:space="preserve">розничном рынке, при условии соблюдения установленных законодательством условий заключения договоров с указанными субъектами. 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426" w:leader="none"/>
        </w:tabs>
        <w:suppressAutoHyphens w:val="true"/>
        <w:spacing w:before="0" w:after="0"/>
        <w:ind w:left="426" w:hanging="426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ПОРЯДОК УЧЕТА ЭЛЕКТРИЧЕСКОЙ ЭНЕРГИИ (МОЩНОСТИ) С ИСПОЛЬЗОВАНИЕМ ПУ И ПОРЯДОК ВЗАИМОДЕЙСТВИЯ СТОРОН В ПРОЦЕССЕ ТАКОГО УЧЕТА.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учета электрической энергии (мощности), потребляемой Потребителем, подлежат использованию ПУ, соответствующие требованиям законодательства Российской Федерации об обеспечении единства измерений, а также нормативно-правовыми актами, регулирующими правоотношения в сфере энергоснабжения, в том числе по их классу точности, быть допущенными в эксплуатацию в установленном порядке, иметь неповрежденные контрольные пломбы и (или) знаки визуального контроля.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Сетевые организации обеспечивают коммерческий учет электрической энергии (мощности) энергопринимающих устройств потребителей электрической энергии (мощности), в том числе путем приобретения, установки, замены, допуска в эксплуатацию ПУ электрической энергии и (или) иного оборудования, а также нематериальных активов, которые необходимы для обеспечения коммерческого учета электрической энергии (мощности), и последующей их эксплуатации, том числе посредством интеллектуальных систем учета электрической энергии (мощности):</w:t>
      </w:r>
    </w:p>
    <w:p>
      <w:pPr>
        <w:pStyle w:val="Normal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при отсутствии, выходе из строя, утрате, истечении срока эксплуатации или истечении интервала между поверками ПУ электрической энергии и (или) иного оборудования, которые используются для коммерческого учета электрической энергии (мощности), в том числе не принадлежащих сетевой организации (гарантирующему поставщику);</w:t>
      </w:r>
    </w:p>
    <w:p>
      <w:pPr>
        <w:pStyle w:val="Normal"/>
        <w:tabs>
          <w:tab w:val="left" w:pos="0" w:leader="none"/>
          <w:tab w:val="left" w:pos="709" w:leader="none"/>
        </w:tabs>
        <w:ind w:firstLine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в процессе технологического присоединения энергопринимающих устройств.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ПУ подлежат установке (в порядке убывания приоритета):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в местах, указанных в документах о технологическом присоединении и (или) актах допуска в эксплуатацию ПУ электрической </w:t>
      </w:r>
      <w:r>
        <w:rPr>
          <w:rFonts w:ascii="Times New Roman" w:hAnsi="Times New Roman"/>
          <w:bCs/>
          <w:sz w:val="22"/>
          <w:szCs w:val="22"/>
        </w:rPr>
        <w:t xml:space="preserve">энергии. 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на границе балансовой принадлежности объектов энергопринимающих устройств смежных субъектов. При этом ПУ может быть установлен в границах объектов электроэнергетики (энергопринимающих устройств) смежного субъекта.</w:t>
      </w:r>
    </w:p>
    <w:p>
      <w:pPr>
        <w:pStyle w:val="Normal"/>
        <w:widowControl w:val="false"/>
        <w:tabs>
          <w:tab w:val="left" w:pos="0" w:leader="none"/>
          <w:tab w:val="left" w:pos="426" w:leader="none"/>
        </w:tabs>
        <w:suppressAutoHyphens w:val="true"/>
        <w:spacing w:before="0" w:after="0"/>
        <w:ind w:firstLine="851"/>
        <w:contextualSpacing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в месте, максимально приближенном к границе балансовой принадлежности, в котором имеется техническая возможность его установки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Установка (замена) ПУ и допуск в эксплуатацию ПУ электрической энергии должны быть осуществлены не позднее 6 месяцев:</w:t>
      </w:r>
    </w:p>
    <w:p>
      <w:pPr>
        <w:pStyle w:val="ListParagraph"/>
        <w:widowControl w:val="false"/>
        <w:tabs>
          <w:tab w:val="left" w:pos="0" w:leader="none"/>
          <w:tab w:val="left" w:pos="426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истечения интервала между поверками или срока эксплуатации ПУ, если соответствующая дата (срок) установлена в договоре энергоснабжения (Приложение № 1);</w:t>
      </w:r>
    </w:p>
    <w:p>
      <w:pPr>
        <w:pStyle w:val="ListParagraph"/>
        <w:widowControl w:val="false"/>
        <w:tabs>
          <w:tab w:val="left" w:pos="0" w:leader="none"/>
          <w:tab w:val="left" w:pos="426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 xml:space="preserve">в иных случаях при нахождении ПУ в границах балансовой принадлежности энергопринимающих устройств (объектов электросетевого хозяйства) - с даты получения обращения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bCs/>
          <w:sz w:val="22"/>
          <w:szCs w:val="22"/>
        </w:rPr>
        <w:t xml:space="preserve"> электрической энергии об истечении интервала между поверками, срока эксплуатации, а также об утрате, о выходе ПУ из строя и (или) его неисправности. </w:t>
      </w:r>
    </w:p>
    <w:p>
      <w:pPr>
        <w:pStyle w:val="ListParagraph"/>
        <w:widowControl w:val="false"/>
        <w:tabs>
          <w:tab w:val="left" w:pos="0" w:leader="none"/>
        </w:tabs>
        <w:suppressAutoHyphens w:val="true"/>
        <w:ind w:left="0" w:firstLine="851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выявления истечения срока поверки, срока эксплуатации, неисправности ПУ в ходе проведения его проверки в установленном настоящим документом порядке;</w:t>
      </w:r>
    </w:p>
    <w:p>
      <w:pPr>
        <w:pStyle w:val="ListParagraph"/>
        <w:widowControl w:val="false"/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-</w:t>
        <w:tab/>
        <w:t>с даты признания ПУ утраченным.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Сетевая организация, имеющая намерение установить либо заменить ПУ, направляет в адрес гарантирующего поставщика и потребителя запрос на установку (замену) ПУ способом, позволяющим подтвердить факт его получения.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В подтвержденные дату и время сетевая организация осуществляют действия по установке (замене)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uppressAutoHyphens w:val="true"/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При ненаправлении потребителем сетевой организации в установленный срок ответа на запрос на установку (замену) ПУ, при получении ответа об отказе в установке ПУ или при двукратном недопуске к месту установки ПУ, но не ранее 4 месяцев с момента первого недопуска, ПУ подлежит установке в ином месте, максимально приближенном к границе балансовой принадлежности, с уведомлением лиц, которым направлялся запрос на установку (замену) ПУ, о смене места установки с указанием адреса такого места иных лиц, которые принимают участие в процедуре допуска ПУ в эксплуатацию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Установленный ПУ должен быть допущен в эксплуатацию. Под допуском ПУ в эксплуатацию понимается процедура, в ходе которой сетевой организацией проверяется и определяется готовность ПУ, в том числе входящего в состав измерительного комплекса или системы учета, к его использованию при осуществлении расчетов за электрическую энергию (мощность) и которая завершается документальным оформлением результатов допуска.</w:t>
      </w:r>
    </w:p>
    <w:p>
      <w:pPr>
        <w:pStyle w:val="Normal"/>
        <w:widowControl w:val="false"/>
        <w:tabs>
          <w:tab w:val="left" w:pos="0" w:leader="none"/>
        </w:tabs>
        <w:spacing w:before="0" w:after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Допуск в эксплуатацию ПУ осуществляется при участии уполномоченных представителей лиц, которым направлялся запрос на установку (замену) ПУ или приглашение для участия в процедуре допуска.</w:t>
      </w:r>
    </w:p>
    <w:p>
      <w:pPr>
        <w:pStyle w:val="Normal"/>
        <w:widowControl w:val="false"/>
        <w:tabs>
          <w:tab w:val="left" w:pos="0" w:leader="none"/>
        </w:tabs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окончании допуска в эксплуатацию ПУ организацией, осуществляющей допуск в эксплуатацию ПУ, в местах и способом, которые определены в соответствии с законодательством Российской Федерации об обеспечении единства измерений и о техническом регулировании, подлежит установке контрольная одноразовая номерная пломба (далее - контрольная пломба) и (или) знаки визуального контроля.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неявки потребителя для участия в процедуре допуска ПУ в эксплуатацию такая процедура проводится без его участия.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качестве расчетного ПУ принимается ПУ (в порядке убывания приоритета):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установленный и допущенный в эксплуатацию сетевой организацией. Такой ПУ становится расчетным с даты допуска его в эксплуатацию;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обеспечивающий проведение измерений с минимальной величиной потерь электрической энергии от места его установки до точки поставки (при номинальных токах и напряжениях); 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обеспечивающий минимальную величину погрешности измерительного канала. Погрешность измерительного канала определяется в соответствии с нормативным правовым актом уполномоченного федерального органа, регламентирующим расчет нормативов технологических потерь электрической энергии при ее передаче;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позволяющий измерять почасовые объемы потребления (производства) электрической энергии, в том числе входящий в измерительный комплекс;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входящий в состав автоматизированной информационно-измерительной системы учета.</w:t>
      </w:r>
    </w:p>
    <w:p>
      <w:pPr>
        <w:pStyle w:val="Normal"/>
        <w:widowControl w:val="false"/>
        <w:tabs>
          <w:tab w:val="left" w:pos="0" w:leader="none"/>
          <w:tab w:val="left" w:pos="709" w:leader="none"/>
          <w:tab w:val="left" w:pos="851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При этом ПУ, расположенные по иную сторону границы балансовой принадлежности от расчетных ПУ могут быть определены как контрольные ПУ.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pacing w:before="0" w:after="0"/>
        <w:ind w:left="0" w:hanging="0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случае, если ПУ расположен не на границе балансовой принадлежности объектов электроэнергетики (энергопринимающих устройств), то объем потребления (производства, передачи) электрической энергии (мощности), определенный на основании показаний такого ПУ, в целях осуществления расчетов по настоящему договору подлежит корректировке на величину потерь электрической энергии, возникающих на участке сети от границы балансовой принадлежности объектов электроэнергетики (энергопринимающих устройств) до места установки ПУ.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Лицами, ответственными за снятие показаний расчетного ПУ, являются: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сетевые организации в отношении ПУ, присоединенных к интеллектуальным системам учета электрической энергии (мощности) соответствующей сетевой организации, а также иных расчетных ПУ, расположенных в границах объектов электросетевого хозяйства сетевых организаций или в границах бесхозяйных объектов электросетевого хозяйства;</w:t>
      </w:r>
    </w:p>
    <w:p>
      <w:pPr>
        <w:pStyle w:val="Normal"/>
        <w:tabs>
          <w:tab w:val="left" w:pos="0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потребители, собственники (владельцы) объектов электросетевого хозяйства в отношении расчетных ПУ, установленных в границах объектов таких лиц и не присоединенных к интеллектуальным системам учета электрической энергии (мощности).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Снятие показаний расчетных ПУ осуществляется по состоянию на 00 часов 00 минут первого дня месяца, следующего за расчетным периодом, а в отношении ПУ, установленных в многоквартирных жилых домах, - до окончания 25-го дня расчетного месяца, а также по состоянию на 00 часов 00 минут дня расторжения (заключения) договора энергоснабжения.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Снятие показаний расчетного ПУ, не присоединенного к интеллектуальной системе учета электрической энергии (мощности), оформляется актом снятия показаний расчетного ПУ (Приложение №7) и подписывается лицом, ответственным за снятие показаний ПУ, а также представителями сетевой организации и (или) Гарантирующего поставщика в случае, если ими осуществляется совместное снятие показаний расчетного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Лицо, ответственное за снятие показаний ПУ, обеспечивает представление показаний расчетного ПУ Гарантирующему поставщику до окончания первого дня месяца, следующего за расчетным периодом, а ПУ, установленных в многоквартирных жилых домах, - до окончания 26-го дня расчетного месяца, а также в течение суток, следующих за датой расторжения (заключения) настоящего договора.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В отношении расчетных ПУ, не присоединенных к интеллектуальным системам учета электрической энергии (мощности), показания представляются с использованием телефонной связи, электронной почты или иным способом, позволяющим подтвердить факт их получения, а также при необходимости в письменной форме или в виде электронного документа, подписанного электронной подписью - Акта снятия показаний расчетных ПУ (Приложение № 7).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В отношении расчетных ПУ, присоединенных к интеллектуальным системам учета электрической энергии (мощности), показания представляются с использованием интеллектуальной системы учета электрической энергии (мощности) в соответствии с требованиями правил предоставления доступа к минимальному набору функций интеллектуальных систем учета электрической энергии (мощности).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Проверка правильности снятия показаний расчетных ПУ (далее - контрольное снятие показаний), не включенных в интеллектуальную систему учета гарантирующего поставщика или сетевой организации осуществляется не чаще одного раза в месяц.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 факту выявленного безучетного потребления расчетный прибор учета признается вышедшим из строя.</w:t>
      </w:r>
    </w:p>
    <w:p>
      <w:pPr>
        <w:pStyle w:val="ListParagraph"/>
        <w:tabs>
          <w:tab w:val="left" w:pos="709" w:leader="none"/>
        </w:tabs>
        <w:ind w:left="36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widowControl w:val="false"/>
        <w:numPr>
          <w:ilvl w:val="0"/>
          <w:numId w:val="3"/>
        </w:numPr>
        <w:tabs>
          <w:tab w:val="left" w:pos="709" w:leader="none"/>
        </w:tabs>
        <w:suppressAutoHyphens w:val="true"/>
        <w:ind w:left="0" w:hanging="0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ПОРЯДОК ОПРЕДЕЛЕНИЯ СТОИМОСТИ И ОБЪЕМА ПОКУПКИ ЭЛЕКТРИЧЕСКОЙ ЭНЕРГИИ (МОЩНОСТИ) ЗА РАСЧЕТНЫЙ ПЕРИОД.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Определение объема покупки электрической энергии (мощности), поставленной в точках поставки по настоящему договору за расчетный период, осуществляется на основании данных об объемах потребления электрической энергии (мощности), определенных в соответствии с использованием ПУ, указанных в Приложении № 1, а в случаях, указанных в п. 6.2 настоящего раздела, на основании расчетных способов.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Стоимость фактически потребленной электрической энергии (мощности), поставленной в точках поставки по настоящему договору за расчетный период, определяется исходя из фактического объема потребления электрической энергии (мощности) и регулируемой цены на электрическую энергию (мощность), установленной органом исполнительной власти субъекта Российской Федерации в области государственного регулирования тарифов.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Снятые показания ПУ сообщаются Гарантирующему поставщику с использованием телефонной связи, электронной почты, факсимильной связи или иным способом, позволяющим подтвердить факт получения, а также в письменной форме в виде Акта снятия показаний расчетного ПУ за расчетный период (Приложение № 7) в течение 2-х рабочих дней с момента снятия за подписью уполномоченного лица, заверенной печатью.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Определение объема потребленной электрической энергии (мощности)</w:t>
      </w:r>
      <w:r>
        <w:rPr>
          <w:rFonts w:ascii="Times New Roman" w:hAnsi="Times New Roman"/>
          <w:color w:val="0070C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осуществляется в соответствии с расчетными способами, определенными Основными положениями функционирования розничных рынков электрической энергии, утвержденными Постановлением Правительства Российской Федерации от 4 мая 2012г. № 442 (далее – Основные положения), и в случаях, определенных Основными положениями, в том числе: после двукратного недопуска к месту установки ПУ Сетевой организации или Гарантирующего поставщика к расчетному ПУ, установленному в границах энергопринимающих устройств Потребителя, для проведения контрольного снятия показаний или проведения проверки ПУ</w:t>
      </w:r>
      <w:r>
        <w:rPr>
          <w:rFonts w:ascii="Times New Roman" w:hAnsi="Times New Roman"/>
          <w:sz w:val="22"/>
          <w:szCs w:val="22"/>
          <w:shd w:fill="C0C0C0" w:val="clear"/>
        </w:rPr>
        <w:t>;</w:t>
      </w:r>
      <w:r>
        <w:rPr>
          <w:rFonts w:ascii="Times New Roman" w:hAnsi="Times New Roman"/>
          <w:sz w:val="22"/>
          <w:szCs w:val="22"/>
        </w:rPr>
        <w:t xml:space="preserve"> в случаях отсутствия, неисправности, утраты или истечения интервала между поверками, истечения срока эксплуатации расчетного ПУ, непредставления показаний расчетного ПУ в установленные сроки, а также отсутствия контрольного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Расчет объема потребления электрической энергии (мощности)</w:t>
      </w:r>
      <w:r>
        <w:rPr>
          <w:rFonts w:ascii="Times New Roman" w:hAnsi="Times New Roman"/>
          <w:color w:val="0070C0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Потребителю осуществляется с применением расчетного способа, предусмотренного Приложением № 3 к Основным положениям в случае потребления Потребителем электрической энергии (мощности) с нарушением установленного настоящим договором и (или) соответствующими нормативно-правовыми актами порядка учета электрической энергии (безучетное потребление), выразившимся во вмешательство в работу ПУ в случаях нарушения целостности (повреждения) прибора учета, измерительного комплекса, измерительных трансформаторов, нарушения (повреждения) пломб и (или) знаков визуального контроля, нанесенных на прибор учета, измерительный комплекс, измерительные трансформаторы, систему учета, компоненты интеллектуальной системы электрической энергии (мощности), на приспособления, препятствующие доступу к ним, расположенные до места установки ПУ электрической энергии (точки измерения прибором учета), когда ПУ установлены в границах балансовой принадлежности потребителя и (или) в границах земельного участка, принадлежащего потребителю на праве собственности или ином законном основании, на котором расположены энергопринимающие устройства потребителя или, если обязанность по обеспечению целостности и сохранности ПУ возложена на потребителя, а также с нарушением указанного порядка, обнаруженным в границах балансовой принадлежности потребителя подключения энергопринимающих устройств до точки измерения прибором учета или в границах земельного участка потребителя подключения до точки измерения прибором учета энергопринимающих устройств, расположенных в границах этого земельного участка.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uppressAutoHyphens w:val="true"/>
        <w:spacing w:before="0" w:after="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РАСЧЕТЫ ЗА ЭЛЕКТРИЧЕСКУЮ ЭНЕРГИЮ (МОЩНОСТЬ).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Расчетным периодом по настоящему договору является один календарный месяц.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</w:tabs>
        <w:suppressAutoHyphens w:val="true"/>
        <w:ind w:left="0" w:hanging="0"/>
        <w:jc w:val="both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Потребитель оплачивает электрическую энергию (мощность) </w:t>
      </w:r>
      <w:r>
        <w:rPr>
          <w:rFonts w:ascii="Times New Roman" w:hAnsi="Times New Roman"/>
          <w:b/>
          <w:sz w:val="22"/>
          <w:szCs w:val="22"/>
        </w:rPr>
        <w:t>в следующем порядке: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</w:r>
      <w:r>
        <w:rPr>
          <w:rFonts w:ascii="Times New Roman" w:hAnsi="Times New Roman"/>
          <w:b/>
          <w:sz w:val="22"/>
          <w:szCs w:val="22"/>
        </w:rPr>
        <w:t>30 процентов</w:t>
      </w:r>
      <w:r>
        <w:rPr>
          <w:rFonts w:ascii="Times New Roman" w:hAnsi="Times New Roman"/>
          <w:sz w:val="22"/>
          <w:szCs w:val="22"/>
        </w:rPr>
        <w:t xml:space="preserve"> стоимости электрической энергии (мощности) в подлежащем оплате объеме покупки в месяце, за который осуществляется оплата, вносится </w:t>
      </w:r>
      <w:r>
        <w:rPr>
          <w:rFonts w:ascii="Times New Roman" w:hAnsi="Times New Roman"/>
          <w:b/>
          <w:sz w:val="22"/>
          <w:szCs w:val="22"/>
        </w:rPr>
        <w:t>до 10-го</w:t>
      </w:r>
      <w:r>
        <w:rPr>
          <w:rFonts w:ascii="Times New Roman" w:hAnsi="Times New Roman"/>
          <w:sz w:val="22"/>
          <w:szCs w:val="22"/>
        </w:rPr>
        <w:t xml:space="preserve"> числа этого месяца;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</w:r>
      <w:r>
        <w:rPr>
          <w:rFonts w:ascii="Times New Roman" w:hAnsi="Times New Roman"/>
          <w:b/>
          <w:sz w:val="22"/>
          <w:szCs w:val="22"/>
        </w:rPr>
        <w:t>40 процентов</w:t>
      </w:r>
      <w:r>
        <w:rPr>
          <w:rFonts w:ascii="Times New Roman" w:hAnsi="Times New Roman"/>
          <w:sz w:val="22"/>
          <w:szCs w:val="22"/>
        </w:rPr>
        <w:t xml:space="preserve"> стоимости электрической энергии (мощности) в подлежащем оплате объеме покупки в месяце, за который осуществляется оплата, вносится </w:t>
      </w:r>
      <w:r>
        <w:rPr>
          <w:rFonts w:ascii="Times New Roman" w:hAnsi="Times New Roman"/>
          <w:b/>
          <w:sz w:val="22"/>
          <w:szCs w:val="22"/>
        </w:rPr>
        <w:t>до 25-го</w:t>
      </w:r>
      <w:r>
        <w:rPr>
          <w:rFonts w:ascii="Times New Roman" w:hAnsi="Times New Roman"/>
          <w:sz w:val="22"/>
          <w:szCs w:val="22"/>
        </w:rPr>
        <w:t xml:space="preserve"> числа этого месяца;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стоимость объема покупки электрической энергии (мощности) в месяце, за который осуществляется оплата, за вычетом средств, внесенных Потребителем в качестве оплаты электрической энергии (мощности) в течение этого месяца, оплачивается </w:t>
      </w:r>
      <w:r>
        <w:rPr>
          <w:rFonts w:ascii="Times New Roman" w:hAnsi="Times New Roman"/>
          <w:b/>
          <w:sz w:val="22"/>
          <w:szCs w:val="22"/>
        </w:rPr>
        <w:t>до 18-го</w:t>
      </w:r>
      <w:r>
        <w:rPr>
          <w:rFonts w:ascii="Times New Roman" w:hAnsi="Times New Roman"/>
          <w:sz w:val="22"/>
          <w:szCs w:val="22"/>
        </w:rPr>
        <w:t xml:space="preserve"> числа месяца, следующего за месяцем, за который осуществляется оплата. В случае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оплата.</w:t>
      </w:r>
    </w:p>
    <w:p>
      <w:pPr>
        <w:pStyle w:val="Normal"/>
        <w:tabs>
          <w:tab w:val="left" w:pos="709" w:leader="none"/>
          <w:tab w:val="left" w:pos="1134" w:leader="none"/>
          <w:tab w:val="left" w:pos="9781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7.3.</w:t>
        <w:tab/>
      </w:r>
      <w:r>
        <w:rPr>
          <w:rFonts w:ascii="Times New Roman" w:hAnsi="Times New Roman"/>
          <w:sz w:val="22"/>
          <w:szCs w:val="22"/>
        </w:rPr>
        <w:t>При получении сумм оплаты, частичной оплаты в счет предстоящих поставок электрической энергии (мощности) Гарантирующий поставщик выставляет счета-фактуры в порядке и сроки, предусмотренные законодательством РФ.</w:t>
      </w:r>
    </w:p>
    <w:p>
      <w:pPr>
        <w:pStyle w:val="Normal"/>
        <w:tabs>
          <w:tab w:val="left" w:pos="709" w:leader="none"/>
        </w:tabs>
        <w:suppressAutoHyphens w:val="true"/>
        <w:jc w:val="both"/>
        <w:rPr>
          <w:rFonts w:ascii="Times New Roman" w:hAnsi="Times New Roman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b/>
          <w:sz w:val="22"/>
          <w:szCs w:val="22"/>
        </w:rPr>
        <w:t>7.4.</w:t>
      </w:r>
      <w:r>
        <w:rPr>
          <w:rFonts w:ascii="Times New Roman" w:hAnsi="Times New Roman"/>
          <w:sz w:val="22"/>
          <w:szCs w:val="22"/>
        </w:rPr>
        <w:tab/>
        <w:t xml:space="preserve">По окончании расчетного периода Гарантирующий поставщик предъявляет Потребителю счет-фактуру, счет и Акт выполненных работ (приема-передачи) в 2-х экземплярах. Потребитель возвращает один экземпляр Акта выполненных работ (приема-передачи), подписанный руководителем и скрепленный печатью, </w:t>
      </w:r>
      <w:r>
        <w:rPr>
          <w:rFonts w:ascii="Times New Roman" w:hAnsi="Times New Roman"/>
          <w:sz w:val="22"/>
          <w:szCs w:val="22"/>
          <w:lang w:eastAsia="en-US"/>
        </w:rPr>
        <w:t xml:space="preserve">в адрес </w:t>
      </w:r>
      <w:r>
        <w:rPr>
          <w:rFonts w:ascii="Times New Roman" w:hAnsi="Times New Roman"/>
          <w:sz w:val="22"/>
          <w:szCs w:val="22"/>
        </w:rPr>
        <w:t>Гарантирующего поставщика</w:t>
      </w:r>
      <w:r>
        <w:rPr>
          <w:rFonts w:ascii="Times New Roman" w:hAnsi="Times New Roman"/>
          <w:sz w:val="22"/>
          <w:szCs w:val="22"/>
          <w:lang w:eastAsia="en-US"/>
        </w:rPr>
        <w:t xml:space="preserve"> не позднее 5-ти рабочих дней с момента получения</w:t>
      </w:r>
      <w:r>
        <w:rPr>
          <w:rFonts w:ascii="Times New Roman" w:hAnsi="Times New Roman"/>
          <w:color w:val="000000"/>
          <w:sz w:val="22"/>
          <w:szCs w:val="22"/>
          <w:lang w:eastAsia="en-US"/>
        </w:rPr>
        <w:t>. В случае н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евозврата </w:t>
      </w:r>
      <w:r>
        <w:rPr>
          <w:rFonts w:ascii="Times New Roman" w:hAnsi="Times New Roman"/>
          <w:color w:val="000000"/>
          <w:sz w:val="22"/>
          <w:szCs w:val="22"/>
        </w:rPr>
        <w:t>Потребителем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 подписанного Акта </w:t>
      </w:r>
      <w:r>
        <w:rPr>
          <w:rFonts w:ascii="Times New Roman" w:hAnsi="Times New Roman"/>
          <w:color w:val="000000"/>
          <w:sz w:val="22"/>
          <w:szCs w:val="22"/>
        </w:rPr>
        <w:t xml:space="preserve">выполненных работ (приема-передачи) </w:t>
      </w:r>
      <w:r>
        <w:rPr>
          <w:rFonts w:eastAsia="Calibri" w:ascii="Times New Roman" w:hAnsi="Times New Roman"/>
          <w:color w:val="000000"/>
          <w:sz w:val="22"/>
          <w:szCs w:val="22"/>
          <w:lang w:eastAsia="en-US"/>
        </w:rPr>
        <w:t xml:space="preserve">по истечении установленного выше срока указанный </w:t>
      </w:r>
      <w:r>
        <w:rPr>
          <w:rFonts w:ascii="Times New Roman" w:hAnsi="Times New Roman"/>
          <w:color w:val="000000"/>
          <w:sz w:val="22"/>
          <w:szCs w:val="22"/>
        </w:rPr>
        <w:t>Акт считается принятым, объемы согласованными.</w:t>
      </w:r>
    </w:p>
    <w:p>
      <w:pPr>
        <w:pStyle w:val="Normal"/>
        <w:tabs>
          <w:tab w:val="left" w:pos="709" w:leader="none"/>
        </w:tabs>
        <w:suppressAutoHyphens w:val="true"/>
        <w:ind w:firstLine="709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В случае частичного отказа от объема потребления </w:t>
      </w:r>
      <w:r>
        <w:rPr>
          <w:rFonts w:ascii="Times New Roman" w:hAnsi="Times New Roman"/>
          <w:sz w:val="22"/>
          <w:szCs w:val="22"/>
        </w:rPr>
        <w:t>электрической энергии (мощности)</w:t>
      </w:r>
      <w:r>
        <w:rPr>
          <w:rFonts w:ascii="Times New Roman" w:hAnsi="Times New Roman"/>
          <w:sz w:val="22"/>
          <w:szCs w:val="22"/>
          <w:lang w:eastAsia="en-US"/>
        </w:rPr>
        <w:t xml:space="preserve">, указанного в Акте </w:t>
      </w:r>
      <w:r>
        <w:rPr>
          <w:rFonts w:ascii="Times New Roman" w:hAnsi="Times New Roman"/>
          <w:sz w:val="22"/>
          <w:szCs w:val="22"/>
        </w:rPr>
        <w:t>выполненных работ (приема-передачи)</w:t>
      </w:r>
      <w:r>
        <w:rPr>
          <w:rFonts w:ascii="Times New Roman" w:hAnsi="Times New Roman"/>
          <w:sz w:val="22"/>
          <w:szCs w:val="22"/>
          <w:lang w:eastAsia="en-US"/>
        </w:rPr>
        <w:t xml:space="preserve">, Потребитель обязан оплатить стоимость неоспариваемой части потребления в срок, установленный настоящим договором и направить Гарантирующему поставщику мотивированный отказ от оплаты оспариваемой части объема потребления. </w:t>
      </w:r>
    </w:p>
    <w:p>
      <w:pPr>
        <w:pStyle w:val="Normal"/>
        <w:tabs>
          <w:tab w:val="left" w:pos="709" w:leader="none"/>
        </w:tabs>
        <w:suppressAutoHyphens w:val="true"/>
        <w:ind w:firstLine="709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В случае если Потребитель не направил в адрес Гарантирующего поставщика мотивированного отказа в течение 5-ти рабочих дней с момента получения Акта </w:t>
      </w:r>
      <w:r>
        <w:rPr>
          <w:rFonts w:ascii="Times New Roman" w:hAnsi="Times New Roman"/>
          <w:sz w:val="22"/>
          <w:szCs w:val="22"/>
        </w:rPr>
        <w:t>выполненных работ (приема-передачи)</w:t>
      </w:r>
      <w:r>
        <w:rPr>
          <w:rFonts w:ascii="Times New Roman" w:hAnsi="Times New Roman"/>
          <w:sz w:val="22"/>
          <w:szCs w:val="22"/>
          <w:lang w:eastAsia="en-US"/>
        </w:rPr>
        <w:t xml:space="preserve">, претензии по объему и качеству не принимаются. </w:t>
      </w:r>
    </w:p>
    <w:p>
      <w:pPr>
        <w:pStyle w:val="Normal"/>
        <w:tabs>
          <w:tab w:val="left" w:pos="709" w:leader="none"/>
        </w:tabs>
        <w:suppressAutoHyphens w:val="true"/>
        <w:spacing w:before="0" w:after="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Размер оспариваемых обязательств по оплате определяется Сторонами путём переговоров, а в случае недостижения согласия – в судебном порядке.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7.5.</w:t>
      </w:r>
      <w:r>
        <w:rPr>
          <w:rFonts w:ascii="Times New Roman" w:hAnsi="Times New Roman"/>
          <w:sz w:val="22"/>
          <w:szCs w:val="22"/>
        </w:rPr>
        <w:t xml:space="preserve"> Обязательство по оплате считается исполненным в день поступления денежных средств на расчетный счет Гарантирующего поставщика.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7.6.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Стороны обязуются ежеквартально проводить сверку расчетов по настоящему договору с составлением Акта сверки. </w:t>
      </w:r>
      <w:r>
        <w:rPr>
          <w:rFonts w:ascii="Times New Roman" w:hAnsi="Times New Roman"/>
          <w:sz w:val="22"/>
          <w:szCs w:val="22"/>
        </w:rPr>
        <w:t xml:space="preserve">Гарантирующий Поставщик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в течение 10 дней по истечении квартала направляет </w:t>
      </w:r>
      <w:r>
        <w:rPr>
          <w:rFonts w:ascii="Times New Roman" w:hAnsi="Times New Roman"/>
          <w:sz w:val="22"/>
          <w:szCs w:val="22"/>
          <w:lang w:eastAsia="en-US"/>
        </w:rPr>
        <w:t xml:space="preserve">Потребителю </w:t>
      </w:r>
      <w:r>
        <w:rPr>
          <w:rFonts w:eastAsia="Calibri" w:ascii="Times New Roman" w:hAnsi="Times New Roman"/>
          <w:sz w:val="22"/>
          <w:szCs w:val="22"/>
          <w:lang w:eastAsia="en-US"/>
        </w:rPr>
        <w:t>оформленный со своей стороны Акт сверки, подписанный руководителем и главным бухгалтером.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suppressAutoHyphens w:val="true"/>
        <w:ind w:firstLine="709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Потребитель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обязан рассмотреть полученный от </w:t>
      </w:r>
      <w:r>
        <w:rPr>
          <w:rFonts w:ascii="Times New Roman" w:hAnsi="Times New Roman"/>
          <w:sz w:val="22"/>
          <w:szCs w:val="22"/>
        </w:rPr>
        <w:t xml:space="preserve">Гарантирующего поставщика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Акт сверки в течение 10 календарных дней с момента получения Акта сверки, подписать и направить один экземпляр </w:t>
      </w:r>
      <w:r>
        <w:rPr>
          <w:rFonts w:ascii="Times New Roman" w:hAnsi="Times New Roman"/>
          <w:sz w:val="22"/>
          <w:szCs w:val="22"/>
        </w:rPr>
        <w:t>Гарантирующему поставщику</w:t>
      </w:r>
      <w:r>
        <w:rPr>
          <w:rFonts w:eastAsia="Calibri" w:ascii="Times New Roman" w:hAnsi="Times New Roman"/>
          <w:sz w:val="22"/>
          <w:szCs w:val="22"/>
          <w:lang w:eastAsia="en-US"/>
        </w:rPr>
        <w:t>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  <w:tab/>
        <w:t xml:space="preserve">Невозврат </w:t>
      </w:r>
      <w:r>
        <w:rPr>
          <w:rFonts w:ascii="Times New Roman" w:hAnsi="Times New Roman"/>
          <w:sz w:val="22"/>
          <w:szCs w:val="22"/>
          <w:lang w:eastAsia="en-US"/>
        </w:rPr>
        <w:t xml:space="preserve">Потребителем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подписанных Актов сверки по истечении установленного выше срока будет рассматриваться как согласие </w:t>
      </w:r>
      <w:r>
        <w:rPr>
          <w:rFonts w:ascii="Times New Roman" w:hAnsi="Times New Roman"/>
          <w:sz w:val="22"/>
          <w:szCs w:val="22"/>
          <w:lang w:eastAsia="en-US"/>
        </w:rPr>
        <w:t xml:space="preserve">Потребителя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 расчетами, указанными в Актах сверки. </w:t>
      </w:r>
      <w:r>
        <w:rPr>
          <w:rFonts w:ascii="Times New Roman" w:hAnsi="Times New Roman"/>
          <w:sz w:val="22"/>
          <w:szCs w:val="22"/>
          <w:lang w:eastAsia="en-US"/>
        </w:rPr>
        <w:t xml:space="preserve">Потребитель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обязуется погасить выявленную в Актах сверки задолженность в течение 10 банковских дней с момента выставления </w:t>
      </w:r>
      <w:r>
        <w:rPr>
          <w:rFonts w:ascii="Times New Roman" w:hAnsi="Times New Roman"/>
          <w:sz w:val="22"/>
          <w:szCs w:val="22"/>
        </w:rPr>
        <w:t xml:space="preserve">Гарантирующим поставщиком </w:t>
      </w:r>
      <w:r>
        <w:rPr>
          <w:rFonts w:eastAsia="Calibri" w:ascii="Times New Roman" w:hAnsi="Times New Roman"/>
          <w:sz w:val="22"/>
          <w:szCs w:val="22"/>
          <w:lang w:eastAsia="en-US"/>
        </w:rPr>
        <w:t xml:space="preserve">соответствующего счета. </w:t>
      </w:r>
    </w:p>
    <w:p>
      <w:pPr>
        <w:pStyle w:val="Normal"/>
        <w:tabs>
          <w:tab w:val="left" w:pos="0" w:leader="none"/>
          <w:tab w:val="left" w:pos="709" w:leader="none"/>
        </w:tabs>
        <w:suppressAutoHyphens w:val="true"/>
        <w:jc w:val="both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 w:ascii="Times New Roman" w:hAnsi="Times New Roman"/>
          <w:sz w:val="22"/>
          <w:szCs w:val="22"/>
          <w:lang w:eastAsia="en-US"/>
        </w:rPr>
      </w:r>
    </w:p>
    <w:p>
      <w:pPr>
        <w:pStyle w:val="ListParagraph"/>
        <w:numPr>
          <w:ilvl w:val="0"/>
          <w:numId w:val="3"/>
        </w:numPr>
        <w:tabs>
          <w:tab w:val="left" w:pos="1134" w:leader="none"/>
        </w:tabs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ПОРЯДОК ОГРАНИЧЕНИЯ РЕЖИМА ПОТРЕБЛЕНИЯ ЭЛЕКТРИЧЕСКОЙ ЭНЕРГИИ (МОЩНОСТИ).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Ограничение режима потребления электрической энергии (мощности) вводится в соответствии с действующим законодательством РФ при наступлении любого из следующих обстоятельств: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 получение законного требования судебного пристава-исполнителя о введении ограничения режима потребления;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 нарушение Потребителем своих обязательств, выразившееся в следующих действиях: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неисполнение или ненадлежащее исполнение обязательств по оплате электрической энергии (мощности) и услуг по передаче электрической энергии, если это привело к образованию задолженности Потребителя перед Гарантирующим поставщиком по основному обязательству, в том числе обязательству по предварительной оплате электрической энергии (мощности);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неисполнение или ненадлежащее исполнение Потребителем условий договора, касающихся обеспечения функционирования устройств релейной защиты, противоаварийной и режимной автоматики, устройств компенсации реактивной мощности;</w:t>
      </w:r>
    </w:p>
    <w:p>
      <w:pPr>
        <w:pStyle w:val="Normal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нарушение характеристик технологического присоединения, указанных в документах о технологическом присоединении (в том числе превышение максимальной мощности энергопринимающего устройства потребителя), вызванное подключением Потребителем к принадлежащим ему энергопринимающим устройствам и (или)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в) </w:t>
        <w:tab/>
        <w:t>прекращение обязательств по поставке электрической энергии (мощности) по настоящему договору энергоснабжения в отношении энергопринимающих устройств Потребителя;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г) </w:t>
        <w:tab/>
        <w:t>выявление факта бездоговорного потребления электрической энергии;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д) </w:t>
        <w:tab/>
        <w:t>выявление ненадлежащего технологического присоединения энергопринимающих устройств Потребителя при отсутствии документов, подтверждающих технологическое присоединение и (или) разграничение балансовой принадлежности;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е) </w:t>
        <w:tab/>
        <w:t>поступление от Потребителя заявления о введении в отношении его энергопринимающих устройств и (или) объектов электроэнергетики ограничения режима потребления в случае, если у Потребителя отсутствует техническая возможность самостоятельного ограничения режима потребления;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ж) </w:t>
        <w:tab/>
        <w:t>окончание срока, на который осуществлялось технологическое присоединение с применением временной схемы электроснабжения, или возникновение основания для его досрочного прекращения;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з) </w:t>
        <w:tab/>
        <w:t>возникновение (угроза возникновения) аварийных электроэнергетических режимов;</w:t>
      </w:r>
    </w:p>
    <w:p>
      <w:pPr>
        <w:pStyle w:val="Normal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и)  </w:t>
        <w:tab/>
        <w:t>необходимость проведения ремонтных работ на объектах электросетевого хозяйства Сетевой организации, к которым присоединены энергопринимающие устройства и (или) объекты электроэнергетики Потребителя, или необходимость проведения ремонтных работ на объектах электросетевого хозяйства смежных сетевых организаций (объектах электросетевого хозяйства иных владельцев) либо на объектах по производству электрической энергии в случае, если проведение этих работ невозможно без ограничения режима потребления.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введения ограничения режима потребления в отношении Потребителя, к энергопринимающим устройствам которого присоединены энергопринимающие устройства и (или) объекты электроэнергетики иных потребителей (субабонентов), то Потребитель обязан обеспечить переток электрической энергии таким потребителям (субабонентам) в объеме их потребления.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Ограничение режима потребления энергопринимающих устройств и (или) объектами электроэнергетики Потребителя, в отношении которых предоставлено обеспечение исполнения обязательств по оплате электрической энергии (мощности), в связи с наступлением обстоятельств, указанных в абзаце втором подпункта "б" пункта 8.1 настоящего договора, не вводится до прекращения действия предоставленного обеспечения исполнения обязательств по оплате электрической энергии (мощности).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Введение ограничения режима потребления осуществляется в порядке, установленным Правилами полного и (или) частичного ограничения, утверждённого постановлением Правительства Российской Федерации от 04.05.2012 № 442. </w:t>
      </w:r>
    </w:p>
    <w:p>
      <w:pPr>
        <w:pStyle w:val="ListParagraph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Потребитель, ограничение режима потребления которого может привести к экономическим, экологическим или социальным последствиям, обязан после дня уведомления его о введении частичного ограничения: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течение 3 дней представить Гарантирующему поставщику утвержденный план мероприятий по обеспечению готовности к введению полного ограничения;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срок, предусмотренный планом, выполнить указанные мероприятия;</w:t>
      </w:r>
    </w:p>
    <w:p>
      <w:pPr>
        <w:pStyle w:val="ListParagraph"/>
        <w:widowControl w:val="false"/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 течение 2 месяцев выполнить мероприятия по установке за свой счет автономных источников питания, обеспечивающих безопасное функционирование его энергопринимающих устройств и (или) объектов электроэнергетики без необходимости потребления электрической энергии из внешней сети, - в случае если в установленный срок им не был представлен утвержденный план указанных мероприятий либо если предусмотренный планом срок проведения указанных мероприятий превышает 6 месяцев.</w:t>
      </w:r>
    </w:p>
    <w:p>
      <w:pPr>
        <w:pStyle w:val="ListParagraph"/>
        <w:widowControl w:val="false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После выполнения этих мероприятий Потребитель обязан направить Гарантирующему поставщику уведомление о готовности к введению полного ограничения режима потребления.</w:t>
      </w:r>
    </w:p>
    <w:p>
      <w:pPr>
        <w:pStyle w:val="ListParagraph"/>
        <w:widowControl w:val="false"/>
        <w:numPr>
          <w:ilvl w:val="1"/>
          <w:numId w:val="3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Введение частичного (полного) ограничения режима потребления электрической энергии выполняется в следующем порядке: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</w:t>
        <w:tab/>
        <w:t>Гарантирующий поставщик уведомляет Потребителя о планируемом введении ограничения режима потребления за 10 дней до планируемого ограничения, в котором указывается уровень вводимого ограничения, дата планируемого ограничения (частичного и полного), требование к Потребителю о самостоятельном ограничении режима потребления, а также указание на последствия невыполнения указанного требования;</w:t>
      </w:r>
    </w:p>
    <w:p>
      <w:pPr>
        <w:pStyle w:val="Normal"/>
        <w:widowControl w:val="false"/>
        <w:jc w:val="both"/>
        <w:rPr>
          <w:rStyle w:val="Annotationreference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</w:t>
        <w:tab/>
        <w:t xml:space="preserve">Потребитель обязан самостоятельно ввести ограничение режима потребления электрической энергии в дату и до уровня, указанные в уведомлении. Гарантирующий поставщик вправе присутствовать при введении Потребителем ограничения режима потребления электрической энергии.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Style w:val="Annotationreference"/>
          <w:rFonts w:ascii="Times New Roman" w:hAnsi="Times New Roman"/>
          <w:b/>
          <w:sz w:val="22"/>
          <w:szCs w:val="22"/>
        </w:rPr>
        <w:t>8.8.</w:t>
      </w:r>
      <w:r>
        <w:rPr>
          <w:rStyle w:val="Annotationreference"/>
          <w:rFonts w:ascii="Times New Roman" w:hAnsi="Times New Roman"/>
          <w:sz w:val="22"/>
          <w:szCs w:val="22"/>
        </w:rPr>
        <w:t xml:space="preserve"> У</w:t>
      </w:r>
      <w:r>
        <w:rPr>
          <w:rFonts w:ascii="Times New Roman" w:hAnsi="Times New Roman"/>
          <w:sz w:val="22"/>
          <w:szCs w:val="22"/>
        </w:rPr>
        <w:t xml:space="preserve">ведомление о введении ограничения может быть направлено Гарантирующим поставщиком одним из следующих способов: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направления короткого текстового сообщения (смс-сообщение) на номер мобильного телефона Потребителя, при этом уведомление считается полученным в момент его направления;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направления сообщения скан-копии уведомления на адрес электронной почты Потребителя с адреса электронной почты Гарантирующего Поставщика, указанного на сайте Гарантирующего Поставщика в сети Интернет www.kamenergo.ru при этом уведомление считается полученным в момент его направления;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включения текста уведомления в документах на оплату потребленной электрической энергии (мощности) при этом уведомление считается полученным в момент вручения документов на оплату;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опубликования в периодическом печатном издании, являющемся источником официального опубликования нормативных правовых актов органов государственной власти Камчатского края;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направлением заказного почтового отправления по адресу, который указан в настоящем договоре (Раздел 12). Уведомления, направленные по указанному адресу, считаются полученными, даже если потребитель фактически не проживает (не находится) по указанному адресу, по истечении контрольных сроков пересылки письменной корреспонденции.; 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вручением представителю Потребителя под роспись с указанием даты вручения и расшифровкой подписи и занимаемой должности лица, получившего уведомление;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телефонограммой;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>посредством факсимильной связи;</w:t>
      </w:r>
    </w:p>
    <w:p>
      <w:pPr>
        <w:pStyle w:val="Normal"/>
        <w:widowControl w:val="false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</w:t>
        <w:tab/>
        <w:t xml:space="preserve">посредством направления сканированной копии уведомления на адрес электронной почты Потребителя однократно. В данном случае уведомление считается доставленным, а Потребитель уведомленным в день направления такого документа. </w:t>
      </w:r>
    </w:p>
    <w:p>
      <w:pPr>
        <w:pStyle w:val="ListParagraph"/>
        <w:widowControl w:val="false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Адрес электронной почты, телефон и (или) факс, на которые Гарантирующим поставщиком направляются уведомления о погашении задолженности и введении ограничения, указаны в Приложении № 9 настоящего Договора.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случае, если до указанной даты в уведомлении о планируемом введении ограничения режима Потребителем в полном объеме исполнено требование о погашении задолженности или представлены документы, свидетельствующие об отсутствии у него задолженности, либо устранены иные причины, обусловившие введение ограничения режима потребления, то ограничение режима потребления не вводится.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Отказ Потребителя от признания задолженности или указанного в уведомлении о планируемом введении ограничения режима потребления размера задолженности не является препятствием для введения ограничения режима потребления.</w:t>
      </w:r>
    </w:p>
    <w:p>
      <w:pPr>
        <w:pStyle w:val="ListParagraph"/>
        <w:widowControl w:val="false"/>
        <w:numPr>
          <w:ilvl w:val="1"/>
          <w:numId w:val="7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 вправе потребовать с Потребителя, в отношении которого было введено ограничение режима потребления, компенсации расходов на оплату действий Гарантирующего поставщика по введению ограничения режима потребления такого Потребителя и возобновлению подачи электрической энергии.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7"/>
        </w:numPr>
        <w:tabs>
          <w:tab w:val="left" w:pos="0" w:leader="none"/>
        </w:tabs>
        <w:spacing w:before="0" w:after="0"/>
        <w:ind w:hanging="0"/>
        <w:contextualSpacing/>
        <w:jc w:val="center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ОТВЕТСТВЕННОСТЬ СТОРОН.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Стороны несут ответственность за неисполнение или ненадлежащее исполнение обязательств по настоящему договору в случаях и порядке, определенном законодательством РФ и настоящим договором, в том числе за нарушение порядка полного и (или) частичного ограничения режима потребления электрической энергии. 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Потребитель несет ответственность за необеспечение допуска представителей сетевой организации (Гарантирующего поставщика) к месту установки прибора учета.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Гарантирующий Поставщик несет ответственность за нарушение условий поставки, в том числе за надежность снабжения электрической энергией и ее качество в пределах границ балансовой принадлежности объектов электросетевого хозяйства Сетевой организации. 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Стороны несут ответственность за состояние и обслуживание объектов электросетевого хозяйства, которая определяется балансовой принадлежностью Сетевой организации и Потребителя и фиксируется в документах о технологическом присоединении.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 случае несвоевременной и (или) неполной оплаты электрической энергии (мощности) Потребитель несет ответственность, предусмотренную действующим законодательством РФ.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отсутствии Акта согласования аварийной и (или) технологической брони, когда ограничение режима потребления может привести к возникновению угрозы жизни и здоровью людей, экологической безопасности либо безопасности государства, Потребитель несет ответственность, в том числе перед третьими лицами, за последствия, вызванные применением к нему ограничения режима потребления.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Все споры и разногласия, возникающие в связи с исполнением, заключением и расторжением настоящего договора, подлежат разрешению в Арбитражном суде Камчатского края или судах общей юрисдикции в зависимости от подсудности</w:t>
      </w:r>
      <w:r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Каждая из Сторон имеет право обратиться с заявлением об урегулировании разногласий, возникших при заключении, изменении настоящего договора.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Спор, возникающий из настоящего договора, может быть передан на разрешение Арбитражного суда после принятия Сторонами мер по досудебному урегулированию по истечении десяти календарных дней со дня направления претензии (требования)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Стороны освобождаются от всех или части взятых на себя обязательств, в случае возникновения непредвиденных и независящих от их воли обстоятельств (форс-мажорные обстоятельства).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Сторона, ссылающаяся на форс-мажорные обстоятельства, обязана незамедлительно информировать другую Сторону и Сетевую организацию о наступлении подобных обстоятельств в письменной форме. В этом случае по требованию любой из Сторон может быть создана комиссия для определения возможности (способа) дальнейшего выполнения настоящего договора.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Надлежащим подтверждением наличия форс-мажорных обстоятельств будут служить решения (заявления) компетентных государственных органов или сообщения в официальных средствах массовой информации.</w:t>
      </w:r>
    </w:p>
    <w:p>
      <w:pPr>
        <w:pStyle w:val="ListParagraph"/>
        <w:numPr>
          <w:ilvl w:val="1"/>
          <w:numId w:val="8"/>
        </w:numPr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Споры между Сторонами договора по ненадлежащему качеству электрической энергии рассматриваются с обязательным привлечением Сетевой организации, к чьим сетям присоединены энергопринимающие установки Потребителя.</w:t>
      </w:r>
    </w:p>
    <w:p>
      <w:pPr>
        <w:pStyle w:val="Normal"/>
        <w:tabs>
          <w:tab w:val="left" w:pos="0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8"/>
        </w:numPr>
        <w:tabs>
          <w:tab w:val="left" w:pos="0" w:leader="none"/>
        </w:tabs>
        <w:suppressAutoHyphens w:val="true"/>
        <w:spacing w:before="60" w:after="60"/>
        <w:contextualSpacing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СРОК ДЕЙСТВИЯ ДОГОВОРА.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вступает в силу с момента подписания, распространяет свое действие на правоотношения сторон, возникшие с _________ и действует по ___________ включительно, а в части расчетов за потребленную электрическую энергию (мощность) до полного исполнения обязательств по оплате.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если договор заключается в отношении энергопринимающих устройств до завершения процедуры их технологического присоединения, настоящий договор считается заключенным </w:t>
      </w:r>
      <w:r>
        <w:rPr>
          <w:rFonts w:ascii="Times New Roman" w:hAnsi="Times New Roman"/>
          <w:bCs/>
          <w:sz w:val="22"/>
          <w:szCs w:val="22"/>
        </w:rPr>
        <w:t xml:space="preserve">с даты фактической подачи сетевой организацией напряжения и мощности на объекты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  <w:bCs/>
          <w:sz w:val="22"/>
          <w:szCs w:val="22"/>
        </w:rPr>
        <w:t>, соответствующей дате фактического присоединения, указанной в акте об осуществлении технологического присоединения.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ab/>
        <w:t>В случае, если договор заключается в отношении энергопринимающих устройств по второй или третьей категории надежности, максимальная мощность которых составляет до 150 кВт, или физическим лицом в отношении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 и электроснабжение которых предусматривается по одному источнику - со дня составления и размещения в личном кабинете потребителя на официальном сайте сетевой организации акта об осуществлении технологического присоединения, подписанного со стороны сетевой организации.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Предложение об изменении, расторжении настоящего договора, а также о заключении нового договора может быть заявлено Стороной договора не менее чем за двадцать дней до предлагаемой даты изменения, расторжения или заключения нового договора.</w:t>
      </w:r>
    </w:p>
    <w:p>
      <w:pPr>
        <w:pStyle w:val="ListParagraph"/>
        <w:numPr>
          <w:ilvl w:val="1"/>
          <w:numId w:val="8"/>
        </w:numPr>
        <w:tabs>
          <w:tab w:val="left" w:pos="709" w:leader="none"/>
        </w:tabs>
        <w:ind w:lef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Настоящий договор может быть расторгнут Сторонами в одностороннем порядке в соответствии с действующим законодательством РФ.</w:t>
      </w:r>
    </w:p>
    <w:p>
      <w:pPr>
        <w:pStyle w:val="Style20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ListParagraph"/>
        <w:numPr>
          <w:ilvl w:val="0"/>
          <w:numId w:val="8"/>
        </w:numPr>
        <w:tabs>
          <w:tab w:val="left" w:pos="0" w:leader="none"/>
        </w:tabs>
        <w:suppressAutoHyphens w:val="true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ПРИЛОЖЕНИЯ К ДОГОВОРУ.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1 </w:t>
        <w:tab/>
        <w:t>«Перечень объектов энергопотребления с указанием точек учета».</w:t>
      </w:r>
    </w:p>
    <w:p>
      <w:pPr>
        <w:pStyle w:val="Normal"/>
        <w:spacing w:before="60" w:after="60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2 </w:t>
        <w:tab/>
      </w:r>
      <w:r>
        <w:rPr>
          <w:rFonts w:ascii="Times New Roman" w:hAnsi="Times New Roman"/>
          <w:b/>
          <w:iCs/>
          <w:sz w:val="22"/>
          <w:szCs w:val="22"/>
        </w:rPr>
        <w:t>«Цена договора (в кВтч)».</w:t>
      </w:r>
      <w:r>
        <w:rPr>
          <w:rFonts w:ascii="Times New Roman" w:hAnsi="Times New Roman"/>
          <w:iCs/>
          <w:sz w:val="26"/>
          <w:szCs w:val="26"/>
        </w:rPr>
        <w:t xml:space="preserve"> 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3 </w:t>
        <w:tab/>
        <w:t xml:space="preserve">«Акт об осуществлении технологического присоединения и (или) </w:t>
      </w:r>
      <w:r>
        <w:rPr>
          <w:rFonts w:ascii="Times New Roman" w:hAnsi="Times New Roman"/>
          <w:b/>
          <w:sz w:val="22"/>
          <w:szCs w:val="22"/>
        </w:rPr>
        <w:t>Акт разграничения балансовой принадлежности электросетей и эксплуатационной ответственности сторон</w:t>
      </w:r>
      <w:r>
        <w:rPr>
          <w:rFonts w:ascii="Times New Roman" w:hAnsi="Times New Roman"/>
          <w:b/>
          <w:bCs/>
          <w:sz w:val="22"/>
          <w:szCs w:val="22"/>
        </w:rPr>
        <w:t xml:space="preserve">» - </w:t>
      </w:r>
      <w:r>
        <w:rPr>
          <w:rFonts w:ascii="Times New Roman" w:hAnsi="Times New Roman"/>
          <w:bCs/>
          <w:sz w:val="22"/>
          <w:szCs w:val="22"/>
        </w:rPr>
        <w:t>оформляется (обновляется)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Потребителем в Сетевой организации.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4</w:t>
        <w:tab/>
        <w:t>«</w:t>
      </w:r>
      <w:r>
        <w:rPr>
          <w:rFonts w:ascii="Times New Roman" w:hAnsi="Times New Roman"/>
          <w:b/>
          <w:sz w:val="22"/>
          <w:szCs w:val="22"/>
        </w:rPr>
        <w:t>Точки присоединения и величина максимальной мощности энергопринимающих устройств».</w:t>
      </w:r>
    </w:p>
    <w:p>
      <w:pPr>
        <w:pStyle w:val="Normal"/>
        <w:spacing w:before="60" w:after="6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 № 5</w:t>
        <w:tab/>
        <w:t>«Условия потребления и генерации реактивной электроэнергии».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6</w:t>
        <w:tab/>
        <w:t xml:space="preserve">Форма «Акт согласования аварийной и технологической брони» - </w:t>
      </w:r>
      <w:r>
        <w:rPr>
          <w:rFonts w:ascii="Times New Roman" w:hAnsi="Times New Roman"/>
          <w:bCs/>
          <w:sz w:val="22"/>
          <w:szCs w:val="22"/>
        </w:rPr>
        <w:t>оформляется Потребителем и согласовывается Гарантирующим поставщиком, ответственный – Отдел диспетчерского контроля тел. 29-62-10.</w:t>
      </w:r>
    </w:p>
    <w:p>
      <w:pPr>
        <w:pStyle w:val="Normal"/>
        <w:spacing w:before="60" w:after="60"/>
        <w:jc w:val="both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/>
          <w:bCs/>
          <w:sz w:val="22"/>
          <w:szCs w:val="22"/>
        </w:rPr>
        <w:t>№ 7</w:t>
        <w:tab/>
        <w:t xml:space="preserve">Форма «Акт снятия показаний расчетных приборов учета» - </w:t>
      </w:r>
      <w:r>
        <w:rPr>
          <w:rFonts w:ascii="Times New Roman" w:hAnsi="Times New Roman"/>
          <w:bCs/>
          <w:sz w:val="22"/>
          <w:szCs w:val="22"/>
        </w:rPr>
        <w:t>заполняется Потребителем и предоставляется Гарантирующему поставщику ежемесячно.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 </w:t>
      </w:r>
      <w:r>
        <w:rPr>
          <w:rFonts w:ascii="Times New Roman" w:hAnsi="Times New Roman"/>
          <w:b/>
          <w:bCs/>
          <w:sz w:val="22"/>
          <w:szCs w:val="22"/>
        </w:rPr>
        <w:t>№ 8</w:t>
        <w:tab/>
        <w:t xml:space="preserve">Форма «Акт выполненных работ (приема-передачи электрической энергии)» - </w:t>
      </w:r>
      <w:r>
        <w:rPr>
          <w:rFonts w:ascii="Times New Roman" w:hAnsi="Times New Roman"/>
          <w:bCs/>
          <w:sz w:val="22"/>
          <w:szCs w:val="22"/>
        </w:rPr>
        <w:t xml:space="preserve">ежемесячно оформляется Гарантирующим поставщиком и направляется </w:t>
      </w:r>
      <w:r>
        <w:rPr>
          <w:rFonts w:ascii="Times New Roman" w:hAnsi="Times New Roman"/>
          <w:sz w:val="22"/>
          <w:szCs w:val="22"/>
        </w:rPr>
        <w:t>Потребителю</w:t>
      </w:r>
      <w:r>
        <w:rPr>
          <w:rFonts w:ascii="Times New Roman" w:hAnsi="Times New Roman"/>
          <w:bCs/>
          <w:sz w:val="22"/>
          <w:szCs w:val="22"/>
        </w:rPr>
        <w:t>.</w:t>
      </w:r>
    </w:p>
    <w:p>
      <w:pPr>
        <w:pStyle w:val="Normal"/>
        <w:spacing w:before="60" w:after="60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Приложение № 9</w:t>
        <w:tab/>
        <w:t>«</w:t>
      </w:r>
      <w:r>
        <w:rPr>
          <w:rFonts w:ascii="Times New Roman" w:hAnsi="Times New Roman"/>
          <w:b/>
          <w:sz w:val="22"/>
          <w:szCs w:val="22"/>
        </w:rPr>
        <w:t>Список ответственных лиц и иная контактная информация</w:t>
      </w:r>
      <w:r>
        <w:rPr>
          <w:rFonts w:ascii="Times New Roman" w:hAnsi="Times New Roman"/>
          <w:b/>
          <w:bCs/>
          <w:sz w:val="22"/>
          <w:szCs w:val="22"/>
        </w:rPr>
        <w:t xml:space="preserve">» - </w:t>
      </w:r>
      <w:r>
        <w:rPr>
          <w:rFonts w:ascii="Times New Roman" w:hAnsi="Times New Roman"/>
          <w:bCs/>
          <w:sz w:val="22"/>
          <w:szCs w:val="22"/>
        </w:rPr>
        <w:t>заполняется (обновляется) Потребителем и направляется Гарантирующему поставщику вместе с подписанным договором.</w:t>
      </w:r>
    </w:p>
    <w:p>
      <w:pPr>
        <w:pStyle w:val="Style20"/>
        <w:spacing w:lineRule="auto" w:line="240"/>
        <w:rPr>
          <w:rFonts w:ascii="Times New Roman" w:hAnsi="Times New Roman"/>
          <w:b/>
          <w:b/>
          <w:bCs/>
          <w:iCs/>
        </w:rPr>
      </w:pPr>
      <w:r>
        <w:rPr>
          <w:rFonts w:ascii="Times New Roman" w:hAnsi="Times New Roman"/>
          <w:b/>
          <w:bCs/>
          <w:iCs/>
        </w:rPr>
      </w:r>
    </w:p>
    <w:p>
      <w:pPr>
        <w:pStyle w:val="Style20"/>
        <w:numPr>
          <w:ilvl w:val="0"/>
          <w:numId w:val="8"/>
        </w:numPr>
        <w:spacing w:lineRule="auto" w:line="240"/>
        <w:jc w:val="center"/>
        <w:rPr>
          <w:rFonts w:ascii="Times New Roman" w:hAnsi="Times New Roman"/>
          <w:b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РЕКВИЗИТЫ СТОРОН ПО ДОГОВОРУ ЭНЕРГОСНАБЖЕНИЯ</w:t>
      </w:r>
    </w:p>
    <w:p>
      <w:pPr>
        <w:pStyle w:val="Style20"/>
        <w:spacing w:lineRule="auto" w:line="240"/>
        <w:ind w:left="360" w:hanging="0"/>
        <w:jc w:val="center"/>
        <w:rPr>
          <w:rFonts w:ascii="Times New Roman" w:hAnsi="Times New Roman"/>
          <w:b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№ 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__________ </w:t>
      </w:r>
      <w:r>
        <w:rPr>
          <w:rFonts w:ascii="Times New Roman" w:hAnsi="Times New Roman"/>
          <w:b/>
          <w:iCs/>
          <w:sz w:val="22"/>
          <w:szCs w:val="22"/>
        </w:rPr>
        <w:t>от «   » __________ 20____ г.</w:t>
      </w:r>
    </w:p>
    <w:tbl>
      <w:tblPr>
        <w:tblW w:w="9923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961"/>
        <w:gridCol w:w="4961"/>
      </w:tblGrid>
      <w:tr>
        <w:trPr>
          <w:trHeight w:val="841" w:hRule="atLeast"/>
        </w:trPr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  <w:p>
            <w:pPr>
              <w:pStyle w:val="Normal"/>
              <w:spacing w:lineRule="auto" w:line="240"/>
              <w:ind w:right="255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Гарантирующий поставщик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  <w:p>
            <w:pPr>
              <w:pStyle w:val="Style20"/>
              <w:spacing w:lineRule="auto" w:line="240"/>
              <w:ind w:right="310" w:hanging="0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20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10"/>
                <w:rFonts w:ascii="Times New Roman" w:hAnsi="Times New Roman"/>
                <w:sz w:val="22"/>
                <w:szCs w:val="22"/>
              </w:rPr>
              <w:t>kamenergo@rushydro.ru</w:t>
            </w:r>
          </w:p>
          <w:p>
            <w:pPr>
              <w:pStyle w:val="Style20"/>
              <w:spacing w:lineRule="auto" w:line="240"/>
              <w:ind w:right="310" w:hanging="0"/>
              <w:jc w:val="left"/>
              <w:rPr/>
            </w:pPr>
            <w:bookmarkStart w:id="0" w:name="__DdeLink__1218_587274678"/>
            <w:r>
              <w:rPr>
                <w:rStyle w:val="Style10"/>
                <w:rFonts w:ascii="Times New Roman" w:hAnsi="Times New Roman"/>
                <w:b/>
                <w:iCs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4">
              <w:bookmarkEnd w:id="0"/>
              <w:r>
                <w:rPr>
                  <w:rStyle w:val="Style10"/>
                  <w:rFonts w:ascii="Times New Roman" w:hAnsi="Times New Roman"/>
                  <w:b/>
                  <w:iCs/>
                  <w:sz w:val="22"/>
                  <w:szCs w:val="22"/>
                </w:rPr>
                <w:t>www.kamenergo.ru</w:t>
              </w:r>
            </w:hyperlink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</w:tc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 xml:space="preserve"> 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Cs w:val="24"/>
              </w:rPr>
            </w:pPr>
            <w:r>
              <w:rPr>
                <w:rFonts w:ascii="Times New Roman" w:hAnsi="Times New Roman"/>
                <w:b/>
                <w:iCs/>
                <w:szCs w:val="24"/>
              </w:rPr>
              <w:t>Потребитель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/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Адрес 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Телефон 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Факс __________________________________________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Адрес электронной почты 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ИНН/КПП _____________________/________________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ОКВЭД 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ОГРН 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Банк __________________________________________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Р/счет 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БИК ___________________________________________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>Режим налогообложения _________________________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__________________ </w:t>
            </w:r>
            <w:r>
              <w:rPr>
                <w:rFonts w:ascii="Times New Roman" w:hAnsi="Times New Roman"/>
                <w:b/>
                <w:iCs/>
                <w:sz w:val="20"/>
              </w:rPr>
              <w:t>_______________</w:t>
            </w:r>
            <w:r>
              <w:rPr>
                <w:rFonts w:ascii="Times New Roman" w:hAnsi="Times New Roman"/>
                <w:iCs/>
                <w:sz w:val="20"/>
              </w:rPr>
              <w:t xml:space="preserve"> 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              </w:t>
            </w:r>
            <w:r>
              <w:rPr>
                <w:rFonts w:ascii="Times New Roman" w:hAnsi="Times New Roman"/>
                <w:iCs/>
                <w:sz w:val="20"/>
              </w:rPr>
              <w:t>м.п.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>«___»______________</w:t>
            </w:r>
            <w:r>
              <w:rPr>
                <w:rFonts w:ascii="Times New Roman" w:hAnsi="Times New Roman"/>
                <w:bCs/>
                <w:iCs/>
                <w:sz w:val="20"/>
                <w:lang w:val="en-US"/>
              </w:rPr>
              <w:t>____________</w:t>
            </w:r>
            <w:r>
              <w:rPr>
                <w:rFonts w:ascii="Times New Roman" w:hAnsi="Times New Roman"/>
                <w:bCs/>
                <w:iCs/>
                <w:sz w:val="20"/>
              </w:rPr>
              <w:t xml:space="preserve"> года</w:t>
            </w:r>
          </w:p>
        </w:tc>
        <w:tc>
          <w:tcPr>
            <w:tcW w:w="4961" w:type="dxa"/>
            <w:tcBorders/>
            <w:shd w:fill="auto" w:val="clear"/>
          </w:tcPr>
          <w:p>
            <w:pPr>
              <w:pStyle w:val="Style20"/>
              <w:spacing w:lineRule="auto" w:line="240"/>
              <w:rPr>
                <w:rFonts w:ascii="Times New Roman" w:hAnsi="Times New Roman"/>
                <w:iCs/>
                <w:sz w:val="20"/>
              </w:rPr>
            </w:pPr>
            <w:r>
              <w:rPr>
                <w:rFonts w:ascii="Times New Roman" w:hAnsi="Times New Roman"/>
                <w:iCs/>
                <w:sz w:val="20"/>
              </w:rPr>
              <w:t xml:space="preserve">_________________ </w:t>
            </w:r>
            <w:r>
              <w:rPr>
                <w:rFonts w:ascii="Times New Roman" w:hAnsi="Times New Roman"/>
                <w:b/>
                <w:bCs/>
                <w:iCs/>
                <w:color w:val="0000FF"/>
                <w:sz w:val="20"/>
              </w:rPr>
              <w:t>_________________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 xml:space="preserve">                </w:t>
            </w:r>
            <w:r>
              <w:rPr>
                <w:rFonts w:ascii="Times New Roman" w:hAnsi="Times New Roman"/>
                <w:bCs/>
                <w:iCs/>
                <w:sz w:val="20"/>
              </w:rPr>
              <w:t>м.п.</w:t>
            </w:r>
          </w:p>
          <w:p>
            <w:pPr>
              <w:pStyle w:val="Style20"/>
              <w:spacing w:lineRule="auto" w:line="240"/>
              <w:rPr>
                <w:rFonts w:ascii="Times New Roman" w:hAnsi="Times New Roman"/>
                <w:bCs/>
                <w:iCs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</w:rPr>
              <w:t>«___»_______________</w:t>
            </w:r>
            <w:r>
              <w:rPr>
                <w:rFonts w:ascii="Times New Roman" w:hAnsi="Times New Roman"/>
                <w:bCs/>
                <w:iCs/>
                <w:sz w:val="20"/>
                <w:lang w:val="en-US"/>
              </w:rPr>
              <w:t>_________</w:t>
            </w:r>
            <w:r>
              <w:rPr>
                <w:rFonts w:ascii="Times New Roman" w:hAnsi="Times New Roman"/>
                <w:bCs/>
                <w:iCs/>
                <w:sz w:val="20"/>
              </w:rPr>
              <w:t xml:space="preserve"> года</w:t>
            </w:r>
          </w:p>
        </w:tc>
      </w:tr>
    </w:tbl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  <w:r>
        <w:br w:type="page"/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 5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договору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Условия потребления и генерации реактивной электроэнергии</w:t>
      </w:r>
    </w:p>
    <w:p>
      <w:pPr>
        <w:pStyle w:val="Normal"/>
        <w:numPr>
          <w:ilvl w:val="0"/>
          <w:numId w:val="5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Установленная мощность компенсирующих устройств (КУ):</w:t>
      </w:r>
    </w:p>
    <w:p>
      <w:pPr>
        <w:pStyle w:val="Normal"/>
        <w:ind w:left="36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56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6"/>
        <w:gridCol w:w="4708"/>
        <w:gridCol w:w="1419"/>
        <w:gridCol w:w="1341"/>
        <w:gridCol w:w="1352"/>
      </w:tblGrid>
      <w:tr>
        <w:trPr>
          <w:trHeight w:val="486" w:hRule="atLeast"/>
          <w:cantSplit w:val="true"/>
        </w:trPr>
        <w:tc>
          <w:tcPr>
            <w:tcW w:w="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№ </w:t>
            </w:r>
          </w:p>
        </w:tc>
        <w:tc>
          <w:tcPr>
            <w:tcW w:w="4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Тип компенсирующих устройств</w:t>
            </w:r>
          </w:p>
        </w:tc>
        <w:tc>
          <w:tcPr>
            <w:tcW w:w="27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Номинальное напряжение</w:t>
            </w:r>
          </w:p>
        </w:tc>
        <w:tc>
          <w:tcPr>
            <w:tcW w:w="13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</w:tr>
      <w:tr>
        <w:trPr>
          <w:trHeight w:val="243" w:hRule="atLeast"/>
        </w:trPr>
        <w:tc>
          <w:tcPr>
            <w:tcW w:w="53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До1000 В</w:t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Свыше 1000 В</w:t>
            </w:r>
          </w:p>
        </w:tc>
        <w:tc>
          <w:tcPr>
            <w:tcW w:w="13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7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Конденсаторные установки, квар, в том числе: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регулируемые автоматически,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регулируемые вручную,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59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Синхронные двигатели (СД) и компенсаторы (СК), кВт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pStyle w:val="Normal"/>
        <w:spacing w:before="40" w:after="4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 xml:space="preserve">Примечание: </w:t>
      </w:r>
    </w:p>
    <w:p>
      <w:pPr>
        <w:pStyle w:val="Normal"/>
        <w:tabs>
          <w:tab w:val="center" w:pos="4153" w:leader="none"/>
          <w:tab w:val="right" w:pos="8306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Потребитель согласовывает установку компенсирующих устройств с Сетевой организацией, сведения об установке и демонтаже компенсирующих устройств предоставляет в адрес Гарантирующего поставщика.</w:t>
      </w:r>
    </w:p>
    <w:p>
      <w:pPr>
        <w:pStyle w:val="Normal"/>
        <w:numPr>
          <w:ilvl w:val="0"/>
          <w:numId w:val="5"/>
        </w:numPr>
        <w:tabs>
          <w:tab w:val="left" w:pos="0" w:leader="none"/>
          <w:tab w:val="left" w:pos="709" w:leader="none"/>
        </w:tabs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отклонений Потребителем услуг от установленных договором значений соотношения потребления активной и реактивной мощности в часы максимальной и минимальной нагрузок Потребитель в соответствии с «Правилами недискриминационного доступа к услугам по передаче электрической энергии и оказания этих услуг», утвержденных постановлением Правительства РФ от 27.12.2004 №  861, оплачивает потребление (генерацию) реактивной электроэнергии с учетом коэффициента к тарифу на активную электроэнергию.</w:t>
      </w:r>
    </w:p>
    <w:p>
      <w:pPr>
        <w:pStyle w:val="Normal"/>
        <w:tabs>
          <w:tab w:val="left" w:pos="709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56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276"/>
        <w:gridCol w:w="2125"/>
        <w:gridCol w:w="1985"/>
        <w:gridCol w:w="1"/>
        <w:gridCol w:w="1983"/>
        <w:gridCol w:w="1"/>
        <w:gridCol w:w="1985"/>
      </w:tblGrid>
      <w:tr>
        <w:trPr>
          <w:trHeight w:val="848" w:hRule="atLeast"/>
        </w:trPr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Расчетный период</w:t>
            </w: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Технические пределы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Коэффициент к тарифу за Потребление реактивной энергии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9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Коэффициент к тарифу за генерацию реактивной энергии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50" w:hRule="atLeast"/>
        </w:trPr>
        <w:tc>
          <w:tcPr>
            <w:tcW w:w="12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Потребления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  <w:lang w:val="en-US"/>
              </w:rPr>
              <w:t>tg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φ</w:t>
            </w:r>
            <w:r>
              <w:rPr>
                <w:rFonts w:ascii="Times New Roman" w:hAnsi="Times New Roman"/>
                <w:b/>
              </w:rPr>
              <w:t xml:space="preserve"> в период максимальной нагрузки)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Генерации</w:t>
            </w:r>
          </w:p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  <w:lang w:val="en-US"/>
              </w:rPr>
              <w:t>tg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φ</w:t>
            </w:r>
            <w:r>
              <w:rPr>
                <w:rFonts w:ascii="Times New Roman" w:hAnsi="Times New Roman"/>
                <w:b/>
              </w:rPr>
              <w:t xml:space="preserve"> в период минимальной нагрузки)</w:t>
            </w:r>
          </w:p>
        </w:tc>
        <w:tc>
          <w:tcPr>
            <w:tcW w:w="198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bottom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50" w:hRule="atLeast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0,08</w:t>
            </w:r>
          </w:p>
        </w:tc>
        <w:tc>
          <w:tcPr>
            <w:tcW w:w="19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0,12</w:t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 xml:space="preserve">Примечание: 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  <w:vertAlign w:val="subscript"/>
        </w:rPr>
      </w:pPr>
      <w:r>
        <w:rPr>
          <w:rFonts w:ascii="Times New Roman" w:hAnsi="Times New Roman"/>
        </w:rPr>
        <w:t xml:space="preserve">Потребление реактивной энергии за расчетный период определяется по приборам учета электроэнергии, при отсутствии прибора учета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 потр. =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  <w:vertAlign w:val="subscript"/>
        </w:rPr>
        <w:t xml:space="preserve">*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>А</w:t>
      </w:r>
      <w:r>
        <w:rPr>
          <w:rFonts w:ascii="Times New Roman" w:hAnsi="Times New Roman"/>
        </w:rPr>
        <w:t xml:space="preserve">; генерация реактивной энергии определяется по приборам учета, при отсутствии прибора учета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 генер. = </w:t>
      </w:r>
      <w:r>
        <w:rPr>
          <w:rFonts w:ascii="Times New Roman" w:hAnsi="Times New Roman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К * </w:t>
      </w:r>
      <w:r>
        <w:rPr>
          <w:rFonts w:ascii="Times New Roman" w:hAnsi="Times New Roman"/>
          <w:lang w:val="en-US"/>
        </w:rPr>
        <w:t>T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  <w:vertAlign w:val="subscript"/>
        </w:rPr>
        <w:t xml:space="preserve">*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>А,</w:t>
      </w:r>
    </w:p>
    <w:p>
      <w:pPr>
        <w:pStyle w:val="Normal"/>
        <w:tabs>
          <w:tab w:val="left" w:pos="0" w:leader="none"/>
        </w:tabs>
        <w:spacing w:before="40" w:after="40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где: </w:t>
      </w:r>
      <w:r>
        <w:rPr>
          <w:rFonts w:ascii="Times New Roman" w:hAnsi="Times New Roman"/>
          <w:lang w:val="en-US"/>
        </w:rPr>
        <w:t>Q</w:t>
      </w:r>
      <w:r>
        <w:rPr>
          <w:rFonts w:ascii="Times New Roman" w:hAnsi="Times New Roman"/>
          <w:vertAlign w:val="subscript"/>
        </w:rPr>
        <w:t xml:space="preserve">К-  </w:t>
      </w:r>
      <w:r>
        <w:rPr>
          <w:rFonts w:ascii="Times New Roman" w:hAnsi="Times New Roman"/>
        </w:rPr>
        <w:t>мощность компенсирующего устройства</w:t>
      </w:r>
      <w:r>
        <w:rPr>
          <w:rFonts w:ascii="Times New Roman" w:hAnsi="Times New Roman"/>
          <w:vertAlign w:val="subscript"/>
        </w:rPr>
        <w:t xml:space="preserve">, </w:t>
      </w:r>
      <w:r>
        <w:rPr>
          <w:rFonts w:ascii="Times New Roman" w:hAnsi="Times New Roman"/>
        </w:rPr>
        <w:t xml:space="preserve">Т- период времени, </w:t>
      </w:r>
      <w:r>
        <w:rPr>
          <w:rFonts w:ascii="Times New Roman" w:hAnsi="Times New Roman"/>
          <w:lang w:val="en-US"/>
        </w:rPr>
        <w:t>tg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φ</w:t>
      </w:r>
      <w:r>
        <w:rPr>
          <w:rFonts w:ascii="Times New Roman" w:hAnsi="Times New Roman"/>
        </w:rPr>
        <w:t xml:space="preserve"> – коэффициент мощности, </w:t>
      </w:r>
      <w:r>
        <w:rPr>
          <w:rFonts w:ascii="Times New Roman" w:hAnsi="Times New Roman"/>
          <w:lang w:val="en-US"/>
        </w:rPr>
        <w:t>W</w:t>
      </w:r>
      <w:r>
        <w:rPr>
          <w:rFonts w:ascii="Times New Roman" w:hAnsi="Times New Roman"/>
          <w:vertAlign w:val="subscript"/>
        </w:rPr>
        <w:t xml:space="preserve">А-  </w:t>
      </w:r>
      <w:r>
        <w:rPr>
          <w:rFonts w:ascii="Times New Roman" w:hAnsi="Times New Roman"/>
        </w:rPr>
        <w:t>Потребление активной энергии за расчетный период времени.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</w:rPr>
        <w:t xml:space="preserve">При отсутствии прибора учета реактивной энергии, имеющего нормированные метрологические характеристики, воспроизводящие и хранящие величину, размер которой принимается неизменным в течение определенного интервала времени (максимальных, минимальных нагрузок), отклонение выявляется на основании результата замеров мощности. </w:t>
      </w:r>
    </w:p>
    <w:p>
      <w:pPr>
        <w:pStyle w:val="Normal"/>
        <w:numPr>
          <w:ilvl w:val="0"/>
          <w:numId w:val="6"/>
        </w:numPr>
        <w:tabs>
          <w:tab w:val="left" w:pos="0" w:leader="none"/>
        </w:tabs>
        <w:spacing w:before="40" w:after="40"/>
        <w:ind w:lef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Замеры мощности выполняются на границе раздела балансовой принадлежности электросетей или по согласованию с Гарантирующим поставщиком в энергопринимающем устройстве </w:t>
      </w:r>
      <w:r>
        <w:rPr>
          <w:rFonts w:ascii="Times New Roman" w:hAnsi="Times New Roman"/>
          <w:sz w:val="22"/>
          <w:szCs w:val="22"/>
        </w:rPr>
        <w:t>Потребителя</w:t>
      </w:r>
      <w:r>
        <w:rPr>
          <w:rFonts w:ascii="Times New Roman" w:hAnsi="Times New Roman"/>
        </w:rPr>
        <w:t>.</w:t>
      </w:r>
    </w:p>
    <w:tbl>
      <w:tblPr>
        <w:tblpPr w:bottomFromText="0" w:horzAnchor="margin" w:leftFromText="180" w:rightFromText="180" w:tblpX="0" w:tblpY="293" w:topFromText="0" w:vertAnchor="text"/>
        <w:tblW w:w="9658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29"/>
        <w:gridCol w:w="4828"/>
      </w:tblGrid>
      <w:tr>
        <w:trPr>
          <w:trHeight w:val="178" w:hRule="atLeast"/>
        </w:trPr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Гарантирующий поставщик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both"/>
              <w:outlineLvl w:val="1"/>
              <w:rPr>
                <w:rFonts w:ascii="Times New Roman" w:hAnsi="Times New Roman" w:eastAsia="Arial Unicode MS"/>
                <w:b/>
                <w:b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sz w:val="22"/>
                <w:szCs w:val="22"/>
                <w:lang w:val="en-US"/>
              </w:rPr>
              <w:t>Потребитель</w:t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___________________ 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________________</w:t>
            </w:r>
          </w:p>
        </w:tc>
        <w:tc>
          <w:tcPr>
            <w:tcW w:w="4828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  <w:r>
              <w:rPr>
                <w:rFonts w:ascii="Times New Roman" w:hAnsi="Times New Roman"/>
                <w:b/>
                <w:bCs/>
                <w:color w:val="0000FF"/>
                <w:sz w:val="22"/>
                <w:szCs w:val="22"/>
              </w:rPr>
              <w:t>_________________</w:t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</w:rPr>
        <w:t>м.п.                                                                                         м.п.</w:t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footerReference w:type="default" r:id="rId5"/>
          <w:type w:val="nextPage"/>
          <w:pgSz w:w="11906" w:h="16838"/>
          <w:pgMar w:left="1276" w:right="707" w:header="0" w:top="709" w:footer="431" w:bottom="851" w:gutter="0"/>
          <w:pgNumType w:fmt="decimal"/>
          <w:formProt w:val="false"/>
          <w:textDirection w:val="lrTb"/>
          <w:docGrid w:type="default" w:linePitch="240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 6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договору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3107A9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_____________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Потребителя электрической энергии (мощности)»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20"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Раздел I. ОБЩИЕ СВЕДЕНИЯ</w:t>
      </w:r>
    </w:p>
    <w:tbl>
      <w:tblPr>
        <w:tblW w:w="15309" w:type="dxa"/>
        <w:jc w:val="left"/>
        <w:tblInd w:w="70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top w:w="0" w:type="dxa"/>
          <w:left w:w="62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708"/>
        <w:gridCol w:w="6690"/>
        <w:gridCol w:w="7911"/>
      </w:tblGrid>
      <w:tr>
        <w:trPr>
          <w:trHeight w:val="271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Наименование и местонахождение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71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Перечень энергопринимающих устройств, подключенных к токоприемникам технологической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Перечень энергопринимающих устройств, подключенных к токоприемникам аварийной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>
              <w:rPr>
                <w:rFonts w:ascii="Times New Roman" w:hAnsi="Times New Roman"/>
                <w:sz w:val="23"/>
                <w:szCs w:val="23"/>
                <w:highlight w:val="yellow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4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Номер и дата заключения договора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Контактная информация (фамилия, имя, отчество и телефон):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руководителя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156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технического руководителя (главного инженера) организации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ответственного за электрохозяйство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дежурного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134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дежурного по подстанции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6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Сменность работы потребителя (фактическая)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7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Нагрузка, тыс. кВт: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зимний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летний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8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45" w:hanging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Суточное электропотребление, тыс. кВт.ч: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зимний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 замеру в летний период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9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Потребление электрической энергии (мощности) в нерабочие (праздничные) дни, тыс. кВт.ч: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зимний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летний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10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Величина аварийной брони электроснабжения, тыс. кВт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зимний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 летний период                  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10.1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 токоприемников, имеющих аварийную бронь, не участвующую в работе потребителя в нормальном  режиме, тыс. кВт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308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11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Нагрузка токоприемников, имеющих технологическую бронь электроснабжения, тыс. кВт:        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12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Наличие средств дистанционного управления           </w:t>
            </w:r>
          </w:p>
        </w:tc>
        <w:tc>
          <w:tcPr>
            <w:tcW w:w="7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 </w:t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Раздел II. ТЕХНИЧЕСКИЕ ХАРАКТЕРИСТИКИ ЭЛЕКТРОСНАБЖЕНИЯ ПОТРЕБИТЕЛЯ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Часть 1. Таблица</w:t>
      </w:r>
    </w:p>
    <w:tbl>
      <w:tblPr>
        <w:tblW w:w="15452" w:type="dxa"/>
        <w:jc w:val="left"/>
        <w:tblInd w:w="70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top w:w="0" w:type="dxa"/>
          <w:left w:w="62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540"/>
        <w:gridCol w:w="1728"/>
        <w:gridCol w:w="1701"/>
        <w:gridCol w:w="994"/>
        <w:gridCol w:w="1842"/>
        <w:gridCol w:w="1276"/>
        <w:gridCol w:w="1310"/>
        <w:gridCol w:w="1063"/>
        <w:gridCol w:w="2"/>
        <w:gridCol w:w="850"/>
        <w:gridCol w:w="1001"/>
        <w:gridCol w:w="1443"/>
        <w:gridCol w:w="1701"/>
      </w:tblGrid>
      <w:tr>
        <w:trPr>
          <w:trHeight w:val="240" w:hRule="atLeast"/>
          <w:cantSplit w:val="true"/>
        </w:trPr>
        <w:tc>
          <w:tcPr>
            <w:tcW w:w="54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  <w:br/>
              <w:t>п/п</w:t>
            </w:r>
          </w:p>
        </w:tc>
        <w:tc>
          <w:tcPr>
            <w:tcW w:w="172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  </w:t>
              <w:br/>
              <w:t xml:space="preserve">(номер) питающего центра    </w:t>
              <w:br/>
              <w:t xml:space="preserve">сетевой  </w:t>
              <w:br/>
              <w:t xml:space="preserve">организации и  </w:t>
              <w:br/>
              <w:t xml:space="preserve">других источников электро   </w:t>
              <w:br/>
              <w:t xml:space="preserve">снабжения      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  </w:t>
              <w:br/>
              <w:t xml:space="preserve">(номер) </w:t>
            </w:r>
          </w:p>
          <w:p>
            <w:pPr>
              <w:pStyle w:val="Normal"/>
              <w:ind w:right="-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питающей линии сетевой организации и других источни ков электро снабжения            </w:t>
            </w:r>
          </w:p>
        </w:tc>
        <w:tc>
          <w:tcPr>
            <w:tcW w:w="994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Нагрузка </w:t>
              <w:br/>
              <w:t xml:space="preserve">линии в  </w:t>
              <w:br/>
              <w:t xml:space="preserve">нормаль </w:t>
              <w:br/>
              <w:t xml:space="preserve">ном 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режиме работы, кВт  </w:t>
            </w:r>
          </w:p>
        </w:tc>
        <w:tc>
          <w:tcPr>
            <w:tcW w:w="5493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Аварийная броня электроснабжения</w:t>
            </w:r>
          </w:p>
        </w:tc>
        <w:tc>
          <w:tcPr>
            <w:tcW w:w="499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Технологическая броня электроснабжения</w:t>
            </w:r>
          </w:p>
        </w:tc>
      </w:tr>
      <w:tr>
        <w:trPr>
          <w:trHeight w:val="1560" w:hRule="atLeast"/>
          <w:cantSplit w:val="true"/>
        </w:trPr>
        <w:tc>
          <w:tcPr>
            <w:tcW w:w="540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токоприемников аварийной брони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36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Максимальная мощность токоприемников аварийной брони, кВт</w:t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Линии, на которые может быть переключена нагрузка, и средства переключения (АВР или вручную)     </w:t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сокращения электроснабжения до уровня аварийной брони</w:t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3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Перечень    </w:t>
              <w:br/>
              <w:t xml:space="preserve">токопри </w:t>
              <w:br/>
              <w:t xml:space="preserve">емников технологической брони   </w:t>
              <w:br/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Максимальная мощность токоприемников технологической брони, кВт</w:t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Продолжительность времени, необходимого для завершения технологического процесса, цикла производства, час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Допустимое время перерыва электроснабжения энергопринимающего устройства, подключенного к токоприемникам технологической брони, час</w:t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rPr>
          <w:trHeight w:val="38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ind w:right="-7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2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При возникновении или угрозе возникновения аварийных электроэнергетических режимов могут быть немедленно отключены с питающих центров сетевой организации: питающие линии:____________________________________________________________________________________</w:t>
      </w:r>
    </w:p>
    <w:p>
      <w:pPr>
        <w:pStyle w:val="Normal"/>
        <w:widowControl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Питающие линии  _____________________ могут быть  отключены  на  время, указанное в графе 12.</w:t>
      </w:r>
    </w:p>
    <w:p>
      <w:pPr>
        <w:pStyle w:val="Normal"/>
        <w:widowControl w:val="fals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Питающие линии могут быть отключены по истечении времени, указанного в графе 11.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По требованию сетевой организации Потребитель немедленно отключает   ____ кВт;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Использование имеющихся в работе устройств автоматического включения резерва – ____________.</w:t>
      </w:r>
    </w:p>
    <w:tbl>
      <w:tblPr>
        <w:tblW w:w="15451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84"/>
        <w:gridCol w:w="7087"/>
        <w:gridCol w:w="8080"/>
      </w:tblGrid>
      <w:tr>
        <w:trPr>
          <w:trHeight w:val="1063" w:hRule="atLeast"/>
        </w:trPr>
        <w:tc>
          <w:tcPr>
            <w:tcW w:w="284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>
            <w:pPr>
              <w:pStyle w:val="Normal"/>
              <w:ind w:right="-1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Сетевая организация          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Главный инженер ______________   ______________                                 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(подпись)               (ФИО)</w:t>
            </w:r>
          </w:p>
        </w:tc>
        <w:tc>
          <w:tcPr>
            <w:tcW w:w="8080" w:type="dxa"/>
            <w:tcBorders/>
            <w:shd w:color="auto" w:fill="auto" w:val="clear"/>
          </w:tcPr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Потребитель 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электрохозяйство       _______________  _________________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right="-508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(подпись)                     (ФИО)</w:t>
            </w:r>
          </w:p>
        </w:tc>
      </w:tr>
    </w:tbl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Потребителя электрической энергии (мощности)»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5875" cy="803275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5875" cy="803275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1101" w:tblpY="293" w:topFromText="0" w:vertAnchor="text"/>
                              <w:tblW w:w="1202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2"/>
                                      <w:szCs w:val="22"/>
                                      <w:lang w:val="en-US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______________________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>___________________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2"/>
                                      <w:szCs w:val="22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601.25pt;height:63.25pt;mso-wrap-distance-left:9pt;mso-wrap-distance-right:9pt;mso-wrap-distance-top:0pt;mso-wrap-distance-bottom:0pt;margin-top:14.65pt;mso-position-vertical-relative:text;margin-left:49.6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1101" w:tblpY="293" w:topFromText="0" w:vertAnchor="text"/>
                        <w:tblW w:w="1202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______________________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 7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договору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ФОРМА «Акт снятия показаний расчетных приборов учета»</w:t>
      </w:r>
    </w:p>
    <w:p>
      <w:pPr>
        <w:pStyle w:val="Normal"/>
        <w:tabs>
          <w:tab w:val="center" w:pos="4153" w:leader="none"/>
          <w:tab w:val="right" w:pos="8306" w:leader="none"/>
        </w:tabs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</w:r>
    </w:p>
    <w:tbl>
      <w:tblPr>
        <w:tblW w:w="14880" w:type="dxa"/>
        <w:jc w:val="left"/>
        <w:tblInd w:w="11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48"/>
        <w:gridCol w:w="5625"/>
        <w:gridCol w:w="2267"/>
        <w:gridCol w:w="2127"/>
        <w:gridCol w:w="2128"/>
        <w:gridCol w:w="1984"/>
      </w:tblGrid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№ 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п/п</w:t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Наименование объекта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34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№ 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счетчика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Показания на день снятия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0"/>
              <w:jc w:val="both"/>
              <w:rPr>
                <w:rFonts w:ascii="Times New Roman" w:hAnsi="Times New Roman"/>
                <w:b/>
                <w:b/>
                <w:sz w:val="19"/>
                <w:szCs w:val="19"/>
                <w:lang w:eastAsia="ar-SA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Предыдущие показания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b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Разница показаний</w:t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ind w:right="468" w:hanging="0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5625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26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7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2128" w:type="dxa"/>
            <w:tcBorders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  <w:tc>
          <w:tcPr>
            <w:tcW w:w="1984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Потребитель</w:t>
      </w:r>
      <w:r>
        <w:rPr>
          <w:rFonts w:ascii="Times New Roman" w:hAnsi="Times New Roman"/>
        </w:rPr>
        <w:t xml:space="preserve"> ____________________________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«Акт снятия показаний расчетных приборов учета»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4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5875" cy="876300"/>
                <wp:effectExtent l="0" t="0" r="0" b="0"/>
                <wp:wrapSquare wrapText="bothSides"/>
                <wp:docPr id="3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587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1101" w:tblpY="293" w:topFromText="0" w:vertAnchor="text"/>
                              <w:tblW w:w="12025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1" w:name="__UnoMark__7256_3832845691"/>
                                  <w:bookmarkEnd w:id="1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bookmarkStart w:id="2" w:name="__UnoMark__7257_3832845691"/>
                                  <w:bookmarkStart w:id="3" w:name="__UnoMark__7258_3832845691"/>
                                  <w:bookmarkEnd w:id="2"/>
                                  <w:bookmarkEnd w:id="3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4" w:name="__UnoMark__7260_3832845691"/>
                                  <w:bookmarkStart w:id="5" w:name="__UnoMark__7259_3832845691"/>
                                  <w:bookmarkStart w:id="6" w:name="__UnoMark__7260_3832845691"/>
                                  <w:bookmarkStart w:id="7" w:name="__UnoMark__7259_3832845691"/>
                                  <w:bookmarkEnd w:id="6"/>
                                  <w:bookmarkEnd w:id="7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8" w:name="__UnoMark__7262_3832845691"/>
                                  <w:bookmarkStart w:id="9" w:name="__UnoMark__7261_3832845691"/>
                                  <w:bookmarkStart w:id="10" w:name="__UnoMark__7262_3832845691"/>
                                  <w:bookmarkStart w:id="11" w:name="__UnoMark__7261_3832845691"/>
                                  <w:bookmarkEnd w:id="10"/>
                                  <w:bookmarkEnd w:id="11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12" w:name="__UnoMark__7264_3832845691"/>
                                  <w:bookmarkStart w:id="13" w:name="__UnoMark__7263_3832845691"/>
                                  <w:bookmarkStart w:id="14" w:name="__UnoMark__7264_3832845691"/>
                                  <w:bookmarkStart w:id="15" w:name="__UnoMark__7263_3832845691"/>
                                  <w:bookmarkEnd w:id="14"/>
                                  <w:bookmarkEnd w:id="15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16" w:name="__UnoMark__7266_3832845691"/>
                                  <w:bookmarkStart w:id="17" w:name="__UnoMark__7265_3832845691"/>
                                  <w:bookmarkStart w:id="18" w:name="__UnoMark__7266_3832845691"/>
                                  <w:bookmarkStart w:id="19" w:name="__UnoMark__7265_3832845691"/>
                                  <w:bookmarkEnd w:id="18"/>
                                  <w:bookmarkEnd w:id="19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0" w:name="__UnoMark__7267_3832845691"/>
                                  <w:bookmarkEnd w:id="20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______________________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iCs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1" w:name="__UnoMark__7268_3832845691"/>
                                  <w:bookmarkEnd w:id="21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22" w:name="__UnoMark__7269_3832845691"/>
                                  <w:bookmarkEnd w:id="22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_________________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601.25pt;height:69pt;mso-wrap-distance-left:9pt;mso-wrap-distance-right:9pt;mso-wrap-distance-top:0pt;mso-wrap-distance-bottom:0pt;margin-top:14.65pt;mso-position-vertical-relative:text;margin-left:49.6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1101" w:tblpY="293" w:topFromText="0" w:vertAnchor="text"/>
                        <w:tblW w:w="12025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23" w:name="__UnoMark__7256_3832845691"/>
                            <w:bookmarkEnd w:id="23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bookmarkStart w:id="24" w:name="__UnoMark__7257_3832845691"/>
                            <w:bookmarkStart w:id="25" w:name="__UnoMark__7258_3832845691"/>
                            <w:bookmarkEnd w:id="24"/>
                            <w:bookmarkEnd w:id="25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26" w:name="__UnoMark__7260_3832845691"/>
                            <w:bookmarkStart w:id="27" w:name="__UnoMark__7259_3832845691"/>
                            <w:bookmarkStart w:id="28" w:name="__UnoMark__7260_3832845691"/>
                            <w:bookmarkStart w:id="29" w:name="__UnoMark__7259_3832845691"/>
                            <w:bookmarkEnd w:id="28"/>
                            <w:bookmarkEnd w:id="29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0" w:name="__UnoMark__7262_3832845691"/>
                            <w:bookmarkStart w:id="31" w:name="__UnoMark__7261_3832845691"/>
                            <w:bookmarkStart w:id="32" w:name="__UnoMark__7262_3832845691"/>
                            <w:bookmarkStart w:id="33" w:name="__UnoMark__7261_3832845691"/>
                            <w:bookmarkEnd w:id="32"/>
                            <w:bookmarkEnd w:id="33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4" w:name="__UnoMark__7264_3832845691"/>
                            <w:bookmarkStart w:id="35" w:name="__UnoMark__7263_3832845691"/>
                            <w:bookmarkStart w:id="36" w:name="__UnoMark__7264_3832845691"/>
                            <w:bookmarkStart w:id="37" w:name="__UnoMark__7263_3832845691"/>
                            <w:bookmarkEnd w:id="36"/>
                            <w:bookmarkEnd w:id="37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38" w:name="__UnoMark__7266_3832845691"/>
                            <w:bookmarkStart w:id="39" w:name="__UnoMark__7265_3832845691"/>
                            <w:bookmarkStart w:id="40" w:name="__UnoMark__7266_3832845691"/>
                            <w:bookmarkStart w:id="41" w:name="__UnoMark__7265_3832845691"/>
                            <w:bookmarkEnd w:id="40"/>
                            <w:bookmarkEnd w:id="41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2" w:name="__UnoMark__7267_3832845691"/>
                            <w:bookmarkEnd w:id="42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______________________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</w:t>
                            </w:r>
                            <w:r>
                              <w:rPr>
                                <w:rFonts w:ascii="Times New Roman" w:hAnsi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3" w:name="__UnoMark__7268_3832845691"/>
                            <w:bookmarkEnd w:id="43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44" w:name="__UnoMark__7269_3832845691"/>
                            <w:bookmarkEnd w:id="44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_________________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footerReference w:type="default" r:id="rId6"/>
          <w:type w:val="nextPage"/>
          <w:pgSz w:orient="landscape" w:w="16838" w:h="11906"/>
          <w:pgMar w:left="851" w:right="907" w:header="0" w:top="851" w:footer="237" w:bottom="1418" w:gutter="0"/>
          <w:pgNumType w:fmt="decimal"/>
          <w:formProt w:val="false"/>
          <w:textDirection w:val="lrTb"/>
          <w:docGrid w:type="default" w:linePitch="272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Приложение № 8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договору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bCs/>
          <w:color w:val="0000FF"/>
          <w:sz w:val="22"/>
          <w:szCs w:val="22"/>
        </w:rPr>
        <w:t>№ </w:t>
      </w:r>
      <w:r>
        <w:rPr>
          <w:rFonts w:ascii="Times New Roman" w:hAnsi="Times New Roman"/>
          <w:b/>
          <w:bCs/>
          <w:color w:val="0000FF"/>
          <w:sz w:val="22"/>
          <w:szCs w:val="22"/>
        </w:rPr>
        <w:t xml:space="preserve">____________ от </w:t>
      </w:r>
      <w:r>
        <w:rPr>
          <w:rFonts w:ascii="Times New Roman" w:hAnsi="Times New Roman"/>
          <w:b/>
          <w:color w:val="3107A9"/>
          <w:sz w:val="22"/>
          <w:szCs w:val="22"/>
        </w:rPr>
        <w:t>_____________</w:t>
      </w:r>
    </w:p>
    <w:p>
      <w:pPr>
        <w:pStyle w:val="Normal"/>
        <w:jc w:val="right"/>
        <w:rPr>
          <w:rFonts w:ascii="Times New Roman" w:hAnsi="Times New Roman"/>
          <w:b/>
          <w:b/>
          <w:bCs/>
          <w:color w:val="0000FF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Публичное акционерное общество энергетики и электрификации «Камчатскэнерго»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683000, Камчатский край г. Петропавловск-Камчатский, ул. Набережная, 10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sz w:val="26"/>
          <w:szCs w:val="26"/>
        </w:rPr>
        <w:t>Форма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«Акт выполненных работ (приема-передачи электрической энергии)</w:t>
      </w:r>
      <w:r>
        <w:rPr>
          <w:rFonts w:ascii="Times New Roman" w:hAnsi="Times New Roman"/>
          <w:sz w:val="26"/>
          <w:szCs w:val="26"/>
        </w:rPr>
        <w:t>»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Заказчик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ИНН                                 КПП</w:t>
      </w:r>
    </w:p>
    <w:tbl>
      <w:tblPr>
        <w:tblW w:w="16368" w:type="dxa"/>
        <w:jc w:val="left"/>
        <w:tblInd w:w="9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867"/>
        <w:gridCol w:w="1408"/>
        <w:gridCol w:w="1160"/>
        <w:gridCol w:w="102"/>
        <w:gridCol w:w="1160"/>
        <w:gridCol w:w="583"/>
        <w:gridCol w:w="804"/>
        <w:gridCol w:w="715"/>
        <w:gridCol w:w="1429"/>
        <w:gridCol w:w="425"/>
        <w:gridCol w:w="2"/>
        <w:gridCol w:w="722"/>
        <w:gridCol w:w="1"/>
        <w:gridCol w:w="477"/>
        <w:gridCol w:w="1"/>
        <w:gridCol w:w="234"/>
        <w:gridCol w:w="2"/>
        <w:gridCol w:w="974"/>
        <w:gridCol w:w="2"/>
        <w:gridCol w:w="604"/>
        <w:gridCol w:w="1"/>
        <w:gridCol w:w="1504"/>
        <w:gridCol w:w="2"/>
        <w:gridCol w:w="239"/>
        <w:gridCol w:w="2"/>
        <w:gridCol w:w="818"/>
        <w:gridCol w:w="2"/>
        <w:gridCol w:w="388"/>
        <w:gridCol w:w="1"/>
        <w:gridCol w:w="367"/>
        <w:gridCol w:w="2"/>
        <w:gridCol w:w="370"/>
      </w:tblGrid>
      <w:tr>
        <w:trPr>
          <w:trHeight w:val="330" w:hRule="exact"/>
        </w:trPr>
        <w:tc>
          <w:tcPr>
            <w:tcW w:w="1867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670" w:type="dxa"/>
            <w:gridSpan w:val="3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0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87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571" w:type="dxa"/>
            <w:gridSpan w:val="4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723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78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3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7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605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06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41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820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8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70" w:type="dxa"/>
            <w:tcBorders/>
            <w:shd w:fill="auto" w:val="clear"/>
            <w:vAlign w:val="bottom"/>
          </w:tcPr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735" w:hRule="atLeast"/>
        </w:trPr>
        <w:tc>
          <w:tcPr>
            <w:tcW w:w="32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</w:t>
            </w:r>
          </w:p>
        </w:tc>
        <w:tc>
          <w:tcPr>
            <w:tcW w:w="1160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 изм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519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</w:t>
            </w:r>
          </w:p>
        </w:tc>
        <w:tc>
          <w:tcPr>
            <w:tcW w:w="1429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(без налогов)</w:t>
            </w:r>
          </w:p>
        </w:tc>
        <w:tc>
          <w:tcPr>
            <w:tcW w:w="42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4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0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75" w:hRule="atLeast"/>
        </w:trPr>
        <w:tc>
          <w:tcPr>
            <w:tcW w:w="32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Потребленная электроэнергия</w:t>
            </w:r>
          </w:p>
        </w:tc>
        <w:tc>
          <w:tcPr>
            <w:tcW w:w="1160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кВт. ч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519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2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4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05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2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0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68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/>
          <w:sz w:val="26"/>
          <w:szCs w:val="26"/>
        </w:rPr>
        <w:t>ИТОГО:                                                      НДС</w:t>
      </w:r>
    </w:p>
    <w:p>
      <w:pPr>
        <w:pStyle w:val="Normal"/>
        <w:tabs>
          <w:tab w:val="left" w:pos="3495" w:leader="none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/>
          <w:sz w:val="26"/>
          <w:szCs w:val="26"/>
        </w:rPr>
        <w:t>Всего с учетом НДС: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оказано услуг на сумму:</w:t>
      </w:r>
    </w:p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Перечисленные услуги выполнены полностью и в срок. Заказчик не имеет претензий по объему и качеству оказанных услуг.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pPr w:bottomFromText="0" w:horzAnchor="margin" w:leftFromText="180" w:rightFromText="180" w:tblpX="0" w:tblpY="293" w:topFromText="0" w:vertAnchor="text"/>
        <w:tblW w:w="9660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30"/>
        <w:gridCol w:w="4829"/>
      </w:tblGrid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both"/>
              <w:outlineLvl w:val="1"/>
              <w:rPr>
                <w:rFonts w:ascii="Times New Roman" w:hAnsi="Times New Roman" w:eastAsia="Arial Unicode MS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Потребитель</w:t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0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______________________  </w:t>
            </w:r>
          </w:p>
        </w:tc>
        <w:tc>
          <w:tcPr>
            <w:tcW w:w="4829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</w:t>
      </w:r>
      <w:r>
        <w:rPr>
          <w:rFonts w:ascii="Times New Roman" w:hAnsi="Times New Roman"/>
          <w:b/>
        </w:rPr>
        <w:t>М.п.                                                                                        М.п.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bCs/>
          <w:sz w:val="22"/>
          <w:szCs w:val="22"/>
        </w:rPr>
        <w:t>«Акт выполненных работ (приема-передачи электрической энергии)</w:t>
      </w:r>
      <w:r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4"/>
          <w:szCs w:val="24"/>
        </w:rPr>
        <w:t>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5">
                <wp:simplePos x="0" y="0"/>
                <wp:positionH relativeFrom="margin">
                  <wp:posOffset>-42545</wp:posOffset>
                </wp:positionH>
                <wp:positionV relativeFrom="paragraph">
                  <wp:posOffset>186055</wp:posOffset>
                </wp:positionV>
                <wp:extent cx="6015355" cy="876300"/>
                <wp:effectExtent l="0" t="0" r="0" b="0"/>
                <wp:wrapSquare wrapText="bothSides"/>
                <wp:docPr id="4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41" w:tblpY="293" w:topFromText="0" w:vertAnchor="text"/>
                              <w:tblW w:w="9473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643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45" w:name="__UnoMark__7490_3832845691"/>
                                  <w:bookmarkEnd w:id="45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bookmarkStart w:id="46" w:name="__UnoMark__7491_3832845691"/>
                                  <w:bookmarkStart w:id="47" w:name="__UnoMark__7492_3832845691"/>
                                  <w:bookmarkEnd w:id="46"/>
                                  <w:bookmarkEnd w:id="47"/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48" w:name="__UnoMark__7494_3832845691"/>
                                  <w:bookmarkStart w:id="49" w:name="__UnoMark__7493_3832845691"/>
                                  <w:bookmarkStart w:id="50" w:name="__UnoMark__7494_3832845691"/>
                                  <w:bookmarkStart w:id="51" w:name="__UnoMark__7493_3832845691"/>
                                  <w:bookmarkEnd w:id="50"/>
                                  <w:bookmarkEnd w:id="51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52" w:name="__UnoMark__7496_3832845691"/>
                                  <w:bookmarkStart w:id="53" w:name="__UnoMark__7495_3832845691"/>
                                  <w:bookmarkStart w:id="54" w:name="__UnoMark__7496_3832845691"/>
                                  <w:bookmarkStart w:id="55" w:name="__UnoMark__7495_3832845691"/>
                                  <w:bookmarkEnd w:id="54"/>
                                  <w:bookmarkEnd w:id="55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56" w:name="__UnoMark__7498_3832845691"/>
                                  <w:bookmarkStart w:id="57" w:name="__UnoMark__7497_3832845691"/>
                                  <w:bookmarkStart w:id="58" w:name="__UnoMark__7498_3832845691"/>
                                  <w:bookmarkStart w:id="59" w:name="__UnoMark__7497_3832845691"/>
                                  <w:bookmarkEnd w:id="58"/>
                                  <w:bookmarkEnd w:id="59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bookmarkStart w:id="60" w:name="__UnoMark__7500_3832845691"/>
                                  <w:bookmarkStart w:id="61" w:name="__UnoMark__7499_3832845691"/>
                                  <w:bookmarkStart w:id="62" w:name="__UnoMark__7500_3832845691"/>
                                  <w:bookmarkStart w:id="63" w:name="__UnoMark__7499_3832845691"/>
                                  <w:bookmarkEnd w:id="62"/>
                                  <w:bookmarkEnd w:id="63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4" w:name="__UnoMark__7501_3832845691"/>
                                  <w:bookmarkEnd w:id="64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sz w:val="22"/>
                                      <w:szCs w:val="22"/>
                                    </w:rPr>
                                    <w:t xml:space="preserve"> 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iCs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5" w:name="__UnoMark__7502_3832845691"/>
                                  <w:bookmarkEnd w:id="65"/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bookmarkStart w:id="66" w:name="__UnoMark__7503_3832845691"/>
                                  <w:bookmarkEnd w:id="66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________________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73.65pt;height:69pt;mso-wrap-distance-left:9pt;mso-wrap-distance-right:9pt;mso-wrap-distance-top:0pt;mso-wrap-distance-bottom:0pt;margin-top:14.65pt;mso-position-vertical-relative:text;margin-left:-3.3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41" w:tblpY="293" w:topFromText="0" w:vertAnchor="text"/>
                        <w:tblW w:w="9473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643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67" w:name="__UnoMark__7490_3832845691"/>
                            <w:bookmarkEnd w:id="6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bookmarkStart w:id="68" w:name="__UnoMark__7491_3832845691"/>
                            <w:bookmarkStart w:id="69" w:name="__UnoMark__7492_3832845691"/>
                            <w:bookmarkEnd w:id="68"/>
                            <w:bookmarkEnd w:id="69"/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0" w:name="__UnoMark__7494_3832845691"/>
                            <w:bookmarkStart w:id="71" w:name="__UnoMark__7493_3832845691"/>
                            <w:bookmarkStart w:id="72" w:name="__UnoMark__7494_3832845691"/>
                            <w:bookmarkStart w:id="73" w:name="__UnoMark__7493_3832845691"/>
                            <w:bookmarkEnd w:id="72"/>
                            <w:bookmarkEnd w:id="73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4" w:name="__UnoMark__7496_3832845691"/>
                            <w:bookmarkStart w:id="75" w:name="__UnoMark__7495_3832845691"/>
                            <w:bookmarkStart w:id="76" w:name="__UnoMark__7496_3832845691"/>
                            <w:bookmarkStart w:id="77" w:name="__UnoMark__7495_3832845691"/>
                            <w:bookmarkEnd w:id="76"/>
                            <w:bookmarkEnd w:id="77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78" w:name="__UnoMark__7498_3832845691"/>
                            <w:bookmarkStart w:id="79" w:name="__UnoMark__7497_3832845691"/>
                            <w:bookmarkStart w:id="80" w:name="__UnoMark__7498_3832845691"/>
                            <w:bookmarkStart w:id="81" w:name="__UnoMark__7497_3832845691"/>
                            <w:bookmarkEnd w:id="80"/>
                            <w:bookmarkEnd w:id="81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bookmarkStart w:id="82" w:name="__UnoMark__7500_3832845691"/>
                            <w:bookmarkStart w:id="83" w:name="__UnoMark__7499_3832845691"/>
                            <w:bookmarkStart w:id="84" w:name="__UnoMark__7500_3832845691"/>
                            <w:bookmarkStart w:id="85" w:name="__UnoMark__7499_3832845691"/>
                            <w:bookmarkEnd w:id="84"/>
                            <w:bookmarkEnd w:id="85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6" w:name="__UnoMark__7501_3832845691"/>
                            <w:bookmarkEnd w:id="86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 _______________</w:t>
                            </w:r>
                            <w:r>
                              <w:rPr>
                                <w:rFonts w:ascii="Times New Roman" w:hAnsi="Times New Roman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7" w:name="__UnoMark__7502_3832845691"/>
                            <w:bookmarkEnd w:id="8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bookmarkStart w:id="88" w:name="__UnoMark__7503_3832845691"/>
                            <w:bookmarkEnd w:id="88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________________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sectPr>
          <w:footerReference w:type="default" r:id="rId7"/>
          <w:type w:val="nextPage"/>
          <w:pgSz w:w="11906" w:h="16838"/>
          <w:pgMar w:left="1134" w:right="851" w:header="0" w:top="907" w:footer="561" w:bottom="851" w:gutter="0"/>
          <w:pgNumType w:fmt="decimal"/>
          <w:formProt w:val="false"/>
          <w:textDirection w:val="lrTb"/>
          <w:docGrid w:type="default" w:linePitch="240" w:charSpace="2047"/>
        </w:sect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right="-3" w:hanging="0"/>
        <w:jc w:val="right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 9</w:t>
      </w:r>
    </w:p>
    <w:p>
      <w:pPr>
        <w:pStyle w:val="Normal"/>
        <w:ind w:left="9072" w:hanging="907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договору энергоснабжения </w:t>
      </w:r>
    </w:p>
    <w:p>
      <w:pPr>
        <w:pStyle w:val="Normal"/>
        <w:jc w:val="right"/>
        <w:rPr>
          <w:rFonts w:ascii="Times New Roman" w:hAnsi="Times New Roman"/>
          <w:b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FF"/>
          <w:sz w:val="24"/>
          <w:szCs w:val="24"/>
        </w:rPr>
        <w:t>№ </w:t>
      </w:r>
      <w:r>
        <w:rPr>
          <w:rFonts w:ascii="Times New Roman" w:hAnsi="Times New Roman"/>
          <w:b/>
          <w:bCs/>
          <w:color w:val="0000FF"/>
          <w:sz w:val="24"/>
          <w:szCs w:val="24"/>
        </w:rPr>
        <w:t xml:space="preserve">____________ от </w:t>
      </w:r>
      <w:r>
        <w:rPr>
          <w:rFonts w:ascii="Times New Roman" w:hAnsi="Times New Roman"/>
          <w:b/>
          <w:color w:val="3107A9"/>
          <w:sz w:val="24"/>
          <w:szCs w:val="24"/>
        </w:rPr>
        <w:t>____________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ind w:hanging="3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ответственных лиц и иная контактная информация</w:t>
      </w:r>
    </w:p>
    <w:p>
      <w:pPr>
        <w:pStyle w:val="Normal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Гарантирующий поставщик</w:t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>
          <w:trHeight w:val="470" w:hRule="atLeast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Фамилия, имя, отчество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Приемная телефон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8(415 2) 49-09-00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Приемная факс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8(415 2) 49-04-84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Инженер по договорам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 xml:space="preserve">8(415 2) </w:t>
            </w:r>
            <w:r>
              <w:rPr>
                <w:rFonts w:ascii="Times New Roman" w:hAnsi="Times New Roman"/>
                <w:sz w:val="22"/>
                <w:szCs w:val="22"/>
              </w:rPr>
              <w:t>49-01-63</w:t>
            </w:r>
          </w:p>
        </w:tc>
      </w:tr>
    </w:tbl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49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Потребитель</w:t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08"/>
        <w:gridCol w:w="4950"/>
        <w:gridCol w:w="28"/>
        <w:gridCol w:w="4821"/>
      </w:tblGrid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ФИО/ № телефона</w:t>
            </w:r>
          </w:p>
        </w:tc>
      </w:tr>
      <w:tr>
        <w:trPr>
          <w:trHeight w:val="305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 за электрохозяйство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эксплуатацию ПУ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ответственных право ведения оперативных переговоров, получения и принятия, подписания документов</w:t>
            </w:r>
          </w:p>
        </w:tc>
        <w:tc>
          <w:tcPr>
            <w:tcW w:w="48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7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102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spacing w:before="120" w:after="120"/>
              <w:ind w:hanging="499"/>
              <w:jc w:val="center"/>
              <w:outlineLvl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Дополнительная информация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Номер мобильного телефона для направления уведомления о введении ограничения режима потребления электрической энергии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Адрес электронной почты для направления уведомления о введении ограничения режима потребления электрической энергии 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ind w:hanging="499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49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bottom"/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4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Style20"/>
              <w:spacing w:lineRule="auto" w:line="240"/>
              <w:jc w:val="center"/>
              <w:rPr>
                <w:rFonts w:ascii="Times New Roman" w:hAnsi="Times New Roman"/>
                <w:iCs/>
                <w:szCs w:val="24"/>
              </w:rPr>
            </w:pPr>
            <w:r>
              <w:rPr>
                <w:rFonts w:ascii="Times New Roman" w:hAnsi="Times New Roman"/>
                <w:iCs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1020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hanging="499"/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Дополняется Потребителем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Сетевые организации</w:t>
      </w:r>
    </w:p>
    <w:tbl>
      <w:tblPr>
        <w:tblW w:w="10207" w:type="dxa"/>
        <w:jc w:val="left"/>
        <w:tblInd w:w="-4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/>
        <w:tc>
          <w:tcPr>
            <w:tcW w:w="102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филиал ПАО «Камчатскэнерго» Центральные электрические сети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Горячая линия:  8 (800) 234-29-39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ул. Сахалинская, 28 г. Петропавловск-Камчатский;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ул. Амурская,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АО «Оборонэнерго»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3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 xml:space="preserve">8 800 222 32 20;  </w:t>
            </w: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ул. Морская,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"РСО "Силуэт"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434343"/>
                <w:spacing w:val="0"/>
                <w:sz w:val="22"/>
                <w:szCs w:val="22"/>
                <w:lang w:eastAsia="ru-RU"/>
              </w:rPr>
              <w:t xml:space="preserve">+7 (963) 831-61-41; +7 (963) 830-14-14;  +7 (4152) 31-61-41 </w:t>
            </w:r>
            <w:hyperlink r:id="rId8">
              <w:r>
                <w:rPr>
                  <w:rStyle w:val="Strong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https://rsosiluet.ru/</w:t>
              </w:r>
            </w:hyperlink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ул. Бохняка 18, поз 101 (3 этаж)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АО "ТЭСК"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8 (4152) 30-55-60, </w:t>
            </w:r>
            <w:hyperlink r:id="rId9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ttps://tesk</w:t>
              </w:r>
            </w:hyperlink>
            <w:hyperlink r:id="rId10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</w:t>
              </w:r>
            </w:hyperlink>
            <w:hyperlink r:id="rId11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pk.ru/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г. Петропавловск-Камчатский, ул. Владивостокская, д. 29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"41 Электрическая 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8 800 700 47 11, </w:t>
            </w:r>
            <w:hyperlink r:id="rId12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https://41-es.ru/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Камчатский край, пгт. Вулканный, ул. Центральная, д. 1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"Алеир"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+7 (4152) 308 -688,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  <w:hyperlink r:id="rId13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https://aleir-kamchatka.ru/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Проспект Победы 107 г. Петропавловск-Камчатский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"Петропавловск-Камчатский морской торговый порт"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EAEAEA" w:val="clear"/>
                <w:lang w:eastAsia="ru-RU"/>
              </w:rPr>
              <w:t>+7 (4152) 43-41-00, факс: +7 (4152) 43-44-19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(4152) 43-46-15 / 31-00-01, </w:t>
            </w:r>
            <w:hyperlink r:id="rId14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http://port.kamchatka.ru/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г. Петропавловск-Камчатский, пл. Г. И. Щедрина, д. 2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"28- Электросеть"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(41531) 6-16-78 Оперативный тлф: 8-914-027-5521 </w:t>
            </w:r>
            <w:hyperlink r:id="rId15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http://28elset.ru/about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684000, Российская Федерация, Камчатский край, Елизовский район, г. Елизово, ул. Магистральная, 2</w:t>
            </w:r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"Терминал "Сероглазка""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/>
            </w:pPr>
            <w:hyperlink r:id="rId16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highlight w:val="white"/>
                  <w:lang w:eastAsia="ru-RU"/>
                </w:rPr>
                <w:t>+7 (4152) 466-682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 </w:t>
            </w:r>
            <w:hyperlink r:id="rId17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http://seroglazka.com/</w:t>
              </w:r>
            </w:hyperlink>
          </w:p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г. Петропавловск-Камчатский, улица Мишенная, 131 </w:t>
            </w:r>
          </w:p>
          <w:p>
            <w:pPr>
              <w:pStyle w:val="Normal"/>
              <w:spacing w:before="0" w:after="0"/>
              <w:contextualSpacing/>
              <w:rPr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"МК Транс"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 xml:space="preserve">+7 4152 252 055, </w:t>
            </w:r>
            <w:hyperlink r:id="rId18">
              <w:r>
                <w:rPr>
                  <w:rStyle w:val="Style10"/>
                  <w:rFonts w:eastAsia="Times New Roman" w:cs="Times New Roman"/>
                  <w:b w:val="false"/>
                  <w:bCs w:val="false"/>
                  <w:i w:val="false"/>
                  <w:caps w:val="false"/>
                  <w:smallCaps w:val="false"/>
                  <w:color w:val="000000"/>
                  <w:spacing w:val="0"/>
                  <w:sz w:val="22"/>
                  <w:szCs w:val="22"/>
                  <w:lang w:eastAsia="ru-RU"/>
                </w:rPr>
                <w:t>https://mktranskam.ru/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>, 683031, Камчатский край, г Петропавловск-Камчатский, пр-кт Карла Маркса, д 29/1, офис 205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ООО «Камчатская энергетическая компания»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(800) 234-79-17, </w:t>
            </w:r>
            <w:hyperlink r:id="rId19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https://kek41.ru/</w:t>
              </w:r>
            </w:hyperlink>
          </w:p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683031, Камчатский край, г. Петропавловск-Камчатский, пр. Карла Маркса, д. 11А, пом. 3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"ОКЕАН-ГАЗ"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sz w:val="22"/>
                <w:szCs w:val="22"/>
                <w:lang w:eastAsia="ru-RU"/>
              </w:rPr>
              <w:t xml:space="preserve">+7 (4152) 42-06-01, +7(914) 628 51 44, +7(4152) 21 56 70, </w:t>
            </w:r>
            <w:hyperlink r:id="rId20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color w:val="auto"/>
                  <w:sz w:val="22"/>
                  <w:szCs w:val="22"/>
                  <w:lang w:eastAsia="ru-RU"/>
                </w:rPr>
                <w:t>https://oceangas.ru/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auto"/>
                <w:sz w:val="22"/>
                <w:szCs w:val="22"/>
                <w:lang w:eastAsia="ru-RU"/>
              </w:rPr>
              <w:t>,</w:t>
            </w:r>
          </w:p>
          <w:p>
            <w:pPr>
              <w:pStyle w:val="3"/>
              <w:spacing w:lineRule="auto" w:line="24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Юридический адрес для отправки корреспонденции: 683009, Камчатский край, г. Петропавловск-Камчатский,  ул. Академика Королева, д. 35, кв. 25</w:t>
            </w:r>
          </w:p>
          <w:p>
            <w:pPr>
              <w:pStyle w:val="3"/>
              <w:widowControl/>
              <w:pBdr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Фактический адрес для приема посетителей:</w:t>
            </w:r>
          </w:p>
          <w:p>
            <w:pPr>
              <w:pStyle w:val="Style20"/>
              <w:widowControl/>
              <w:pBdr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eastAsia="ru-RU"/>
              </w:rPr>
              <w:t>г. Петропавловск-Камчатский, ул. Бохняка, д. 3, кв. первый этаж, вход со двора по центру здания (пластиковый модуль)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"Марлин"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(4152) 42-02-09, </w:t>
            </w:r>
            <w:hyperlink r:id="rId21">
              <w:r>
                <w:rPr>
                  <w:rStyle w:val="Style10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http://intarsia.nethouse.ru</w:t>
              </w:r>
            </w:hyperlink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683000, Россия, Петропавловск-Камчатский, УЛ. ОЗЕРНОВСКАЯ КОСА, Д. 11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"Электролиния"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2"/>
              <w:spacing w:before="0" w:after="0"/>
              <w:contextualSpacing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+7 962 291 53 68, </w:t>
            </w:r>
            <w:hyperlink r:id="rId22">
              <w:r>
                <w:rPr>
                  <w:rStyle w:val="Style10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http://protoktp.ru/</w:t>
              </w:r>
            </w:hyperlink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Г. ПЕТРОПАВЛОВСК-КАМЧАТСКИЙ, УЛ. ЛЕНИНГРАДСКАЯ, Д. 65\1, КВ. 45</w:t>
            </w:r>
          </w:p>
        </w:tc>
      </w:tr>
      <w:tr>
        <w:trPr/>
        <w:tc>
          <w:tcPr>
            <w:tcW w:w="42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"ТАРГЕТЭН"</w:t>
            </w:r>
          </w:p>
        </w:tc>
        <w:tc>
          <w:tcPr>
            <w:tcW w:w="535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(914) 022 7008, </w:t>
            </w:r>
            <w:hyperlink r:id="rId23">
              <w:r>
                <w:rPr>
                  <w:rStyle w:val="Style10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https://targeten.ru/</w:t>
              </w:r>
            </w:hyperlink>
          </w:p>
          <w:p>
            <w:pPr>
              <w:pStyle w:val="2"/>
              <w:spacing w:before="0" w:after="0"/>
              <w:contextualSpacing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 Петропавловск-Камчатский, ул Ленинградская, д 124а, кв.50</w:t>
            </w:r>
          </w:p>
        </w:tc>
      </w:tr>
    </w:tbl>
    <w:p>
      <w:pPr>
        <w:pStyle w:val="Normal"/>
        <w:ind w:left="-142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ind w:left="-142" w:hanging="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Примечание</w:t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При отсутствии круглосуточного дежурства оперативного электротехнического персонала дополнительно в списке указать номер телефона дежурного по предприятию</w:t>
      </w:r>
      <w:r>
        <w:rPr>
          <w:rFonts w:ascii="Times New Roman" w:hAnsi="Times New Roman"/>
        </w:rPr>
        <w:t>.</w:t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enter" w:pos="4153" w:leader="none"/>
          <w:tab w:val="right" w:pos="8306" w:leader="none"/>
        </w:tabs>
        <w:ind w:left="-142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6">
                <wp:simplePos x="0" y="0"/>
                <wp:positionH relativeFrom="margin">
                  <wp:posOffset>-42545</wp:posOffset>
                </wp:positionH>
                <wp:positionV relativeFrom="paragraph">
                  <wp:posOffset>186055</wp:posOffset>
                </wp:positionV>
                <wp:extent cx="6015355" cy="876300"/>
                <wp:effectExtent l="0" t="0" r="0" b="0"/>
                <wp:wrapSquare wrapText="bothSides"/>
                <wp:docPr id="5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41" w:tblpY="293" w:topFromText="0" w:vertAnchor="text"/>
                              <w:tblW w:w="9473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643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jc w:val="both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 w:ascii="Times New Roman" w:hAnsi="Times New Roman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3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 _________________ 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______________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73.65pt;height:69pt;mso-wrap-distance-left:9pt;mso-wrap-distance-right:9pt;mso-wrap-distance-top:0pt;mso-wrap-distance-bottom:0pt;margin-top:14.65pt;mso-position-vertical-relative:text;margin-left:-3.3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41" w:tblpY="293" w:topFromText="0" w:vertAnchor="text"/>
                        <w:tblW w:w="9473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643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jc w:val="both"/>
                              <w:outlineLvl w:val="1"/>
                              <w:rPr/>
                            </w:pPr>
                            <w:r>
                              <w:rPr>
                                <w:rFonts w:eastAsia="Arial Unicode MS" w:ascii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3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 _________________ 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______________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  <w:p>
                            <w:pPr>
                              <w:pStyle w:val="Normal"/>
                              <w:jc w:val="both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left" w:pos="1302" w:leader="none"/>
        </w:tabs>
        <w:jc w:val="both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</w:p>
    <w:p>
      <w:pPr>
        <w:pStyle w:val="Normal"/>
        <w:pBdr/>
        <w:rPr/>
      </w:pPr>
      <w:r>
        <w:rPr/>
      </w:r>
    </w:p>
    <w:sectPr>
      <w:footerReference w:type="default" r:id="rId24"/>
      <w:type w:val="nextPage"/>
      <w:pgSz w:w="11906" w:h="16838"/>
      <w:pgMar w:left="1276" w:right="708" w:header="0" w:top="993" w:footer="268" w:bottom="851" w:gutter="0"/>
      <w:pgNumType w:fmt="decimal"/>
      <w:formProt w:val="false"/>
      <w:titlePg/>
      <w:textDirection w:val="lrTb"/>
      <w:docGrid w:type="default" w:linePitch="272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918" w:type="dxa"/>
      <w:jc w:val="center"/>
      <w:tblInd w:w="0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top w:w="0" w:type="dxa"/>
        <w:left w:w="108" w:type="dxa"/>
        <w:bottom w:w="0" w:type="dxa"/>
        <w:right w:w="108" w:type="dxa"/>
      </w:tblCellMar>
      <w:tblLook w:val="04a0" w:noVBand="1" w:noHBand="0" w:lastColumn="0" w:firstColumn="1" w:lastRow="0" w:firstRow="1"/>
    </w:tblPr>
    <w:tblGrid>
      <w:gridCol w:w="4530"/>
      <w:gridCol w:w="5387"/>
    </w:tblGrid>
    <w:tr>
      <w:trPr/>
      <w:tc>
        <w:tcPr>
          <w:tcW w:w="453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108" w:type="dxa"/>
          </w:tcMar>
        </w:tcPr>
        <w:p>
          <w:pPr>
            <w:pStyle w:val="Normal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Исполнитель</w:t>
          </w:r>
        </w:p>
      </w:tc>
      <w:tc>
        <w:tcPr>
          <w:tcW w:w="538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108" w:type="dxa"/>
          </w:tcMar>
        </w:tcPr>
        <w:p>
          <w:pPr>
            <w:pStyle w:val="Normal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Потребитель</w:t>
          </w:r>
          <w:r>
            <w:rPr>
              <w:rFonts w:ascii="Times New Roman" w:hAnsi="Times New Roman"/>
              <w:sz w:val="22"/>
              <w:szCs w:val="22"/>
            </w:rPr>
            <w:t xml:space="preserve"> </w:t>
          </w:r>
        </w:p>
      </w:tc>
    </w:tr>
    <w:tr>
      <w:trPr/>
      <w:tc>
        <w:tcPr>
          <w:tcW w:w="9917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108" w:type="dxa"/>
          </w:tcMar>
        </w:tcPr>
        <w:p>
          <w:pPr>
            <w:pStyle w:val="Style24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Договор энергоснабжения</w:t>
          </w:r>
        </w:p>
      </w:tc>
    </w:tr>
  </w:tbl>
  <w:p>
    <w:pPr>
      <w:pStyle w:val="Style24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  <w:tbl>
    <w:tblPr>
      <w:tblW w:w="9853" w:type="dxa"/>
      <w:jc w:val="left"/>
      <w:tblInd w:w="0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top w:w="0" w:type="dxa"/>
        <w:left w:w="108" w:type="dxa"/>
        <w:bottom w:w="0" w:type="dxa"/>
        <w:right w:w="108" w:type="dxa"/>
      </w:tblCellMar>
      <w:tblLook w:val="04a0" w:noVBand="1" w:noHBand="0" w:lastColumn="0" w:firstColumn="1" w:lastRow="0" w:firstRow="1"/>
    </w:tblPr>
    <w:tblGrid>
      <w:gridCol w:w="4926"/>
      <w:gridCol w:w="4926"/>
    </w:tblGrid>
    <w:tr>
      <w:trPr/>
      <w:tc>
        <w:tcPr>
          <w:tcW w:w="492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108" w:type="dxa"/>
          </w:tcMar>
        </w:tcPr>
        <w:p>
          <w:pPr>
            <w:pStyle w:val="Normal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Исполнитель</w:t>
          </w:r>
        </w:p>
      </w:tc>
      <w:tc>
        <w:tcPr>
          <w:tcW w:w="492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108" w:type="dxa"/>
          </w:tcMar>
        </w:tcPr>
        <w:p>
          <w:pPr>
            <w:pStyle w:val="Normal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Потребитель</w:t>
          </w:r>
        </w:p>
      </w:tc>
    </w:tr>
    <w:tr>
      <w:trPr/>
      <w:tc>
        <w:tcPr>
          <w:tcW w:w="9852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108" w:type="dxa"/>
          </w:tcMar>
        </w:tcPr>
        <w:p>
          <w:pPr>
            <w:pStyle w:val="Style24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Договор энергоснабжения</w:t>
          </w:r>
        </w:p>
      </w:tc>
    </w:tr>
  </w:tbl>
  <w:p>
    <w:pPr>
      <w:pStyle w:val="Style24"/>
      <w:ind w:right="360" w:hanging="0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22"/>
        <w:b/>
        <w:szCs w:val="20"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fals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lvl w:ilvl="0">
      <w:start w:val="1"/>
      <w:numFmt w:val="decimal"/>
      <w:lvlText w:val="%1."/>
      <w:lvlJc w:val="left"/>
      <w:pPr>
        <w:ind w:left="1020" w:hanging="1020"/>
      </w:pPr>
    </w:lvl>
    <w:lvl w:ilvl="1">
      <w:start w:val="1"/>
      <w:numFmt w:val="decimal"/>
      <w:lvlText w:val="%1.%2."/>
      <w:lvlJc w:val="left"/>
      <w:pPr>
        <w:ind w:left="1020" w:hanging="102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020" w:hanging="1020"/>
      </w:pPr>
    </w:lvl>
    <w:lvl w:ilvl="3">
      <w:start w:val="1"/>
      <w:numFmt w:val="decimal"/>
      <w:lvlText w:val="%1.%2.%3.%4."/>
      <w:lvlJc w:val="left"/>
      <w:pPr>
        <w:ind w:left="1020" w:hanging="10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2"/>
      <w:numFmt w:val="decimal"/>
      <w:lvlText w:val="%1."/>
      <w:lvlJc w:val="left"/>
      <w:pPr>
        <w:ind w:left="360" w:hanging="360"/>
      </w:pPr>
      <w:rPr>
        <w:sz w:val="22"/>
        <w:b/>
        <w:rFonts w:ascii="Times New Roman" w:hAnsi="Times New Roman"/>
        <w:color w:val="00000A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2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2"/>
        <w:b/>
        <w:rFonts w:ascii="Times New Roman" w:hAnsi="Times New Roman"/>
        <w:color w:val="00000A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sz w:val="22"/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/>
        <w:szCs w:val="20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  <w:position w:val="0"/>
        <w:sz w:val="20"/>
        <w:b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8"/>
      <w:numFmt w:val="decimal"/>
      <w:lvlText w:val="%1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234e"/>
    <w:pPr>
      <w:widowControl/>
      <w:bidi w:val="0"/>
      <w:jc w:val="left"/>
    </w:pPr>
    <w:rPr>
      <w:rFonts w:ascii="Arial" w:hAnsi="Arial" w:eastAsia="Times New Roman" w:cs="Times New Roman"/>
      <w:color w:val="auto"/>
      <w:sz w:val="20"/>
      <w:szCs w:val="20"/>
      <w:lang w:val="ru-RU" w:eastAsia="ru-RU" w:bidi="ar-SA"/>
    </w:rPr>
  </w:style>
  <w:style w:type="paragraph" w:styleId="1">
    <w:name w:val="Heading 1"/>
    <w:basedOn w:val="Normal"/>
    <w:link w:val="10"/>
    <w:qFormat/>
    <w:rsid w:val="0000234e"/>
    <w:pPr>
      <w:keepNext w:val="true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Normal"/>
    <w:link w:val="20"/>
    <w:qFormat/>
    <w:rsid w:val="0000234e"/>
    <w:pPr>
      <w:keepNext w:val="true"/>
      <w:outlineLvl w:val="1"/>
    </w:pPr>
    <w:rPr>
      <w:rFonts w:ascii="Times New Roman" w:hAnsi="Times New Roman"/>
      <w:b/>
    </w:rPr>
  </w:style>
  <w:style w:type="paragraph" w:styleId="3">
    <w:name w:val="Heading 3"/>
    <w:basedOn w:val="Normal"/>
    <w:link w:val="30"/>
    <w:qFormat/>
    <w:rsid w:val="0000234e"/>
    <w:pPr>
      <w:keepNext w:val="true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Normal"/>
    <w:link w:val="40"/>
    <w:qFormat/>
    <w:rsid w:val="0000234e"/>
    <w:pPr>
      <w:keepNext w:val="true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Normal"/>
    <w:link w:val="50"/>
    <w:qFormat/>
    <w:rsid w:val="0000234e"/>
    <w:pPr>
      <w:keepNext w:val="true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Normal"/>
    <w:link w:val="60"/>
    <w:qFormat/>
    <w:rsid w:val="0000234e"/>
    <w:pPr>
      <w:keepNext w:val="true"/>
      <w:ind w:right="164" w:hanging="0"/>
      <w:outlineLvl w:val="5"/>
    </w:pPr>
    <w:rPr>
      <w:rFonts w:ascii="Times New Roman" w:hAnsi="Times New Roman"/>
      <w:b/>
      <w:bCs/>
      <w:sz w:val="24"/>
    </w:rPr>
  </w:style>
  <w:style w:type="paragraph" w:styleId="7">
    <w:name w:val="Heading 7"/>
    <w:basedOn w:val="Normal"/>
    <w:link w:val="70"/>
    <w:qFormat/>
    <w:rsid w:val="0000234e"/>
    <w:pPr>
      <w:keepNext w:val="true"/>
      <w:ind w:left="360" w:right="254" w:hanging="0"/>
      <w:jc w:val="both"/>
      <w:outlineLvl w:val="6"/>
    </w:pPr>
    <w:rPr>
      <w:rFonts w:ascii="Times New Roman" w:hAnsi="Times New Roman"/>
      <w:bCs/>
      <w:sz w:val="24"/>
    </w:rPr>
  </w:style>
  <w:style w:type="paragraph" w:styleId="8">
    <w:name w:val="Heading 8"/>
    <w:basedOn w:val="Normal"/>
    <w:link w:val="80"/>
    <w:qFormat/>
    <w:rsid w:val="0000234e"/>
    <w:pPr>
      <w:keepNext w:val="true"/>
      <w:spacing w:lineRule="atLeast" w:line="240"/>
      <w:ind w:left="360" w:right="226" w:hanging="0"/>
      <w:jc w:val="both"/>
      <w:outlineLvl w:val="7"/>
    </w:pPr>
    <w:rPr>
      <w:rFonts w:ascii="Times New Roman" w:hAnsi="Times New Roman"/>
      <w:i/>
      <w:iCs/>
      <w:sz w:val="26"/>
    </w:rPr>
  </w:style>
  <w:style w:type="paragraph" w:styleId="9">
    <w:name w:val="Heading 9"/>
    <w:basedOn w:val="Normal"/>
    <w:link w:val="90"/>
    <w:qFormat/>
    <w:rsid w:val="0000234e"/>
    <w:pPr>
      <w:keepNext w:val="true"/>
      <w:spacing w:lineRule="atLeast" w:line="240"/>
      <w:ind w:left="360" w:right="226" w:hanging="0"/>
      <w:jc w:val="both"/>
      <w:outlineLvl w:val="8"/>
    </w:pPr>
    <w:rPr>
      <w:rFonts w:ascii="Times New Roman" w:hAnsi="Times New Roman"/>
      <w:b/>
      <w:bCs/>
      <w:i/>
      <w:iCs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qFormat/>
    <w:rsid w:val="0000234e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21" w:customStyle="1">
    <w:name w:val="Заголовок 2 Знак"/>
    <w:link w:val="2"/>
    <w:qFormat/>
    <w:rsid w:val="0000234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31" w:customStyle="1">
    <w:name w:val="Заголовок 3 Знак"/>
    <w:link w:val="3"/>
    <w:qFormat/>
    <w:rsid w:val="0000234e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41" w:customStyle="1">
    <w:name w:val="Заголовок 4 Знак"/>
    <w:link w:val="4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51" w:customStyle="1">
    <w:name w:val="Заголовок 5 Знак"/>
    <w:link w:val="5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61" w:customStyle="1">
    <w:name w:val="Заголовок 6 Знак"/>
    <w:link w:val="6"/>
    <w:qFormat/>
    <w:rsid w:val="0000234e"/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character" w:styleId="71" w:customStyle="1">
    <w:name w:val="Заголовок 7 Знак"/>
    <w:link w:val="7"/>
    <w:qFormat/>
    <w:rsid w:val="0000234e"/>
    <w:rPr>
      <w:rFonts w:ascii="Times New Roman" w:hAnsi="Times New Roman" w:eastAsia="Times New Roman" w:cs="Times New Roman"/>
      <w:bCs/>
      <w:sz w:val="24"/>
      <w:szCs w:val="20"/>
      <w:lang w:eastAsia="ru-RU"/>
    </w:rPr>
  </w:style>
  <w:style w:type="character" w:styleId="81" w:customStyle="1">
    <w:name w:val="Заголовок 8 Знак"/>
    <w:link w:val="8"/>
    <w:qFormat/>
    <w:rsid w:val="0000234e"/>
    <w:rPr>
      <w:rFonts w:ascii="Times New Roman" w:hAnsi="Times New Roman" w:eastAsia="Times New Roman" w:cs="Times New Roman"/>
      <w:i/>
      <w:iCs/>
      <w:sz w:val="26"/>
      <w:szCs w:val="20"/>
      <w:lang w:eastAsia="ru-RU"/>
    </w:rPr>
  </w:style>
  <w:style w:type="character" w:styleId="91" w:customStyle="1">
    <w:name w:val="Заголовок 9 Знак"/>
    <w:link w:val="9"/>
    <w:qFormat/>
    <w:rsid w:val="0000234e"/>
    <w:rPr>
      <w:rFonts w:ascii="Times New Roman" w:hAnsi="Times New Roman" w:eastAsia="Times New Roman" w:cs="Times New Roman"/>
      <w:b/>
      <w:bCs/>
      <w:i/>
      <w:iCs/>
      <w:sz w:val="26"/>
      <w:szCs w:val="20"/>
      <w:lang w:eastAsia="ru-RU"/>
    </w:rPr>
  </w:style>
  <w:style w:type="character" w:styleId="Style5" w:customStyle="1">
    <w:name w:val="Основной текст Знак"/>
    <w:link w:val="a3"/>
    <w:qFormat/>
    <w:rsid w:val="0000234e"/>
    <w:rPr>
      <w:rFonts w:ascii="Arial" w:hAnsi="Arial" w:eastAsia="Times New Roman" w:cs="Times New Roman"/>
      <w:sz w:val="24"/>
      <w:szCs w:val="20"/>
      <w:lang w:eastAsia="ru-RU"/>
    </w:rPr>
  </w:style>
  <w:style w:type="character" w:styleId="22" w:customStyle="1">
    <w:name w:val="Основной текст 2 Знак"/>
    <w:link w:val="21"/>
    <w:qFormat/>
    <w:rsid w:val="0000234e"/>
    <w:rPr>
      <w:rFonts w:ascii="Times New Roman" w:hAnsi="Times New Roman" w:eastAsia="Times New Roman" w:cs="Times New Roman"/>
      <w:szCs w:val="20"/>
      <w:lang w:eastAsia="ru-RU"/>
    </w:rPr>
  </w:style>
  <w:style w:type="character" w:styleId="Style6" w:customStyle="1">
    <w:name w:val="Нижний колонтитул Знак"/>
    <w:link w:val="a5"/>
    <w:uiPriority w:val="99"/>
    <w:qFormat/>
    <w:rsid w:val="0000234e"/>
    <w:rPr>
      <w:rFonts w:ascii="Arial" w:hAnsi="Arial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00234e"/>
    <w:rPr/>
  </w:style>
  <w:style w:type="character" w:styleId="32" w:customStyle="1">
    <w:name w:val="Основной текст 3 Знак"/>
    <w:link w:val="31"/>
    <w:qFormat/>
    <w:rsid w:val="0000234e"/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Style7" w:customStyle="1">
    <w:name w:val="Заголовок Знак"/>
    <w:link w:val="a8"/>
    <w:qFormat/>
    <w:rsid w:val="0000234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8" w:customStyle="1">
    <w:name w:val="Верхний колонтитул Знак"/>
    <w:link w:val="ab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Основной текст с отступом Знак"/>
    <w:link w:val="ad"/>
    <w:qFormat/>
    <w:rsid w:val="0000234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>
    <w:name w:val="Интернет-ссылка"/>
    <w:rsid w:val="0000234e"/>
    <w:rPr>
      <w:color w:val="0000FF"/>
      <w:u w:val="single"/>
    </w:rPr>
  </w:style>
  <w:style w:type="character" w:styleId="Style11" w:customStyle="1">
    <w:name w:val="Шапка Знак"/>
    <w:link w:val="af0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Текст выноски Знак"/>
    <w:link w:val="af3"/>
    <w:qFormat/>
    <w:rsid w:val="0000234e"/>
    <w:rPr>
      <w:rFonts w:ascii="Tahoma" w:hAnsi="Tahoma" w:eastAsia="Times New Roman" w:cs="Times New Roman"/>
      <w:sz w:val="16"/>
      <w:szCs w:val="16"/>
      <w:lang w:eastAsia="ru-RU"/>
    </w:rPr>
  </w:style>
  <w:style w:type="character" w:styleId="Style13" w:customStyle="1">
    <w:name w:val="Заголовок сообщения (текст)"/>
    <w:qFormat/>
    <w:rsid w:val="0000234e"/>
    <w:rPr>
      <w:rFonts w:ascii="Arial" w:hAnsi="Arial" w:cs="Arial"/>
      <w:b/>
      <w:bCs w:val="false"/>
      <w:spacing w:val="-4"/>
      <w:position w:val="0"/>
      <w:sz w:val="18"/>
      <w:sz w:val="18"/>
      <w:vertAlign w:val="baseline"/>
    </w:rPr>
  </w:style>
  <w:style w:type="character" w:styleId="13" w:customStyle="1">
    <w:name w:val="ТР_13_обычный Знак"/>
    <w:link w:val="13"/>
    <w:qFormat/>
    <w:rsid w:val="0000234e"/>
    <w:rPr>
      <w:rFonts w:ascii="Times New Roman" w:hAnsi="Times New Roman" w:eastAsia="Times New Roman" w:cs="Times New Roman"/>
      <w:color w:val="421CE2"/>
      <w:sz w:val="26"/>
      <w:szCs w:val="26"/>
      <w:lang w:eastAsia="ru-RU"/>
    </w:rPr>
  </w:style>
  <w:style w:type="character" w:styleId="131" w:customStyle="1">
    <w:name w:val="ТР_13_жирный Знак"/>
    <w:link w:val="131"/>
    <w:qFormat/>
    <w:rsid w:val="0000234e"/>
    <w:rPr>
      <w:rFonts w:ascii="Times New Roman" w:hAnsi="Times New Roman" w:eastAsia="Times New Roman" w:cs="Times New Roman"/>
      <w:b/>
      <w:color w:val="421CE2"/>
      <w:sz w:val="26"/>
      <w:szCs w:val="20"/>
      <w:lang w:eastAsia="ru-RU"/>
    </w:rPr>
  </w:style>
  <w:style w:type="character" w:styleId="12" w:customStyle="1">
    <w:name w:val="ТР_12_жир Знак"/>
    <w:link w:val="12"/>
    <w:qFormat/>
    <w:rsid w:val="0000234e"/>
    <w:rPr>
      <w:rFonts w:ascii="Times New Roman" w:hAnsi="Times New Roman" w:eastAsia="Times New Roman" w:cs="Times New Roman"/>
      <w:b/>
      <w:color w:val="421CE2"/>
      <w:sz w:val="24"/>
      <w:szCs w:val="24"/>
      <w:lang w:val="en-US" w:eastAsia="ru-RU"/>
    </w:rPr>
  </w:style>
  <w:style w:type="character" w:styleId="115" w:customStyle="1">
    <w:name w:val="Тр115_обычн Знак"/>
    <w:link w:val="115"/>
    <w:qFormat/>
    <w:rsid w:val="0000234e"/>
    <w:rPr>
      <w:rFonts w:ascii="Times New Roman" w:hAnsi="Times New Roman" w:eastAsia="Times New Roman" w:cs="Times New Roman"/>
      <w:color w:val="421CE2"/>
      <w:sz w:val="24"/>
      <w:szCs w:val="20"/>
      <w:lang w:eastAsia="ru-RU"/>
    </w:rPr>
  </w:style>
  <w:style w:type="character" w:styleId="125" w:customStyle="1">
    <w:name w:val="Обычный125Жир Знак"/>
    <w:link w:val="125"/>
    <w:qFormat/>
    <w:rsid w:val="0000234e"/>
    <w:rPr>
      <w:rFonts w:ascii="Times New Roman" w:hAnsi="Times New Roman" w:eastAsia="Times New Roman" w:cs="Times New Roman"/>
      <w:b/>
      <w:bCs/>
      <w:color w:val="0000FF"/>
      <w:sz w:val="25"/>
      <w:szCs w:val="25"/>
      <w:lang w:eastAsia="ru-RU"/>
    </w:rPr>
  </w:style>
  <w:style w:type="character" w:styleId="121" w:customStyle="1">
    <w:name w:val="Об12жир Знак"/>
    <w:link w:val="122"/>
    <w:qFormat/>
    <w:locked/>
    <w:rsid w:val="0000234e"/>
    <w:rPr>
      <w:b/>
      <w:bCs/>
      <w:color w:val="0000FF"/>
      <w:sz w:val="24"/>
      <w:szCs w:val="24"/>
    </w:rPr>
  </w:style>
  <w:style w:type="character" w:styleId="132" w:customStyle="1">
    <w:name w:val="Об_13_Жир Знак"/>
    <w:link w:val="133"/>
    <w:qFormat/>
    <w:rsid w:val="0000234e"/>
    <w:rPr>
      <w:rFonts w:ascii="Times New Roman" w:hAnsi="Times New Roman" w:eastAsia="Times New Roman" w:cs="Times New Roman"/>
      <w:b/>
      <w:color w:val="0000FF"/>
      <w:sz w:val="26"/>
      <w:szCs w:val="26"/>
      <w:lang w:eastAsia="ru-RU"/>
    </w:rPr>
  </w:style>
  <w:style w:type="character" w:styleId="23" w:customStyle="1">
    <w:name w:val="Основной текст с отступом 2 Знак"/>
    <w:link w:val="23"/>
    <w:qFormat/>
    <w:rsid w:val="0000234e"/>
    <w:rPr>
      <w:rFonts w:ascii="Arial" w:hAnsi="Arial" w:eastAsia="Times New Roman" w:cs="Times New Roman"/>
      <w:sz w:val="20"/>
      <w:szCs w:val="20"/>
      <w:lang w:eastAsia="ru-RU"/>
    </w:rPr>
  </w:style>
  <w:style w:type="character" w:styleId="Style14" w:customStyle="1">
    <w:name w:val="Текст Знак"/>
    <w:link w:val="afb"/>
    <w:qFormat/>
    <w:rsid w:val="0000234e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4" w:customStyle="1">
    <w:name w:val="Стиль1_св-ва документа Знак"/>
    <w:link w:val="1-"/>
    <w:qFormat/>
    <w:rsid w:val="0000234e"/>
    <w:rPr>
      <w:rFonts w:ascii="Times New Roman" w:hAnsi="Times New Roman" w:eastAsia="Times New Roman" w:cs="Times New Roman"/>
      <w:b/>
      <w:bCs/>
      <w:sz w:val="25"/>
      <w:szCs w:val="25"/>
      <w:lang w:val="en-US" w:eastAsia="ru-RU"/>
    </w:rPr>
  </w:style>
  <w:style w:type="character" w:styleId="10" w:customStyle="1">
    <w:name w:val="ТР_10_Жир Знак"/>
    <w:link w:val="100"/>
    <w:qFormat/>
    <w:rsid w:val="0000234e"/>
    <w:rPr>
      <w:rFonts w:ascii="Times New Roman" w:hAnsi="Times New Roman" w:eastAsia="Times New Roman" w:cs="Times New Roman"/>
      <w:b/>
      <w:color w:val="0000FF"/>
      <w:sz w:val="20"/>
      <w:szCs w:val="20"/>
      <w:lang w:eastAsia="ru-RU"/>
    </w:rPr>
  </w:style>
  <w:style w:type="character" w:styleId="101" w:customStyle="1">
    <w:name w:val="ТР_10 Знак"/>
    <w:link w:val="102"/>
    <w:qFormat/>
    <w:rsid w:val="0000234e"/>
    <w:rPr>
      <w:rFonts w:ascii="Times New Roman" w:hAnsi="Times New Roman" w:eastAsia="Times New Roman" w:cs="Times New Roman"/>
      <w:color w:val="0000FF"/>
      <w:sz w:val="20"/>
      <w:szCs w:val="20"/>
      <w:lang w:eastAsia="ru-RU"/>
    </w:rPr>
  </w:style>
  <w:style w:type="character" w:styleId="102" w:customStyle="1">
    <w:name w:val="Тр_10_Жир Знак"/>
    <w:link w:val="104"/>
    <w:qFormat/>
    <w:rsid w:val="0000234e"/>
    <w:rPr>
      <w:rFonts w:ascii="Times New Roman" w:hAnsi="Times New Roman" w:eastAsia="Times New Roman" w:cs="Times New Roman"/>
      <w:b/>
      <w:color w:val="3333FF"/>
      <w:sz w:val="20"/>
      <w:szCs w:val="20"/>
      <w:lang w:eastAsia="ru-RU"/>
    </w:rPr>
  </w:style>
  <w:style w:type="character" w:styleId="Annotationreference">
    <w:name w:val="annotation reference"/>
    <w:qFormat/>
    <w:rsid w:val="0000234e"/>
    <w:rPr>
      <w:sz w:val="16"/>
      <w:szCs w:val="16"/>
    </w:rPr>
  </w:style>
  <w:style w:type="character" w:styleId="Style15" w:customStyle="1">
    <w:name w:val="Текст примечания Знак"/>
    <w:link w:val="afe"/>
    <w:qFormat/>
    <w:rsid w:val="000023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link w:val="aff0"/>
    <w:qFormat/>
    <w:rsid w:val="0000234e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7" w:customStyle="1">
    <w:name w:val="Основной текст_"/>
    <w:link w:val="14"/>
    <w:qFormat/>
    <w:rsid w:val="0000234e"/>
    <w:rPr>
      <w:spacing w:val="-2"/>
      <w:sz w:val="18"/>
      <w:szCs w:val="18"/>
      <w:shd w:fill="FFFFFF" w:val="clear"/>
    </w:rPr>
  </w:style>
  <w:style w:type="character" w:styleId="FollowedHyperlink">
    <w:name w:val="FollowedHyperlink"/>
    <w:semiHidden/>
    <w:unhideWhenUsed/>
    <w:qFormat/>
    <w:rsid w:val="0000234e"/>
    <w:rPr>
      <w:color w:val="954F72"/>
      <w:u w:val="single"/>
    </w:rPr>
  </w:style>
  <w:style w:type="character" w:styleId="Strong">
    <w:name w:val="Strong"/>
    <w:uiPriority w:val="22"/>
    <w:qFormat/>
    <w:rsid w:val="0000234e"/>
    <w:rPr>
      <w:b/>
      <w:bCs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  <w:i w:val="false"/>
    </w:rPr>
  </w:style>
  <w:style w:type="character" w:styleId="ListLabel3">
    <w:name w:val="ListLabel 3"/>
    <w:qFormat/>
    <w:rPr>
      <w:b/>
    </w:rPr>
  </w:style>
  <w:style w:type="character" w:styleId="ListLabel4">
    <w:name w:val="ListLabel 4"/>
    <w:qFormat/>
    <w:rPr>
      <w:b/>
      <w:i w:val="false"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rFonts w:eastAsia="Times New Roman" w:cs="Times New Roman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b/>
    </w:rPr>
  </w:style>
  <w:style w:type="character" w:styleId="ListLabel12">
    <w:name w:val="ListLabel 12"/>
    <w:qFormat/>
    <w:rPr>
      <w:b/>
      <w:i w:val="false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b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b/>
      <w:i w:val="false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i w:val="false"/>
    </w:rPr>
  </w:style>
  <w:style w:type="character" w:styleId="ListLabel35">
    <w:name w:val="ListLabel 35"/>
    <w:qFormat/>
    <w:rPr>
      <w:b/>
      <w:i w:val="false"/>
    </w:rPr>
  </w:style>
  <w:style w:type="character" w:styleId="ListLabel36">
    <w:name w:val="ListLabel 36"/>
    <w:qFormat/>
    <w:rPr>
      <w:b w:val="false"/>
      <w:i w:val="false"/>
    </w:rPr>
  </w:style>
  <w:style w:type="character" w:styleId="ListLabel37">
    <w:name w:val="ListLabel 37"/>
    <w:qFormat/>
    <w:rPr>
      <w:i w:val="false"/>
    </w:rPr>
  </w:style>
  <w:style w:type="character" w:styleId="ListLabel38">
    <w:name w:val="ListLabel 38"/>
    <w:qFormat/>
    <w:rPr>
      <w:i w:val="false"/>
    </w:rPr>
  </w:style>
  <w:style w:type="character" w:styleId="ListLabel39">
    <w:name w:val="ListLabel 39"/>
    <w:qFormat/>
    <w:rPr>
      <w:i w:val="false"/>
    </w:rPr>
  </w:style>
  <w:style w:type="character" w:styleId="ListLabel40">
    <w:name w:val="ListLabel 40"/>
    <w:qFormat/>
    <w:rPr>
      <w:i w:val="false"/>
    </w:rPr>
  </w:style>
  <w:style w:type="character" w:styleId="ListLabel41">
    <w:name w:val="ListLabel 41"/>
    <w:qFormat/>
    <w:rPr>
      <w:i w:val="false"/>
    </w:rPr>
  </w:style>
  <w:style w:type="character" w:styleId="ListLabel42">
    <w:name w:val="ListLabel 42"/>
    <w:qFormat/>
    <w:rPr>
      <w:i w:val="false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b/>
    </w:rPr>
  </w:style>
  <w:style w:type="character" w:styleId="ListLabel47">
    <w:name w:val="ListLabel 47"/>
    <w:qFormat/>
    <w:rPr>
      <w:b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ascii="Times New Roman" w:hAnsi="Times New Roman"/>
      <w:b/>
      <w:sz w:val="22"/>
      <w:szCs w:val="20"/>
    </w:rPr>
  </w:style>
  <w:style w:type="character" w:styleId="ListLabel55">
    <w:name w:val="ListLabel 55"/>
    <w:qFormat/>
    <w:rPr>
      <w:b w:val="false"/>
    </w:rPr>
  </w:style>
  <w:style w:type="character" w:styleId="ListLabel56">
    <w:name w:val="ListLabel 56"/>
    <w:qFormat/>
    <w:rPr>
      <w:b/>
    </w:rPr>
  </w:style>
  <w:style w:type="character" w:styleId="ListLabel57">
    <w:name w:val="ListLabel 57"/>
    <w:qFormat/>
    <w:rPr>
      <w:rFonts w:ascii="Times New Roman" w:hAnsi="Times New Roman"/>
      <w:b/>
      <w:sz w:val="22"/>
    </w:rPr>
  </w:style>
  <w:style w:type="character" w:styleId="ListLabel58">
    <w:name w:val="ListLabel 58"/>
    <w:qFormat/>
    <w:rPr>
      <w:rFonts w:ascii="Times New Roman" w:hAnsi="Times New Roman"/>
      <w:b/>
      <w:color w:val="00000A"/>
      <w:sz w:val="22"/>
    </w:rPr>
  </w:style>
  <w:style w:type="character" w:styleId="ListLabel59">
    <w:name w:val="ListLabel 59"/>
    <w:qFormat/>
    <w:rPr>
      <w:rFonts w:ascii="Times New Roman" w:hAnsi="Times New Roman"/>
      <w:b/>
      <w:sz w:val="22"/>
    </w:rPr>
  </w:style>
  <w:style w:type="character" w:styleId="ListLabel60">
    <w:name w:val="ListLabel 60"/>
    <w:qFormat/>
    <w:rPr>
      <w:rFonts w:ascii="Times New Roman" w:hAnsi="Times New Roman" w:cs="Times New Roman"/>
      <w:b/>
      <w:sz w:val="22"/>
    </w:rPr>
  </w:style>
  <w:style w:type="character" w:styleId="ListLabel61">
    <w:name w:val="ListLabel 61"/>
    <w:qFormat/>
    <w:rPr>
      <w:rFonts w:ascii="Times New Roman" w:hAnsi="Times New Roman"/>
      <w:b/>
      <w:color w:val="00000A"/>
      <w:sz w:val="22"/>
    </w:rPr>
  </w:style>
  <w:style w:type="character" w:styleId="ListLabel62">
    <w:name w:val="ListLabel 62"/>
    <w:qFormat/>
    <w:rPr>
      <w:rFonts w:ascii="Times New Roman" w:hAnsi="Times New Roman"/>
      <w:b/>
      <w:sz w:val="22"/>
    </w:rPr>
  </w:style>
  <w:style w:type="character" w:styleId="ListLabel63">
    <w:name w:val="ListLabel 63"/>
    <w:qFormat/>
    <w:rPr>
      <w:b/>
    </w:rPr>
  </w:style>
  <w:style w:type="character" w:styleId="ListLabel64">
    <w:name w:val="ListLabel 64"/>
    <w:qFormat/>
    <w:rPr>
      <w:rFonts w:eastAsia="Times New Roman" w:cs="Times New Roman"/>
      <w:b/>
      <w:color w:val="000000"/>
    </w:rPr>
  </w:style>
  <w:style w:type="character" w:styleId="ListLabel65">
    <w:name w:val="ListLabel 65"/>
    <w:qFormat/>
    <w:rPr>
      <w:rFonts w:ascii="Times New Roman" w:hAnsi="Times New Roman"/>
      <w:b/>
      <w:sz w:val="20"/>
      <w:szCs w:val="20"/>
    </w:rPr>
  </w:style>
  <w:style w:type="character" w:styleId="ListLabel66">
    <w:name w:val="ListLabel 66"/>
    <w:qFormat/>
    <w:rPr>
      <w:rFonts w:ascii="Times New Roman" w:hAnsi="Times New Roman"/>
      <w:b/>
      <w:position w:val="0"/>
      <w:sz w:val="20"/>
      <w:vertAlign w:val="baseline"/>
    </w:rPr>
  </w:style>
  <w:style w:type="character" w:styleId="ListLabel67">
    <w:name w:val="ListLabel 67"/>
    <w:qFormat/>
    <w:rPr>
      <w:rFonts w:ascii="Times New Roman" w:hAnsi="Times New Roman"/>
      <w:b/>
      <w:sz w:val="22"/>
    </w:rPr>
  </w:style>
  <w:style w:type="character" w:styleId="ListLabel68">
    <w:name w:val="ListLabel 68"/>
    <w:qFormat/>
    <w:rPr>
      <w:rFonts w:ascii="Times New Roman" w:hAnsi="Times New Roman"/>
      <w:b/>
      <w:sz w:val="22"/>
    </w:rPr>
  </w:style>
  <w:style w:type="character" w:styleId="ListLabel69">
    <w:name w:val="ListLabel 69"/>
    <w:qFormat/>
    <w:rPr>
      <w:rFonts w:ascii="Times New Roman" w:hAnsi="Times New Roman"/>
      <w:b/>
      <w:sz w:val="22"/>
    </w:rPr>
  </w:style>
  <w:style w:type="character" w:styleId="Style18">
    <w:name w:val="Посещённая гиперссылка"/>
    <w:rPr>
      <w:color w:val="800000"/>
      <w:u w:val="single"/>
      <w:lang w:val="zxx" w:eastAsia="zxx" w:bidi="zxx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0">
    <w:name w:val="Body Text"/>
    <w:basedOn w:val="Normal"/>
    <w:link w:val="a4"/>
    <w:rsid w:val="0000234e"/>
    <w:pPr>
      <w:spacing w:lineRule="auto" w:line="360"/>
      <w:jc w:val="both"/>
    </w:pPr>
    <w:rPr>
      <w:sz w:val="24"/>
    </w:rPr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link w:val="22"/>
    <w:qFormat/>
    <w:rsid w:val="0000234e"/>
    <w:pPr/>
    <w:rPr>
      <w:rFonts w:ascii="Times New Roman" w:hAnsi="Times New Roman"/>
      <w:sz w:val="22"/>
    </w:rPr>
  </w:style>
  <w:style w:type="paragraph" w:styleId="Style24">
    <w:name w:val="Footer"/>
    <w:basedOn w:val="Normal"/>
    <w:link w:val="a6"/>
    <w:uiPriority w:val="99"/>
    <w:rsid w:val="0000234e"/>
    <w:pPr>
      <w:tabs>
        <w:tab w:val="center" w:pos="4153" w:leader="none"/>
        <w:tab w:val="right" w:pos="8306" w:leader="none"/>
      </w:tabs>
    </w:pPr>
    <w:rPr/>
  </w:style>
  <w:style w:type="paragraph" w:styleId="BodyText3">
    <w:name w:val="Body Text 3"/>
    <w:basedOn w:val="Normal"/>
    <w:link w:val="32"/>
    <w:qFormat/>
    <w:rsid w:val="0000234e"/>
    <w:pPr/>
    <w:rPr>
      <w:b/>
      <w:sz w:val="24"/>
    </w:rPr>
  </w:style>
  <w:style w:type="paragraph" w:styleId="Style25">
    <w:name w:val="Title"/>
    <w:basedOn w:val="Normal"/>
    <w:link w:val="a9"/>
    <w:qFormat/>
    <w:rsid w:val="0000234e"/>
    <w:pPr>
      <w:jc w:val="center"/>
    </w:pPr>
    <w:rPr>
      <w:rFonts w:ascii="Times New Roman" w:hAnsi="Times New Roman"/>
      <w:b/>
      <w:sz w:val="28"/>
    </w:rPr>
  </w:style>
  <w:style w:type="paragraph" w:styleId="BlockText">
    <w:name w:val="Block Text"/>
    <w:basedOn w:val="Normal"/>
    <w:qFormat/>
    <w:rsid w:val="0000234e"/>
    <w:pPr>
      <w:ind w:left="284" w:right="254" w:firstLine="567"/>
      <w:jc w:val="both"/>
    </w:pPr>
    <w:rPr>
      <w:rFonts w:ascii="Times New Roman" w:hAnsi="Times New Roman"/>
      <w:sz w:val="24"/>
    </w:rPr>
  </w:style>
  <w:style w:type="paragraph" w:styleId="Style26">
    <w:name w:val="Header"/>
    <w:basedOn w:val="Normal"/>
    <w:link w:val="ac"/>
    <w:rsid w:val="0000234e"/>
    <w:pPr>
      <w:tabs>
        <w:tab w:val="center" w:pos="4153" w:leader="none"/>
        <w:tab w:val="right" w:pos="8306" w:leader="none"/>
      </w:tabs>
    </w:pPr>
    <w:rPr>
      <w:rFonts w:ascii="Times New Roman" w:hAnsi="Times New Roman"/>
    </w:rPr>
  </w:style>
  <w:style w:type="paragraph" w:styleId="Style27">
    <w:name w:val="Body Text Indent"/>
    <w:basedOn w:val="Normal"/>
    <w:link w:val="ae"/>
    <w:rsid w:val="0000234e"/>
    <w:pPr>
      <w:spacing w:lineRule="auto" w:line="360"/>
      <w:ind w:firstLine="1134"/>
      <w:jc w:val="both"/>
    </w:pPr>
    <w:rPr>
      <w:rFonts w:ascii="Times New Roman" w:hAnsi="Times New Roman"/>
      <w:sz w:val="24"/>
    </w:rPr>
  </w:style>
  <w:style w:type="paragraph" w:styleId="MessageHeader">
    <w:name w:val="Message Header"/>
    <w:basedOn w:val="Style20"/>
    <w:link w:val="af1"/>
    <w:qFormat/>
    <w:rsid w:val="0000234e"/>
    <w:pPr>
      <w:keepLines/>
      <w:spacing w:lineRule="atLeast" w:line="415"/>
      <w:ind w:left="1985" w:right="-360" w:hanging="1145"/>
      <w:jc w:val="lef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af4"/>
    <w:qFormat/>
    <w:rsid w:val="0000234e"/>
    <w:pPr/>
    <w:rPr>
      <w:rFonts w:ascii="Tahoma" w:hAnsi="Tahoma"/>
      <w:sz w:val="16"/>
      <w:szCs w:val="16"/>
    </w:rPr>
  </w:style>
  <w:style w:type="paragraph" w:styleId="Style28" w:customStyle="1">
    <w:name w:val="Название документа"/>
    <w:qFormat/>
    <w:rsid w:val="0000234e"/>
    <w:pPr>
      <w:widowControl/>
      <w:bidi w:val="0"/>
      <w:spacing w:lineRule="atLeast" w:line="600" w:before="140" w:after="540"/>
      <w:ind w:left="840" w:hanging="0"/>
      <w:jc w:val="left"/>
    </w:pPr>
    <w:rPr>
      <w:rFonts w:ascii="Times New Roman" w:hAnsi="Times New Roman" w:eastAsia="Times New Roman" w:cs="Times New Roman"/>
      <w:color w:val="auto"/>
      <w:spacing w:val="-38"/>
      <w:sz w:val="60"/>
      <w:szCs w:val="20"/>
      <w:lang w:val="ru-RU" w:eastAsia="ru-RU" w:bidi="ar-SA"/>
    </w:rPr>
  </w:style>
  <w:style w:type="paragraph" w:styleId="Style29" w:customStyle="1">
    <w:name w:val="Заголовок сообщения (первый)"/>
    <w:qFormat/>
    <w:rsid w:val="0000234e"/>
    <w:pPr>
      <w:keepLines/>
      <w:widowControl/>
      <w:bidi w:val="0"/>
      <w:spacing w:lineRule="atLeast" w:line="415"/>
      <w:ind w:left="1985" w:right="-360" w:hanging="1145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133" w:customStyle="1">
    <w:name w:val="ТР_13_обычный"/>
    <w:basedOn w:val="Style25"/>
    <w:link w:val="130"/>
    <w:qFormat/>
    <w:rsid w:val="0000234e"/>
    <w:pPr>
      <w:ind w:left="33" w:hanging="0"/>
      <w:jc w:val="left"/>
    </w:pPr>
    <w:rPr>
      <w:b w:val="false"/>
      <w:color w:val="421CE2"/>
      <w:sz w:val="26"/>
      <w:szCs w:val="26"/>
    </w:rPr>
  </w:style>
  <w:style w:type="paragraph" w:styleId="134" w:customStyle="1">
    <w:name w:val="ТР_13_жирный"/>
    <w:basedOn w:val="Style25"/>
    <w:link w:val="132"/>
    <w:qFormat/>
    <w:rsid w:val="0000234e"/>
    <w:pPr/>
    <w:rPr>
      <w:color w:val="421CE2"/>
      <w:sz w:val="26"/>
    </w:rPr>
  </w:style>
  <w:style w:type="paragraph" w:styleId="122" w:customStyle="1">
    <w:name w:val="ТР_12_жир"/>
    <w:basedOn w:val="Normal"/>
    <w:link w:val="120"/>
    <w:qFormat/>
    <w:rsid w:val="0000234e"/>
    <w:pPr>
      <w:jc w:val="center"/>
    </w:pPr>
    <w:rPr>
      <w:rFonts w:ascii="Times New Roman" w:hAnsi="Times New Roman"/>
      <w:b/>
      <w:color w:val="421CE2"/>
      <w:sz w:val="24"/>
      <w:szCs w:val="24"/>
      <w:lang w:val="en-US"/>
    </w:rPr>
  </w:style>
  <w:style w:type="paragraph" w:styleId="1151" w:customStyle="1">
    <w:name w:val="Тр115_обычн"/>
    <w:basedOn w:val="Style27"/>
    <w:link w:val="1150"/>
    <w:qFormat/>
    <w:rsid w:val="0000234e"/>
    <w:pPr>
      <w:spacing w:lineRule="exact" w:line="240"/>
      <w:ind w:firstLine="1080"/>
    </w:pPr>
    <w:rPr>
      <w:color w:val="421CE2"/>
    </w:rPr>
  </w:style>
  <w:style w:type="paragraph" w:styleId="ListParagraph">
    <w:name w:val="List Paragraph"/>
    <w:basedOn w:val="Normal"/>
    <w:uiPriority w:val="34"/>
    <w:qFormat/>
    <w:rsid w:val="0000234e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00234e"/>
    <w:pPr>
      <w:widowControl/>
      <w:bidi w:val="0"/>
      <w:jc w:val="left"/>
    </w:pPr>
    <w:rPr>
      <w:rFonts w:ascii="Calibri" w:hAnsi="Calibri" w:eastAsia="Calibri" w:cs="Times New Roman"/>
      <w:color w:val="auto"/>
      <w:sz w:val="22"/>
      <w:szCs w:val="22"/>
      <w:lang w:eastAsia="en-US" w:val="ru-RU" w:bidi="ar-SA"/>
    </w:rPr>
  </w:style>
  <w:style w:type="paragraph" w:styleId="1251" w:customStyle="1">
    <w:name w:val="Обычный125Жир"/>
    <w:basedOn w:val="Normal"/>
    <w:link w:val="1250"/>
    <w:qFormat/>
    <w:rsid w:val="0000234e"/>
    <w:pPr>
      <w:keepNext w:val="true"/>
      <w:ind w:left="-13" w:hanging="0"/>
      <w:outlineLvl w:val="3"/>
    </w:pPr>
    <w:rPr>
      <w:rFonts w:ascii="Times New Roman" w:hAnsi="Times New Roman"/>
      <w:b/>
      <w:bCs/>
      <w:color w:val="0000FF"/>
      <w:sz w:val="25"/>
      <w:szCs w:val="25"/>
    </w:rPr>
  </w:style>
  <w:style w:type="paragraph" w:styleId="123" w:customStyle="1">
    <w:name w:val="Об12жир"/>
    <w:basedOn w:val="Normal"/>
    <w:link w:val="121"/>
    <w:qFormat/>
    <w:rsid w:val="0000234e"/>
    <w:pPr>
      <w:jc w:val="both"/>
    </w:pPr>
    <w:rPr>
      <w:rFonts w:ascii="Calibri" w:hAnsi="Calibri" w:eastAsia="Calibri"/>
      <w:b/>
      <w:bCs/>
      <w:color w:val="0000FF"/>
      <w:sz w:val="24"/>
      <w:szCs w:val="24"/>
      <w:lang w:eastAsia="en-US"/>
    </w:rPr>
  </w:style>
  <w:style w:type="paragraph" w:styleId="135" w:customStyle="1">
    <w:name w:val="Об_13_Жир"/>
    <w:basedOn w:val="Normal"/>
    <w:link w:val="134"/>
    <w:qFormat/>
    <w:rsid w:val="0000234e"/>
    <w:pPr>
      <w:spacing w:before="120" w:after="120"/>
      <w:ind w:firstLine="357"/>
      <w:jc w:val="both"/>
    </w:pPr>
    <w:rPr>
      <w:rFonts w:ascii="Times New Roman" w:hAnsi="Times New Roman"/>
      <w:b/>
      <w:color w:val="0000FF"/>
      <w:sz w:val="26"/>
      <w:szCs w:val="26"/>
    </w:rPr>
  </w:style>
  <w:style w:type="paragraph" w:styleId="ConsPlusTitle" w:customStyle="1">
    <w:name w:val="ConsPlusTitle"/>
    <w:uiPriority w:val="99"/>
    <w:qFormat/>
    <w:rsid w:val="0000234e"/>
    <w:pPr>
      <w:widowControl w:val="false"/>
      <w:bidi w:val="0"/>
      <w:jc w:val="left"/>
    </w:pPr>
    <w:rPr>
      <w:rFonts w:eastAsia="Times New Roman" w:cs="Calibri" w:ascii="Calibri" w:hAnsi="Calibri"/>
      <w:b/>
      <w:bCs/>
      <w:color w:val="auto"/>
      <w:sz w:val="22"/>
      <w:szCs w:val="22"/>
      <w:lang w:val="ru-RU" w:eastAsia="ru-RU" w:bidi="ar-SA"/>
    </w:rPr>
  </w:style>
  <w:style w:type="paragraph" w:styleId="BodyTextIndent2">
    <w:name w:val="Body Text Indent 2"/>
    <w:basedOn w:val="Normal"/>
    <w:link w:val="24"/>
    <w:unhideWhenUsed/>
    <w:qFormat/>
    <w:rsid w:val="0000234e"/>
    <w:pPr>
      <w:spacing w:lineRule="auto" w:line="480" w:before="0" w:after="120"/>
      <w:ind w:left="283" w:hanging="0"/>
    </w:pPr>
    <w:rPr/>
  </w:style>
  <w:style w:type="paragraph" w:styleId="Caption">
    <w:name w:val="caption"/>
    <w:basedOn w:val="Normal"/>
    <w:qFormat/>
    <w:rsid w:val="0000234e"/>
    <w:pPr>
      <w:ind w:left="357" w:firstLine="357"/>
      <w:jc w:val="both"/>
    </w:pPr>
    <w:rPr>
      <w:rFonts w:ascii="Times New Roman" w:hAnsi="Times New Roman"/>
      <w:b/>
      <w:bCs/>
    </w:rPr>
  </w:style>
  <w:style w:type="paragraph" w:styleId="PlainText">
    <w:name w:val="Plain Text"/>
    <w:basedOn w:val="Normal"/>
    <w:link w:val="afc"/>
    <w:qFormat/>
    <w:rsid w:val="0000234e"/>
    <w:pPr>
      <w:ind w:left="357" w:firstLine="357"/>
      <w:jc w:val="both"/>
    </w:pPr>
    <w:rPr>
      <w:rFonts w:ascii="Courier New" w:hAnsi="Courier New" w:cs="Courier New"/>
    </w:rPr>
  </w:style>
  <w:style w:type="paragraph" w:styleId="15" w:customStyle="1">
    <w:name w:val="Стиль1_св-ва документа"/>
    <w:basedOn w:val="4"/>
    <w:link w:val="1-0"/>
    <w:qFormat/>
    <w:rsid w:val="0000234e"/>
    <w:pPr>
      <w:ind w:left="-13" w:hanging="0"/>
      <w:jc w:val="both"/>
    </w:pPr>
    <w:rPr>
      <w:bCs/>
      <w:sz w:val="25"/>
      <w:szCs w:val="25"/>
      <w:lang w:val="en-US"/>
    </w:rPr>
  </w:style>
  <w:style w:type="paragraph" w:styleId="103" w:customStyle="1">
    <w:name w:val="ТР_10_Жир"/>
    <w:basedOn w:val="Normal"/>
    <w:link w:val="101"/>
    <w:qFormat/>
    <w:rsid w:val="0000234e"/>
    <w:pPr/>
    <w:rPr>
      <w:rFonts w:ascii="Times New Roman" w:hAnsi="Times New Roman"/>
      <w:b/>
      <w:color w:val="0000FF"/>
    </w:rPr>
  </w:style>
  <w:style w:type="paragraph" w:styleId="104" w:customStyle="1">
    <w:name w:val="ТР_10"/>
    <w:basedOn w:val="Normal"/>
    <w:link w:val="103"/>
    <w:qFormat/>
    <w:rsid w:val="0000234e"/>
    <w:pPr/>
    <w:rPr>
      <w:rFonts w:ascii="Times New Roman" w:hAnsi="Times New Roman"/>
      <w:color w:val="0000FF"/>
    </w:rPr>
  </w:style>
  <w:style w:type="paragraph" w:styleId="105" w:customStyle="1">
    <w:name w:val="Тр_10_Жир"/>
    <w:basedOn w:val="BodyTextIndent2"/>
    <w:link w:val="105"/>
    <w:qFormat/>
    <w:rsid w:val="0000234e"/>
    <w:pPr>
      <w:spacing w:lineRule="auto" w:line="240" w:before="120" w:after="120"/>
      <w:ind w:left="0" w:hanging="0"/>
      <w:jc w:val="center"/>
    </w:pPr>
    <w:rPr>
      <w:rFonts w:ascii="Times New Roman" w:hAnsi="Times New Roman"/>
      <w:b/>
      <w:color w:val="3333FF"/>
    </w:rPr>
  </w:style>
  <w:style w:type="paragraph" w:styleId="Annotationtext">
    <w:name w:val="annotation text"/>
    <w:basedOn w:val="Normal"/>
    <w:link w:val="aff"/>
    <w:qFormat/>
    <w:rsid w:val="0000234e"/>
    <w:pPr>
      <w:ind w:left="357" w:firstLine="357"/>
      <w:jc w:val="both"/>
    </w:pPr>
    <w:rPr>
      <w:rFonts w:ascii="Times New Roman" w:hAnsi="Times New Roman"/>
    </w:rPr>
  </w:style>
  <w:style w:type="paragraph" w:styleId="Annotationsubject">
    <w:name w:val="annotation subject"/>
    <w:basedOn w:val="Annotationtext"/>
    <w:link w:val="aff1"/>
    <w:qFormat/>
    <w:rsid w:val="0000234e"/>
    <w:pPr/>
    <w:rPr>
      <w:b/>
      <w:bCs/>
    </w:rPr>
  </w:style>
  <w:style w:type="paragraph" w:styleId="16" w:customStyle="1">
    <w:name w:val="Стиль1"/>
    <w:basedOn w:val="Normal"/>
    <w:qFormat/>
    <w:rsid w:val="0000234e"/>
    <w:pPr>
      <w:widowControl w:val="false"/>
      <w:suppressAutoHyphens w:val="true"/>
      <w:ind w:firstLine="709"/>
      <w:jc w:val="both"/>
    </w:pPr>
    <w:rPr>
      <w:rFonts w:ascii="Times New Roman" w:hAnsi="Times New Roman"/>
      <w:sz w:val="28"/>
      <w:szCs w:val="28"/>
    </w:rPr>
  </w:style>
  <w:style w:type="paragraph" w:styleId="17" w:customStyle="1">
    <w:name w:val="Основной текст1"/>
    <w:basedOn w:val="Normal"/>
    <w:link w:val="aff2"/>
    <w:qFormat/>
    <w:rsid w:val="0000234e"/>
    <w:pPr>
      <w:widowControl w:val="false"/>
      <w:shd w:val="clear" w:color="auto" w:fill="FFFFFF"/>
      <w:spacing w:lineRule="auto" w:before="0" w:after="120"/>
    </w:pPr>
    <w:rPr>
      <w:rFonts w:ascii="Calibri" w:hAnsi="Calibri" w:eastAsia="Calibri"/>
      <w:spacing w:val="-2"/>
      <w:sz w:val="18"/>
      <w:szCs w:val="18"/>
      <w:lang w:eastAsia="en-US"/>
    </w:rPr>
  </w:style>
  <w:style w:type="paragraph" w:styleId="Style3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00234e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376DA00A4A2B58C618693F50FE34346DED310CC413F483D98C22E3577C474177B0118598C80B819D35JDF" TargetMode="External"/><Relationship Id="rId4" Type="http://schemas.openxmlformats.org/officeDocument/2006/relationships/hyperlink" Target="http://www.kamenergo.ru/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rsosiluet.ru/" TargetMode="External"/><Relationship Id="rId9" Type="http://schemas.openxmlformats.org/officeDocument/2006/relationships/hyperlink" Target="https://teskpk.ru/" TargetMode="External"/><Relationship Id="rId10" Type="http://schemas.openxmlformats.org/officeDocument/2006/relationships/hyperlink" Target="https://teskpk.ru/" TargetMode="External"/><Relationship Id="rId11" Type="http://schemas.openxmlformats.org/officeDocument/2006/relationships/hyperlink" Target="https://teskpk.ru/" TargetMode="External"/><Relationship Id="rId12" Type="http://schemas.openxmlformats.org/officeDocument/2006/relationships/hyperlink" Target="https://41-es.ru/" TargetMode="External"/><Relationship Id="rId13" Type="http://schemas.openxmlformats.org/officeDocument/2006/relationships/hyperlink" Target="https://aleir-kamchatka.ru/" TargetMode="External"/><Relationship Id="rId14" Type="http://schemas.openxmlformats.org/officeDocument/2006/relationships/hyperlink" Target="http://port.kamchatka.ru/" TargetMode="External"/><Relationship Id="rId15" Type="http://schemas.openxmlformats.org/officeDocument/2006/relationships/hyperlink" Target="http://28elset.ru/about" TargetMode="External"/><Relationship Id="rId16" Type="http://schemas.openxmlformats.org/officeDocument/2006/relationships/hyperlink" Target="tel:+74152466682" TargetMode="External"/><Relationship Id="rId17" Type="http://schemas.openxmlformats.org/officeDocument/2006/relationships/hyperlink" Target="http://seroglazka.com/" TargetMode="External"/><Relationship Id="rId18" Type="http://schemas.openxmlformats.org/officeDocument/2006/relationships/hyperlink" Target="https://mktranskam.ru/" TargetMode="External"/><Relationship Id="rId19" Type="http://schemas.openxmlformats.org/officeDocument/2006/relationships/hyperlink" Target="https://kek41.ru/" TargetMode="External"/><Relationship Id="rId20" Type="http://schemas.openxmlformats.org/officeDocument/2006/relationships/hyperlink" Target="https://oceangas.ru/" TargetMode="External"/><Relationship Id="rId21" Type="http://schemas.openxmlformats.org/officeDocument/2006/relationships/hyperlink" Target="http://intarsia.nethouse.ru/" TargetMode="External"/><Relationship Id="rId22" Type="http://schemas.openxmlformats.org/officeDocument/2006/relationships/hyperlink" Target="http://protoktp.ru/" TargetMode="External"/><Relationship Id="rId23" Type="http://schemas.openxmlformats.org/officeDocument/2006/relationships/hyperlink" Target="https://targeten.ru/" TargetMode="External"/><Relationship Id="rId24" Type="http://schemas.openxmlformats.org/officeDocument/2006/relationships/footer" Target="footer4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LibreOffice/5.3.6.1$Linux_X86_64 LibreOffice_project/30$Build-1</Application>
  <Pages>22</Pages>
  <Words>8532</Words>
  <Characters>64438</Characters>
  <CharactersWithSpaces>73859</CharactersWithSpaces>
  <Paragraphs>544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2023-02-09T03:23:00Z</dcterms:created>
  <dc:creator>Залесова Виктория Владимировна</dc:creator>
  <dc:description/>
  <dc:language>ru-RU</dc:language>
  <cp:lastModifiedBy/>
  <dcterms:modified xsi:type="dcterms:W3CDTF">2025-07-11T12:13:51Z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