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media/image1.jpeg" ContentType="image/jpeg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tabs>
          <w:tab w:val="left" w:pos="16" w:leader="none"/>
        </w:tabs>
        <w:ind w:left="-13" w:hanging="0"/>
        <w:jc w:val="center"/>
        <w:outlineLvl w:val="3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center"/>
        <w:rPr>
          <w:rFonts w:ascii="Times New Roman" w:hAnsi="Times New Roman"/>
          <w:b/>
          <w:b/>
          <w:iCs/>
          <w:color w:val="0000FF"/>
        </w:rPr>
      </w:pPr>
      <w:r>
        <w:rPr/>
        <w:drawing>
          <wp:inline distT="0" distB="0" distL="0" distR="9525">
            <wp:extent cx="2695575" cy="438150"/>
            <wp:effectExtent l="0" t="0" r="0" b="0"/>
            <wp:docPr id="1" name="Рисунок 1" descr="Камчатскэнерго-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мчатскэнерго-лого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0"/>
        <w:spacing w:lineRule="auto" w:line="240"/>
        <w:jc w:val="center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</w:r>
    </w:p>
    <w:p>
      <w:pPr>
        <w:pStyle w:val="Style20"/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МУНИЦИПАЛЬНЫЙ КОНТРАКТ ЭНЕРГОСНАБЖЕНИЯ </w:t>
      </w:r>
      <w:r>
        <w:rPr>
          <w:rFonts w:ascii="Times New Roman" w:hAnsi="Times New Roman"/>
          <w:b/>
          <w:iCs/>
          <w:color w:val="0000FF"/>
          <w:sz w:val="22"/>
          <w:szCs w:val="22"/>
        </w:rPr>
        <w:t xml:space="preserve">№ </w:t>
      </w:r>
      <w:r>
        <w:rPr>
          <w:rFonts w:ascii="Times New Roman" w:hAnsi="Times New Roman"/>
          <w:b/>
          <w:bCs/>
          <w:iCs/>
          <w:color w:val="0000FF"/>
          <w:sz w:val="22"/>
          <w:szCs w:val="22"/>
        </w:rPr>
        <w:t>___________</w:t>
      </w:r>
    </w:p>
    <w:p>
      <w:pPr>
        <w:pStyle w:val="Style20"/>
        <w:spacing w:lineRule="auto" w:line="24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20"/>
        <w:spacing w:lineRule="auto" w:line="240"/>
        <w:jc w:val="left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 xml:space="preserve"> </w:t>
      </w:r>
      <w:r>
        <w:rPr>
          <w:rFonts w:ascii="Times New Roman" w:hAnsi="Times New Roman"/>
          <w:b/>
          <w:iCs/>
          <w:sz w:val="22"/>
          <w:szCs w:val="22"/>
        </w:rPr>
        <w:t>г. Петропавловск-Камчатский                                                                           «    » ______________ _______.</w:t>
      </w:r>
    </w:p>
    <w:p>
      <w:pPr>
        <w:pStyle w:val="Style20"/>
        <w:spacing w:lineRule="auto" w:line="240"/>
        <w:jc w:val="left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20"/>
        <w:spacing w:lineRule="auto" w:line="240"/>
        <w:ind w:firstLine="85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Публичное акционерное общество энергетики и электрификации «Камчатскэнерго»</w:t>
      </w:r>
      <w:r>
        <w:rPr>
          <w:rFonts w:ascii="Times New Roman" w:hAnsi="Times New Roman"/>
          <w:sz w:val="22"/>
          <w:szCs w:val="22"/>
        </w:rPr>
        <w:t xml:space="preserve">, именуемое в дальнейшем </w:t>
      </w:r>
      <w:r>
        <w:rPr>
          <w:rFonts w:ascii="Times New Roman" w:hAnsi="Times New Roman"/>
          <w:b/>
          <w:sz w:val="22"/>
          <w:szCs w:val="22"/>
        </w:rPr>
        <w:t>«Гарантирующий поставщик»</w:t>
      </w:r>
      <w:r>
        <w:rPr>
          <w:rFonts w:ascii="Times New Roman" w:hAnsi="Times New Roman"/>
          <w:sz w:val="22"/>
          <w:szCs w:val="22"/>
        </w:rPr>
        <w:t xml:space="preserve">, в лице </w:t>
      </w:r>
      <w:r>
        <w:rPr>
          <w:rFonts w:ascii="Times New Roman" w:hAnsi="Times New Roman"/>
          <w:color w:val="000000" w:themeColor="text1"/>
          <w:sz w:val="22"/>
          <w:szCs w:val="22"/>
        </w:rPr>
        <w:t>в лице __________________________________________________________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филиала ПАО «Дальневосточная энергетическая компания» «Камчатскэнергосбыт» </w:t>
      </w: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действующей на основании </w:t>
      </w:r>
      <w:r>
        <w:rPr>
          <w:rFonts w:ascii="Times New Roman" w:hAnsi="Times New Roman"/>
          <w:b/>
          <w:bCs/>
          <w:i/>
          <w:iCs/>
          <w:color w:val="000000" w:themeColor="text1"/>
          <w:sz w:val="22"/>
          <w:szCs w:val="22"/>
        </w:rPr>
        <w:t>_______________________________</w:t>
      </w:r>
      <w:r>
        <w:rPr>
          <w:rFonts w:ascii="Times New Roman" w:hAnsi="Times New Roman"/>
          <w:sz w:val="22"/>
          <w:szCs w:val="22"/>
        </w:rPr>
        <w:t>, с одной стороны, и</w:t>
      </w:r>
    </w:p>
    <w:p>
      <w:pPr>
        <w:pStyle w:val="Style20"/>
        <w:spacing w:lineRule="auto" w:line="240"/>
        <w:ind w:firstLine="85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iCs/>
          <w:color w:val="0000FF"/>
          <w:sz w:val="22"/>
          <w:szCs w:val="22"/>
        </w:rPr>
        <w:t>______________________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, </w:t>
      </w:r>
      <w:r>
        <w:rPr>
          <w:rFonts w:ascii="Times New Roman" w:hAnsi="Times New Roman"/>
          <w:iCs/>
          <w:sz w:val="22"/>
          <w:szCs w:val="22"/>
        </w:rPr>
        <w:t xml:space="preserve">именуемое в дальнейшем </w:t>
      </w:r>
      <w:r>
        <w:rPr>
          <w:rFonts w:ascii="Times New Roman" w:hAnsi="Times New Roman"/>
          <w:b/>
          <w:iCs/>
          <w:sz w:val="22"/>
          <w:szCs w:val="22"/>
        </w:rPr>
        <w:t>«Муниципальный  заказчик</w:t>
      </w:r>
      <w:r>
        <w:rPr>
          <w:rFonts w:ascii="Times New Roman" w:hAnsi="Times New Roman"/>
          <w:iCs/>
          <w:sz w:val="22"/>
          <w:szCs w:val="22"/>
        </w:rPr>
        <w:t xml:space="preserve"> (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Потребитель)», </w:t>
      </w:r>
      <w:r>
        <w:rPr>
          <w:rFonts w:ascii="Times New Roman" w:hAnsi="Times New Roman"/>
          <w:iCs/>
          <w:sz w:val="22"/>
          <w:szCs w:val="22"/>
        </w:rPr>
        <w:t xml:space="preserve">в лице </w:t>
      </w:r>
      <w:r>
        <w:rPr>
          <w:rFonts w:ascii="Times New Roman" w:hAnsi="Times New Roman"/>
          <w:b/>
          <w:iCs/>
          <w:color w:val="0000FF"/>
          <w:sz w:val="22"/>
          <w:szCs w:val="22"/>
        </w:rPr>
        <w:t>___________________________________</w:t>
      </w:r>
      <w:r>
        <w:rPr>
          <w:rFonts w:ascii="Times New Roman" w:hAnsi="Times New Roman"/>
          <w:b/>
          <w:iCs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 xml:space="preserve">действующего (-ей) на основании </w:t>
      </w:r>
      <w:r>
        <w:rPr>
          <w:rFonts w:ascii="Times New Roman" w:hAnsi="Times New Roman"/>
          <w:color w:val="0000FF"/>
          <w:sz w:val="22"/>
          <w:szCs w:val="22"/>
        </w:rPr>
        <w:t>____________________________________</w:t>
      </w:r>
      <w:r>
        <w:rPr>
          <w:rFonts w:ascii="Times New Roman" w:hAnsi="Times New Roman"/>
          <w:sz w:val="22"/>
          <w:szCs w:val="22"/>
        </w:rPr>
        <w:t xml:space="preserve">, с другой стороны, а вместе именуемые </w:t>
      </w:r>
      <w:r>
        <w:rPr>
          <w:rFonts w:ascii="Times New Roman" w:hAnsi="Times New Roman"/>
          <w:b/>
          <w:sz w:val="22"/>
          <w:szCs w:val="22"/>
        </w:rPr>
        <w:t>«Стороны»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iCs/>
          <w:sz w:val="22"/>
          <w:szCs w:val="22"/>
        </w:rPr>
        <w:t xml:space="preserve">на основании пункта 29 части 1 статьи 93 Федерального закона от 5 апреля 2013 № 44-ФЗ «О контрактной системе в сфере закупок товаров, работ, услуг для обеспечения государственных и муниципальных нужд», </w:t>
      </w:r>
      <w:r>
        <w:rPr>
          <w:rFonts w:ascii="Times New Roman" w:hAnsi="Times New Roman"/>
          <w:sz w:val="22"/>
          <w:szCs w:val="22"/>
        </w:rPr>
        <w:t>заключили настоящий муниципальный контракт (далее – контракт) о нижеследующем:</w:t>
      </w:r>
    </w:p>
    <w:p>
      <w:pPr>
        <w:pStyle w:val="Style20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Normal"/>
        <w:numPr>
          <w:ilvl w:val="0"/>
          <w:numId w:val="1"/>
        </w:numPr>
        <w:tabs>
          <w:tab w:val="left" w:pos="0" w:leader="none"/>
        </w:tabs>
        <w:suppressAutoHyphens w:val="true"/>
        <w:spacing w:before="60" w:after="60"/>
        <w:contextualSpacing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ПРЕДМЕТ КОНТРАКТА.</w:t>
      </w:r>
    </w:p>
    <w:p>
      <w:pPr>
        <w:pStyle w:val="Normal"/>
        <w:numPr>
          <w:ilvl w:val="1"/>
          <w:numId w:val="2"/>
        </w:numPr>
        <w:tabs>
          <w:tab w:val="left" w:pos="709" w:leader="none"/>
          <w:tab w:val="left" w:pos="1200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Гарантирующий поставщик обязуется осуществлять продажу электрической энергии (мощности), а также самостоятельно или через привлеченных третьих лиц (в дальнейшем – Сетевая организация) оказывать услуги по передаче электрической энергии и услуги, оказание которых является неотъемлемой частью процесса поставки электрической энергии Муниципальному заказчику (Потребителю), а Муниципальный заказчик (Потребитель) обязуется оплачивать приобретаемую электрическую энергию (мощность) и оказанные услуги.</w:t>
      </w:r>
    </w:p>
    <w:p>
      <w:pPr>
        <w:pStyle w:val="Normal"/>
        <w:numPr>
          <w:ilvl w:val="1"/>
          <w:numId w:val="2"/>
        </w:numPr>
        <w:tabs>
          <w:tab w:val="left" w:pos="709" w:leader="none"/>
          <w:tab w:val="left" w:pos="1200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Точкой поставки по настоящему контракту является место исполнения обязательств, используемое для определения объема взаимных обязательств сторон по контракту, расположенное на границе балансовой принадлежности энергопринимающих устройств, определенной в Акте об осуществлении технологического присоединения и (или) Акте разграничения балансовой принадлежности электросетей (Приложение № 3), а до составления в установленном порядке Акта об осуществлении технологического присоединения и (или) Акта разграничения балансовой принадлежности электросетей - в точке присоединения энергопринимающего устройства (объекта электроэнергетики).</w:t>
      </w:r>
    </w:p>
    <w:p>
      <w:pPr>
        <w:pStyle w:val="Normal"/>
        <w:numPr>
          <w:ilvl w:val="1"/>
          <w:numId w:val="2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Учет электрической энергии (мощности) по настоящему контракту определяется на основании данных, полученных с использованием приборов учета в том числе входящих в состав измерительного комплекса (совокупности приборов учета и измерительных трансформаторов), систем учета и приборов учета электрической энергии, присоединенных к интеллектуальным системам учета электрической энергии (мощности) и иного оборудования, предназначенных для измерения объемов электрической энергии (мощности) в одной точке поставки (далее – ПУ) электрической энергии (Приложение № 1). В случаях, указанных в разделе 5 настоящего контракта, определение объема электрической энергии определяется путем применения расчетных способов.</w:t>
      </w:r>
    </w:p>
    <w:p>
      <w:pPr>
        <w:pStyle w:val="Normal"/>
        <w:widowControl w:val="false"/>
        <w:numPr>
          <w:ilvl w:val="1"/>
          <w:numId w:val="2"/>
        </w:numPr>
        <w:ind w:left="0" w:hanging="0"/>
        <w:jc w:val="both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>Данные, содержащиеся в Приложении № 1, могут быть изменены в течение действия настоящего контракта. Изменение данных отражается в актах допуска ПУ в эксплуатацию и становится обязательным для Сторон с даты введения ПУ в эксплуатацию.</w:t>
      </w:r>
    </w:p>
    <w:p>
      <w:pPr>
        <w:pStyle w:val="ListParagraph"/>
        <w:numPr>
          <w:ilvl w:val="1"/>
          <w:numId w:val="2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При исполнении настоящего контракта Стороны обязуются руководствоваться Гражданским кодексом РФ, федеральными законами и подзаконными нормативно-правовыми актами, регулирующими правоотношения в сфере энергоснабжения. В случае принятия нормативно-правовых актов, устанавливающих иной по сравнению с настоящим контрактом порядок организации отношений Сторон и (или) субъектов электроэнергетики, подлежат применению нормативно-правовые акты с даты их вступления в законную силу. </w:t>
      </w:r>
    </w:p>
    <w:p>
      <w:pPr>
        <w:pStyle w:val="ListParagraph"/>
        <w:numPr>
          <w:ilvl w:val="1"/>
          <w:numId w:val="2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При заключении и исполнении контракта допускается изменение существенных условий в соответствии с действующим законодательством РФ.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jc w:val="center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ЦЕНА КОНТРАКТА</w:t>
      </w:r>
    </w:p>
    <w:p>
      <w:pPr>
        <w:pStyle w:val="Style20"/>
        <w:numPr>
          <w:ilvl w:val="1"/>
          <w:numId w:val="3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Расчеты за </w:t>
      </w:r>
      <w:r>
        <w:rPr>
          <w:rFonts w:ascii="Times New Roman" w:hAnsi="Times New Roman"/>
          <w:sz w:val="22"/>
          <w:szCs w:val="22"/>
        </w:rPr>
        <w:t>электрическую энергию (мощность)</w:t>
      </w:r>
      <w:r>
        <w:rPr>
          <w:rFonts w:ascii="Times New Roman" w:hAnsi="Times New Roman"/>
          <w:iCs/>
          <w:sz w:val="22"/>
          <w:szCs w:val="22"/>
        </w:rPr>
        <w:t xml:space="preserve">, производятся по тарифам, установленным для Гарантирующего поставщика в порядке, определенном действующим законодательством Российской Федерации о государственном регулировании цен (тарифов), </w:t>
      </w:r>
    </w:p>
    <w:p>
      <w:pPr>
        <w:pStyle w:val="Style20"/>
        <w:numPr>
          <w:ilvl w:val="1"/>
          <w:numId w:val="3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Изменение тарифов в период действия настоящего контракта не требует его</w:t>
      </w:r>
      <w:r>
        <w:rPr>
          <w:rFonts w:ascii="Times New Roman" w:hAnsi="Times New Roman"/>
          <w:iCs/>
          <w:sz w:val="22"/>
          <w:szCs w:val="22"/>
          <w:lang w:val="en-US"/>
        </w:rPr>
        <w:t> </w:t>
      </w:r>
      <w:r>
        <w:rPr>
          <w:rFonts w:ascii="Times New Roman" w:hAnsi="Times New Roman"/>
          <w:iCs/>
          <w:sz w:val="22"/>
          <w:szCs w:val="22"/>
        </w:rPr>
        <w:t>переоформления. Величины тарифов доводятся до Муниципального заказчика (Потребителя) специальным сообщением в средствах массовой информации и подлежат применению с даты, установленной постановлениями уполномоченного органа исполнительной власти в области Муниципального регулирования цен (тарифов).</w:t>
      </w:r>
    </w:p>
    <w:p>
      <w:pPr>
        <w:pStyle w:val="Style20"/>
        <w:numPr>
          <w:ilvl w:val="1"/>
          <w:numId w:val="3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Цена настоящего контракта определяется </w:t>
      </w:r>
      <w:r>
        <w:rPr>
          <w:rFonts w:ascii="Times New Roman" w:hAnsi="Times New Roman"/>
          <w:sz w:val="22"/>
          <w:szCs w:val="22"/>
        </w:rPr>
        <w:t xml:space="preserve">исходя из доведенных лимитов бюджетных обязательств </w:t>
      </w:r>
      <w:r>
        <w:rPr>
          <w:rFonts w:ascii="Times New Roman" w:hAnsi="Times New Roman"/>
          <w:iCs/>
          <w:sz w:val="22"/>
          <w:szCs w:val="22"/>
        </w:rPr>
        <w:t>на соответствующий финансовый год. Цена настоящего контракта указана в</w:t>
      </w:r>
      <w:r>
        <w:rPr>
          <w:rFonts w:ascii="Times New Roman" w:hAnsi="Times New Roman"/>
          <w:iCs/>
          <w:sz w:val="22"/>
          <w:szCs w:val="22"/>
          <w:lang w:val="en-US"/>
        </w:rPr>
        <w:t> </w:t>
      </w:r>
      <w:r>
        <w:rPr>
          <w:rFonts w:ascii="Times New Roman" w:hAnsi="Times New Roman"/>
          <w:iCs/>
          <w:sz w:val="22"/>
          <w:szCs w:val="22"/>
        </w:rPr>
        <w:t>Приложении № 2 «Цена контракта», которое является неотъемлемой частью настоящего контракта и может корректироваться в период всего срока действия настоящего контракта на</w:t>
      </w:r>
      <w:r>
        <w:rPr>
          <w:rFonts w:ascii="Times New Roman" w:hAnsi="Times New Roman"/>
          <w:iCs/>
          <w:sz w:val="22"/>
          <w:szCs w:val="22"/>
          <w:lang w:val="en-US"/>
        </w:rPr>
        <w:t> </w:t>
      </w:r>
      <w:r>
        <w:rPr>
          <w:rFonts w:ascii="Times New Roman" w:hAnsi="Times New Roman"/>
          <w:iCs/>
          <w:sz w:val="22"/>
          <w:szCs w:val="22"/>
        </w:rPr>
        <w:t xml:space="preserve">основании письменного заявления Потребителя с подтверждением скорректированных лимитов бюджетных обязательств. </w:t>
      </w:r>
    </w:p>
    <w:p>
      <w:pPr>
        <w:pStyle w:val="Style2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ListParagraph"/>
        <w:numPr>
          <w:ilvl w:val="0"/>
          <w:numId w:val="3"/>
        </w:numPr>
        <w:tabs>
          <w:tab w:val="left" w:pos="0" w:leader="none"/>
        </w:tabs>
        <w:suppressAutoHyphens w:val="true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ОБЯЗАННОСТИ И ПРАВА ГАРАНТИРУЮЩЕГО ПОСТАВЩИКА.</w:t>
      </w:r>
    </w:p>
    <w:p>
      <w:pPr>
        <w:pStyle w:val="ListParagraph"/>
        <w:numPr>
          <w:ilvl w:val="1"/>
          <w:numId w:val="3"/>
        </w:numPr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Гарантирующий поставщик обязуется:</w:t>
      </w:r>
    </w:p>
    <w:p>
      <w:pPr>
        <w:pStyle w:val="ListParagraph"/>
        <w:numPr>
          <w:ilvl w:val="2"/>
          <w:numId w:val="3"/>
        </w:numPr>
        <w:tabs>
          <w:tab w:val="left" w:pos="0" w:leader="none"/>
          <w:tab w:val="left" w:pos="709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Осуществлять продажу электрической энергии (мощности) в объеме и порядке, установленным настоящим контрактом, качество и параметры которой должны соответствовать техническим регламентам и иным обязательным требованиям. </w:t>
      </w:r>
    </w:p>
    <w:p>
      <w:pPr>
        <w:pStyle w:val="ListParagraph"/>
        <w:numPr>
          <w:ilvl w:val="2"/>
          <w:numId w:val="3"/>
        </w:numPr>
        <w:tabs>
          <w:tab w:val="left" w:pos="0" w:leader="none"/>
          <w:tab w:val="left" w:pos="709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надлежащего исполнения настоящего контракта урегулировать отношения, связанные с передачей электрической энергии, путем заключения контракта оказания услуг по передаче электрической энергии с Сетевой организацией.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передачу электрической энергии (мощности) в соответствии с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согласованной категорией надежности энергопринимающих устройств Муниципального заказчика (Потребителя).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/>
      </w:pPr>
      <w:r>
        <w:rPr>
          <w:rFonts w:ascii="Times New Roman" w:hAnsi="Times New Roman"/>
          <w:sz w:val="22"/>
          <w:szCs w:val="22"/>
        </w:rPr>
        <w:t xml:space="preserve">Определять в </w:t>
      </w:r>
      <w:hyperlink r:id="rId3">
        <w:r>
          <w:rPr>
            <w:rStyle w:val="Style10"/>
            <w:rFonts w:ascii="Times New Roman" w:hAnsi="Times New Roman"/>
            <w:sz w:val="22"/>
            <w:szCs w:val="22"/>
          </w:rPr>
          <w:t>порядке</w:t>
        </w:r>
      </w:hyperlink>
      <w:r>
        <w:rPr>
          <w:rFonts w:ascii="Times New Roman" w:hAnsi="Times New Roman"/>
          <w:sz w:val="22"/>
          <w:szCs w:val="22"/>
        </w:rPr>
        <w:t>, установленном Министерством энергетики РФ, значения соотношения потребления активной и реактивной мощности для отдельных энергопринимающих устройств (групп энергопринимающих устройств) Муниципального заказчика (Потребителя).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отношении энергопринимающих устройств Муниципального заказчика (Потребителя), непосредственно или опосредованно присоединенных к принадлежащим на праве собственности или ином законном основании объектам электросетевого хозяйства ПАО «Камчатскэнерго»: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Обеспечивать на безвозмездной основе коммерческий учет электрической энергии (мощности), путем приобретения, установки, замены, допуска в эксплуатацию ПУ, в случаях отсутствия, выхода из строя, утраты, истечения срока эксплуатации или истечении интервала между поверками ПУ, используемого для коммерческого учета Муниципального заказчика (Потребителя), кроме случаев, предусмотренных действующим законодательством РФ, не позднее 6 месяцев с даты наступления указанных событий.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на безвозмездной основе эксплуатацию установленных ПУ, оборудования, используемых для коммерческого учета Муниципального заказчика (Потребителя) со дня допуска их в эксплуатацию до момента выхода из строя путем проведения осмотров, технического обслуживания, своевременной поверки.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Направлять </w:t>
      </w:r>
      <w:r>
        <w:rPr>
          <w:rFonts w:ascii="Times New Roman" w:hAnsi="Times New Roman"/>
          <w:sz w:val="22"/>
          <w:szCs w:val="22"/>
        </w:rPr>
        <w:t xml:space="preserve">Муниципальному заказчику (Потребителю) </w:t>
      </w:r>
      <w:r>
        <w:rPr>
          <w:rFonts w:ascii="Times New Roman" w:hAnsi="Times New Roman"/>
          <w:iCs/>
          <w:sz w:val="22"/>
          <w:szCs w:val="22"/>
        </w:rPr>
        <w:t>запрос на установку (замену) ПУ способом, позволяющим подтвердить факт получения с учетом требований, предусмотренных законодательством РФ.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Устанавливать ПУ </w:t>
      </w:r>
      <w:r>
        <w:rPr>
          <w:rFonts w:ascii="Times New Roman" w:hAnsi="Times New Roman"/>
          <w:sz w:val="22"/>
          <w:szCs w:val="22"/>
        </w:rPr>
        <w:t xml:space="preserve">Муниципального заказчика (Потребителя) </w:t>
      </w:r>
      <w:r>
        <w:rPr>
          <w:rFonts w:ascii="Times New Roman" w:hAnsi="Times New Roman"/>
          <w:iCs/>
          <w:sz w:val="22"/>
          <w:szCs w:val="22"/>
        </w:rPr>
        <w:t xml:space="preserve">в месте максимально приближенном к границе балансовой принадлежности в случае отсутствия ответа </w:t>
      </w:r>
      <w:r>
        <w:rPr>
          <w:rFonts w:ascii="Times New Roman" w:hAnsi="Times New Roman"/>
          <w:sz w:val="22"/>
          <w:szCs w:val="22"/>
        </w:rPr>
        <w:t>Муниципального заказчика (Потребителя)</w:t>
      </w:r>
      <w:r>
        <w:rPr>
          <w:rFonts w:ascii="Times New Roman" w:hAnsi="Times New Roman"/>
          <w:iCs/>
          <w:sz w:val="22"/>
          <w:szCs w:val="22"/>
        </w:rPr>
        <w:t xml:space="preserve"> на направленный Гарантирующим поставщиком запрос на установку (замену) ПУ в установленный срок (10 рабочих дней со дня получения запроса) или получения отказа </w:t>
      </w:r>
      <w:r>
        <w:rPr>
          <w:rFonts w:ascii="Times New Roman" w:hAnsi="Times New Roman"/>
          <w:sz w:val="22"/>
          <w:szCs w:val="22"/>
        </w:rPr>
        <w:t>Муниципального заказчика (Потребителя)</w:t>
      </w:r>
      <w:r>
        <w:rPr>
          <w:rFonts w:ascii="Times New Roman" w:hAnsi="Times New Roman"/>
          <w:iCs/>
          <w:sz w:val="22"/>
          <w:szCs w:val="22"/>
        </w:rPr>
        <w:t xml:space="preserve"> в установке ПУ при наличии технической возможности установки или при двукратном недопуске к месту установки ПУ, но не ранее 4 месяцев с момента первого недопуска.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Производить установку ПУ и иного оборудования, используемого для коммерческого учета, соответствующих требованиям Законодательства РФ.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Устанавливать ПУ Муниципального заказчика (Потребителя) в случаях и в местах, соответствующих требованиям Законодательства РФ.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Направлять Муниципальному заказчику (Потребителю) приглашение на участие в процедуре допуска ПУ в эксплуатацию за 3 календарных дня до проведения. Направлять Муниципальному заказчику (Потребителю) копию акта допуска ПУ в эксплуатацию в течение 2 рабочих дней со дня проведения процедуры допуска ПУ в эксплуатацию в случае неявки Муниципального заказчика (Потребителя) или его уполномоченного представителя в назначенную в приглашении дату и время.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Направлять Муниципальному заказчику (Потребителю) уведомление о планируемом проведении демонтажа ПУ или иного оборудования, используемого для коммерческого учета, в связи с проведением капитального ремонта или реконструкции объектов в местах установки ПУ, принадлежащих на праве собственности или ином законном праве ПАО «Камчатскэнерго» за 7 рабочих дней до планируемой даты проведения процедуры с указанием даты и времени демонтажа ПУ, а также причин. Перед проведением демонтажа ПУ, производить снятие показаний ПУ, проверку ПУ с фиксацией данных в акте демонтажа ПУ. Направлять Муниципальному заказчику (Потребителю) копию акта демонтажа в течение 3 рабочих дней со дня составления акта в случае отсутствия Муниципального заказчика (Потребителя) при проведении процедуры демонтажа.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Направлять </w:t>
      </w:r>
      <w:r>
        <w:rPr>
          <w:rFonts w:ascii="Times New Roman" w:hAnsi="Times New Roman"/>
          <w:sz w:val="22"/>
          <w:szCs w:val="22"/>
        </w:rPr>
        <w:t>Муниципальному заказчику (Потребителю)</w:t>
      </w:r>
      <w:r>
        <w:rPr>
          <w:rFonts w:ascii="Times New Roman" w:hAnsi="Times New Roman"/>
          <w:iCs/>
          <w:sz w:val="22"/>
          <w:szCs w:val="22"/>
        </w:rPr>
        <w:t xml:space="preserve"> уведомление о проведении проверки ПУ за 5 рабочих дней до даты проведения с указанием последствий недопуска к ПУ </w:t>
      </w:r>
      <w:r>
        <w:rPr>
          <w:rFonts w:ascii="Times New Roman" w:hAnsi="Times New Roman"/>
          <w:sz w:val="22"/>
          <w:szCs w:val="22"/>
        </w:rPr>
        <w:t>Муниципального заказчика (Потребителя)</w:t>
      </w:r>
      <w:r>
        <w:rPr>
          <w:rFonts w:ascii="Times New Roman" w:hAnsi="Times New Roman"/>
          <w:iCs/>
          <w:sz w:val="22"/>
          <w:szCs w:val="22"/>
        </w:rPr>
        <w:t xml:space="preserve">, в случаях, когда для проведения проверки требуется допуск к энергопринимающим устройствам (объектам по производству электрической энергии) </w:t>
      </w:r>
      <w:r>
        <w:rPr>
          <w:rFonts w:ascii="Times New Roman" w:hAnsi="Times New Roman"/>
          <w:sz w:val="22"/>
          <w:szCs w:val="22"/>
        </w:rPr>
        <w:t>Муниципального заказчика (Потребителя)</w:t>
      </w:r>
      <w:r>
        <w:rPr>
          <w:rFonts w:ascii="Times New Roman" w:hAnsi="Times New Roman"/>
          <w:iCs/>
          <w:sz w:val="22"/>
          <w:szCs w:val="22"/>
        </w:rPr>
        <w:t xml:space="preserve">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Производить снятие показаний ПУ </w:t>
      </w:r>
      <w:r>
        <w:rPr>
          <w:rFonts w:ascii="Times New Roman" w:hAnsi="Times New Roman"/>
          <w:sz w:val="22"/>
          <w:szCs w:val="22"/>
        </w:rPr>
        <w:t>Муниципального заказчика (Потребителя)</w:t>
      </w:r>
      <w:r>
        <w:rPr>
          <w:rFonts w:ascii="Times New Roman" w:hAnsi="Times New Roman"/>
          <w:iCs/>
          <w:sz w:val="22"/>
          <w:szCs w:val="22"/>
        </w:rPr>
        <w:t xml:space="preserve">, присоединенных к интеллектуальным система учета электрической энергии (мощности) Гарантирующего поставщика, или расположенных в границах его объектов электросетевого хозяйства.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Предоставлять </w:t>
      </w:r>
      <w:r>
        <w:rPr>
          <w:rFonts w:ascii="Times New Roman" w:hAnsi="Times New Roman"/>
          <w:sz w:val="22"/>
          <w:szCs w:val="22"/>
        </w:rPr>
        <w:t>Муниципальному заказчику (Потребителю)</w:t>
      </w:r>
      <w:r>
        <w:rPr>
          <w:rFonts w:ascii="Times New Roman" w:hAnsi="Times New Roman"/>
          <w:iCs/>
          <w:sz w:val="22"/>
          <w:szCs w:val="22"/>
        </w:rPr>
        <w:t xml:space="preserve"> показания ПУ, подключенных к интеллектуальной системе учета Гарантирующего поставщика, в порядке и на условиях, определенных правилами предоставления доступа к минимальному набору функций интеллектуальных систем учета электрической энергии.</w:t>
      </w:r>
    </w:p>
    <w:p>
      <w:pPr>
        <w:pStyle w:val="Normal"/>
        <w:widowControl w:val="false"/>
        <w:numPr>
          <w:ilvl w:val="3"/>
          <w:numId w:val="3"/>
        </w:numPr>
        <w:shd w:val="clear" w:color="auto" w:fill="FFFFFF"/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Проводить плановую проверку ПУ Муниципального заказчика (Потребителя), не присоединенных к интеллектуальной системе учета Гарантирующего поставщика, не реже 1 раза в год.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действия по обеспечению оборудования точек поставки ПУ, в случае если точки поставки на день заключения контракта не оборудованы ПУ.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контроль соблюдения требований законодательства Российской Федерации об обеспечении единства измерений, в том числе к месту установки, классу точности, наличия неповрежденных контрольных пломб и (или) знаков визуального контроля допущенных в эксплуатацию расчетных ПУ, а также подлежащих к установке ПУ, которые могут быть присоединены к интеллектуальной системе учета электрической энергии (мощности), в соответствии с правилами предоставления доступа к минимальному набору функций интеллектуальных систем учета электрической энергии (мощности), а также извещать заинтересованных субъектов электроэнергетики, потребителей электрической энергии (мощности) и иных владельцев ПУ электрической энергии об их нарушении.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информационный обмен данными, получаемыми в ходе обеспечения коммерческого учета электрической энергии (мощности) на розничных рынках, необходимыми для взаиморасчетов за поставки электрической энергии и мощности, а также за связанные с указанными поставками услуги, на безвозмездной основе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иные действия, необходимые для реализации прав Муниципального заказчика (Потребителя), предусмотренные действующим законодательством РФ.</w:t>
      </w:r>
    </w:p>
    <w:p>
      <w:pPr>
        <w:pStyle w:val="Normal"/>
        <w:tabs>
          <w:tab w:val="left" w:pos="1134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3.2. Гарантирующий поставщик имеет право:</w:t>
      </w:r>
    </w:p>
    <w:p>
      <w:pPr>
        <w:pStyle w:val="ListParagraph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Требовать своевременной оплаты за потребленную электрическую энергию (мощность), услуги по передаче электрической энергии</w:t>
      </w:r>
      <w:r>
        <w:rPr>
          <w:rFonts w:ascii="Times New Roman" w:hAnsi="Times New Roman"/>
          <w:sz w:val="22"/>
          <w:szCs w:val="22"/>
        </w:rPr>
        <w:t xml:space="preserve"> и услуги, оказание которых является неотъемлемой частью процесса поставки электрической энергии Муниципальному заказчику (Потребителю) </w:t>
      </w:r>
      <w:r>
        <w:rPr>
          <w:rFonts w:ascii="Times New Roman" w:hAnsi="Times New Roman"/>
          <w:iCs/>
          <w:sz w:val="22"/>
          <w:szCs w:val="22"/>
        </w:rPr>
        <w:t>в</w:t>
      </w:r>
      <w:r>
        <w:rPr>
          <w:rFonts w:ascii="Times New Roman" w:hAnsi="Times New Roman"/>
          <w:iCs/>
          <w:sz w:val="22"/>
          <w:szCs w:val="22"/>
          <w:lang w:val="en-US"/>
        </w:rPr>
        <w:t> </w:t>
      </w:r>
      <w:r>
        <w:rPr>
          <w:rFonts w:ascii="Times New Roman" w:hAnsi="Times New Roman"/>
          <w:iCs/>
          <w:sz w:val="22"/>
          <w:szCs w:val="22"/>
        </w:rPr>
        <w:t>соответствии с условиями настоящего контракта.</w:t>
      </w:r>
    </w:p>
    <w:p>
      <w:pPr>
        <w:pStyle w:val="Normal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Инициировать введение полного и (или) частичного ограничения режима потребления в установленном порядке при наступлении любого из обстоятельств, указанных в разделе 7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настоящего контракта.</w:t>
      </w:r>
    </w:p>
    <w:p>
      <w:pPr>
        <w:pStyle w:val="Normal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Периодического (не чаще 1 раза в месяц) доступа к ПУ Муниципального заказчика (Потребителя) для цели проверки условий их эксплуатации и сохранности, снятия контрольных показаний</w:t>
      </w:r>
      <w:r>
        <w:rPr>
          <w:rFonts w:ascii="Times New Roman" w:hAnsi="Times New Roman"/>
          <w:i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проведения проверок (замеров). </w:t>
      </w:r>
    </w:p>
    <w:p>
      <w:pPr>
        <w:pStyle w:val="Normal"/>
        <w:widowControl w:val="false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Требовать возмещения убытков, причиненных </w:t>
      </w:r>
      <w:r>
        <w:rPr>
          <w:rFonts w:ascii="Times New Roman" w:hAnsi="Times New Roman"/>
          <w:sz w:val="22"/>
          <w:szCs w:val="22"/>
        </w:rPr>
        <w:t>Муниципальным заказчиком (Потребителем)</w:t>
      </w:r>
      <w:r>
        <w:rPr>
          <w:rFonts w:ascii="Times New Roman" w:hAnsi="Times New Roman"/>
          <w:iCs/>
          <w:sz w:val="22"/>
          <w:szCs w:val="22"/>
        </w:rPr>
        <w:t xml:space="preserve"> вследствие неисполнения или ненадлежащего исполнения обязанностей по обеспечению сохранности и целостности приборов учета, иного оборудования, используемых для коммерческого учета </w:t>
      </w:r>
      <w:r>
        <w:rPr>
          <w:rFonts w:ascii="Times New Roman" w:hAnsi="Times New Roman"/>
          <w:sz w:val="22"/>
          <w:szCs w:val="22"/>
        </w:rPr>
        <w:t>Муниципального заказчика (Потребителя)</w:t>
      </w:r>
      <w:r>
        <w:rPr>
          <w:rFonts w:ascii="Times New Roman" w:hAnsi="Times New Roman"/>
          <w:iCs/>
          <w:sz w:val="22"/>
          <w:szCs w:val="22"/>
        </w:rPr>
        <w:t xml:space="preserve">, принадлежащих на праве собственности или ином законном праве ПАО «Камчатскэнерго». </w:t>
      </w:r>
    </w:p>
    <w:p>
      <w:pPr>
        <w:pStyle w:val="Normal"/>
        <w:widowControl w:val="false"/>
        <w:numPr>
          <w:ilvl w:val="2"/>
          <w:numId w:val="4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процедуру допуска в эксплуатацию ПУ в случае неявки потребителя или его уполномоченного представителя в дату и время, указанные в приглашении на участие в процедуре допуска ПУ. Допускать ПУ в эксплуатацию при неявке Муниципального заказчика (Потребителя) или его уполномоченного представителя, либо отказе от подписания акта допуска ПУ в эксплуатацию (с указанием в акте допуска ПУ в эксплуатацию соответствующей отметки).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Выбирать расчетный ПУ </w:t>
      </w:r>
      <w:r>
        <w:rPr>
          <w:rFonts w:ascii="Times New Roman" w:hAnsi="Times New Roman"/>
          <w:sz w:val="22"/>
          <w:szCs w:val="22"/>
        </w:rPr>
        <w:t>Муниципального заказчика (Потребителя)</w:t>
      </w:r>
      <w:r>
        <w:rPr>
          <w:rFonts w:ascii="Times New Roman" w:hAnsi="Times New Roman"/>
          <w:iCs/>
          <w:sz w:val="22"/>
          <w:szCs w:val="22"/>
        </w:rPr>
        <w:t xml:space="preserve"> в случае наличия нескольких ПУ, расположенных по обе стороны границы балансовой принадлежности, в соответствии с критериями, определенными законодательством РФ. </w:t>
      </w:r>
    </w:p>
    <w:p>
      <w:pPr>
        <w:pStyle w:val="Normal"/>
        <w:widowControl w:val="false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Проводить внеплановую проверку ПУ </w:t>
      </w:r>
      <w:r>
        <w:rPr>
          <w:rFonts w:ascii="Times New Roman" w:hAnsi="Times New Roman"/>
          <w:sz w:val="22"/>
          <w:szCs w:val="22"/>
        </w:rPr>
        <w:t>Муниципального заказчика (Потребителя) в случаях, предусмотренных Законодательством РФ.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>
      <w:pPr>
        <w:pStyle w:val="Normal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за отдельную плату установку, замену ПУ до истечения их срока поверки или эксплуатации в случаях, не связанных с утратой, выходом из строя или неисправностью ПУ, при обращении потребителя, а также предоставлять услуги, не включенные в минимальный набор функций интеллектуальных систем учета электрической энергии (мощности), с использованием ПУ и результатов измерений таких ПУ.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0"/>
          <w:numId w:val="3"/>
        </w:numPr>
        <w:spacing w:before="0" w:after="0"/>
        <w:contextualSpacing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ОБЯЗАННОСТИ И ПРАВА МУНИЦИПАЛЬНОГО ЗАКАЗЧИКА (ПОТРЕБИТЕЛЯ).</w:t>
      </w:r>
    </w:p>
    <w:p>
      <w:pPr>
        <w:pStyle w:val="ListParagraph"/>
        <w:numPr>
          <w:ilvl w:val="1"/>
          <w:numId w:val="3"/>
        </w:numPr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Муниципальный заказчик (Потребитель) обязуется:</w:t>
      </w:r>
    </w:p>
    <w:p>
      <w:pPr>
        <w:pStyle w:val="Normal"/>
        <w:numPr>
          <w:ilvl w:val="2"/>
          <w:numId w:val="3"/>
        </w:numPr>
        <w:tabs>
          <w:tab w:val="left" w:pos="0" w:leader="none"/>
          <w:tab w:val="left" w:pos="709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Оплачивать приобретаемую электрическую энергию (мощность) и оказанные услуги по передаче электрической энергии в сроки и на условиях, предусмотренных настоящим контрактом. Введение полного и (или) частичного ограничения режима потребления электрической энергии (мощности) в отношении Потребителя по настоящему контракту не освобождает Муниципального заказчика (Потребителя) от обязанности оплатить Гарантирующему поставщику в полном размере стоимость электрической энергии (мощности), поставленной до его введения.</w:t>
      </w:r>
    </w:p>
    <w:p>
      <w:pPr>
        <w:pStyle w:val="Normal"/>
        <w:numPr>
          <w:ilvl w:val="2"/>
          <w:numId w:val="3"/>
        </w:numPr>
        <w:tabs>
          <w:tab w:val="left" w:pos="0" w:leader="none"/>
          <w:tab w:val="left" w:pos="709" w:leader="none"/>
        </w:tabs>
        <w:suppressAutoHyphens w:val="true"/>
        <w:spacing w:before="0" w:after="0"/>
        <w:ind w:left="0" w:hanging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Соблюдать предусмотренный настоящим контрактом и документами о технологическом присоединении режим потребления электрической энергии (мощности).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suppressAutoHyphens w:val="true"/>
        <w:spacing w:before="0" w:after="0"/>
        <w:ind w:left="0" w:hanging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Предоставить подтверждение наличия установленного лимита в рамках бюджетных обязательств; при несвоевременном поступлении средств на его лицевой счет, открытый в органе федерального казначейства, информировать главного распорядителя бюджета о необходимости исполнения поставленных в установленном порядке на учет в органе федерального казначейства обязательств по оплате электрической энергии (мощности).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Обеспечивать в течение всего срока действия настоящего контракта сохранность и целостность ПУ, а также пломб и (или) знаков визуального контроля; снятие и хранение показаний ПУ, своевременное предоставление показаний ПУ, не подключенных к интеллектуальной системе учета сетевой организации и расположенных в границах балансовой принадлежности Муниципального заказчика (Потребителя).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Возместить сетевой организации (гарантирующему поставщику) убытки, причиненные неисполнением или ненадлежащим исполнением обязанностей по обеспечению сохранности и целостности установленных сетевой организацией (гарантирующим поставщиком) ПУ и (или) иного оборудования, которые используются для обеспечения коммерческого учета электрической энергии (мощности).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 выявлении фактов неисправности или утраты расчетного ПУ в течение одних суток сообщить об этом Гарантирующему поставщику.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эксплуатацию принадлежащих Муниципальному заказчику (Потребителю) энергопринимающих устройств в соответствии с правилами технической эксплуатации, техники безопасности и оперативно-диспетчерского управления.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Уведомлять Гарантирующего поставщика путем направления письменной заявки о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намерении демонтировать ПУ в целях проведения капитального ремонта или реконструкции объектов Потребителя в местах установки ПУ не менее чем за 7 рабочих дней до планируемой даты проведения демонтажа ПУ. Обеспечить окончание работ по капитальному ремонту или реконструкции объектов в местах установки ПУ Муниципального заказчика (Потребителя) или предоставление других мест для установки ПУ не позднее 6 месяцев с момента демонтажа ПУ.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Обеспечить функционирование и реализацию управляющих воздействий устройств релейной защиты, противоаварийной и режимной автоматики, средств регулирования напряжения и компенсации реактивной мощности, установленных в границах его балансовой принадлежности. 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Незамедлительно (в течение суток) уведомлять Гарантирующего поставщика и Сетевую организацию об аварийных ситуациях на энергетических объектах, плановом, текущем и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капитальном ремонте на них.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Обеспечить проведение замеров мощности на энергопринимающих устройствах (объектах электроэнергетики), в отношении которых заключен настоящий контракт, (за исключением энергопринимающих устройств (объектов электроэнергетики), в отношении которых установлены и введены в эксплуатацию ПУ после 1 июля 2020 года) и представлять Гарантирующему поставщику и Сетевой организации информацию о результатах проведенных замеров в течение 3 рабочих дней с даты проведения соответствующего замера. при получении от Сетевой организации требования о проведении замеров.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Поддерживать на границе балансовой принадлежности значения показателей качества электрической энергии, обусловленные работой энергопринимающих устройств Муниципального заказчика (Потребителя), соответствующие техническим регламентам и иным обязательным требованиям, в том числе соблюдать установленные контрактом значения соотношения потребления активной и реактивной мощности, определяемые для отдельных энергопринимающих устройств (групп энергопринимающих устройств). В случае несоблюдения установленного коэффициента мощности оплачивать услуги по компенсации реактивной мощности в соответствии с Приложением № 5 к настоящему контракту.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Обеспечить доступ представителей Гарантирующего поставщика и (или) Сетевой организации к энергопринимающим устройствам, находящимся в границах балансовой принадлежности Муниципального заказчика (Потребителя), для осуществления проверок (замеров).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 запросу Гарантирующего поставщика или Сетевой организации предоставлять технологическую информацию (главные электрические схемы, характеристики оборудования, схемы устройств релейной защиты и противоаварийной автоматики, оперативные данные о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технологических режимах работы оборудования).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Обеспечить своевременное выполнение диспетчерских команд (распоряжений) Гарантирующего поставщика и соответствующих требований Сетевой организации. 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Соблюдать заданные в установленном порядке Сетевой организацией требования к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установке устройств релейной защиты и автоматики, а также поддерживать схему электроснабжения с выделением ответственных нагрузок на резервируемые внешние питающие линии, обеспечивающие отпуск электрической энергии для покрытия технологической и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аварийной брони.</w:t>
      </w:r>
    </w:p>
    <w:p>
      <w:pPr>
        <w:pStyle w:val="Normal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Выполнять требования Гарантирующего поставщика об ограничении режима потребления в соответствии с утвержденными графиками аварийного ограничения режима потребления электрической энергии при возникновении (угрозе возникновения) дефицита электрической энергии и мощности, а также в иных случаях, предусмотренных законодательством РФ в качестве основания для введения полного или частичного ограничения режима потребления.</w:t>
      </w:r>
    </w:p>
    <w:p>
      <w:pPr>
        <w:pStyle w:val="Normal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Информировать Гарантирующего поставщика и Сетевую организацию об объеме участия в автоматическом либо оперативном противоаварийном управлении мощностью, в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нормированном первичном регулировании частоты и во вторичном регулировании мощности (для электростанций), а также о перечне и мощности токоприемников, которые могут быть отключены устройствами противоаварийной автоматики.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Подтвердить в течение 10 рабочих дней со дня получения запроса сетевой организации с намерением установить (заменить) ПУ дату и время допуска к местам установки ПУ для совершения действий сетевой организации по установке (замене) и допуску в эксплуатацию ПУ, либо согласовать иные дату и (или) время</w:t>
      </w:r>
    </w:p>
    <w:p>
      <w:pPr>
        <w:pStyle w:val="Normal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Обеспечить доступ к месту установки ПУ представителей организаций, уполномоченных на совершение действий по установке, вводу в эксплуатацию и демонтажу ПУ, а также для проверки и снятия показаний, в том числе контрольного снятия показаний, в согласованную дату и время.</w:t>
      </w:r>
    </w:p>
    <w:p>
      <w:pPr>
        <w:pStyle w:val="Normal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  <w:t>Предоставить список лиц, ответственных за электрохозяйство, за эксплуатацию ПУ, лиц, имеющих право ведения оперативных переговоров, подписания заявок, принятия претензий, отчетов, актов снятия показаний расчетных приборов учета, актов о неучтенном потреблении электрической энергии и иных актов (Приложение № 9). Список должен содержать должности и фамилии уполномоченных лиц, номер их телефона, факса для оперативной связи. Муниципальный заказчик (Потребитель) обязуется незамедлительно извещать Гарантирующего поставщика об изменении данных, указанных в настоящем пункте.</w:t>
      </w:r>
    </w:p>
    <w:p>
      <w:pPr>
        <w:pStyle w:val="Normal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  <w:t>В течение 3-х дней с момента соответствующего изменения письменно сообщать Гарантирующему поставщику об изменениях юридического адреса, места нахождения, банковских реквизитов, наименования, ведомственной принадлежности и/или формы собственности, перечне обслуживаемых объектов и других обстоятельствах, влияющих на</w:t>
      </w:r>
      <w:r>
        <w:rPr>
          <w:rFonts w:eastAsia="Calibri" w:ascii="Times New Roman" w:hAnsi="Times New Roman"/>
          <w:sz w:val="22"/>
          <w:szCs w:val="22"/>
          <w:lang w:val="en-US" w:eastAsia="en-US"/>
        </w:rPr>
        <w:t> </w:t>
      </w:r>
      <w:r>
        <w:rPr>
          <w:rFonts w:eastAsia="Calibri" w:ascii="Times New Roman" w:hAnsi="Times New Roman"/>
          <w:sz w:val="22"/>
          <w:szCs w:val="22"/>
          <w:lang w:eastAsia="en-US"/>
        </w:rPr>
        <w:t>надлежащее исполнение настоящего контракта, с приложением соответствующих изменениям документов.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  <w:t xml:space="preserve">В случае отказа </w:t>
      </w:r>
      <w:r>
        <w:rPr>
          <w:rFonts w:ascii="Times New Roman" w:hAnsi="Times New Roman"/>
          <w:sz w:val="22"/>
          <w:szCs w:val="22"/>
        </w:rPr>
        <w:t>Муниципального заказчика (</w:t>
      </w:r>
      <w:r>
        <w:rPr>
          <w:rFonts w:eastAsia="Calibri" w:ascii="Times New Roman" w:hAnsi="Times New Roman"/>
          <w:sz w:val="22"/>
          <w:szCs w:val="22"/>
          <w:lang w:eastAsia="en-US"/>
        </w:rPr>
        <w:t>Потребителя) от исполнения настоящего контракта в одностороннем порядке, не позднее чем за 20 рабочих дней с даты принятия указанного решения, направить письменное уведомление Гарантирующему поставщику способом, позволяющим подтвердить факт и дачу получения уведомления.</w:t>
      </w:r>
      <w:r>
        <w:rPr>
          <w:rFonts w:ascii="Times New Roman" w:hAnsi="Times New Roman"/>
          <w:sz w:val="22"/>
          <w:szCs w:val="22"/>
        </w:rPr>
        <w:t xml:space="preserve"> 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  <w:tab/>
      </w:r>
      <w:r>
        <w:rPr>
          <w:rFonts w:ascii="Times New Roman" w:hAnsi="Times New Roman"/>
          <w:bCs/>
          <w:sz w:val="22"/>
          <w:szCs w:val="22"/>
        </w:rPr>
        <w:t xml:space="preserve">При этом Муниципальный заказчик (Потребитель) обязан оплатить Гарантирующему поставщику стоимость потребленной электрической энергии (мощности), что должно быть подтверждено оплатой счета. </w:t>
      </w:r>
    </w:p>
    <w:p>
      <w:pPr>
        <w:pStyle w:val="Normal"/>
        <w:numPr>
          <w:ilvl w:val="2"/>
          <w:numId w:val="3"/>
        </w:numPr>
        <w:tabs>
          <w:tab w:val="left" w:pos="0" w:leader="none"/>
          <w:tab w:val="left" w:pos="851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 изменении настоящего контракта направить Гарантирующему поставщику письменное уведомление об этом не позднее чем за 20 рабочих дней до заявляемой даты изменения настоящего контракта способом, позволяющим подтвердить факт и дату получения указанного уведомления.</w:t>
      </w:r>
    </w:p>
    <w:p>
      <w:pPr>
        <w:pStyle w:val="Normal"/>
        <w:numPr>
          <w:ilvl w:val="2"/>
          <w:numId w:val="3"/>
        </w:numPr>
        <w:tabs>
          <w:tab w:val="left" w:pos="0" w:leader="none"/>
          <w:tab w:val="left" w:pos="851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Обеспечить предоставление Гарантирующему поставщику показаний ПУ, используемых для расчетов по контракту, на дату расторжения или изменения контракта, для осуществления окончательных расчетов за электрическую энергию (мощность).</w:t>
      </w:r>
    </w:p>
    <w:p>
      <w:pPr>
        <w:pStyle w:val="Normal"/>
        <w:numPr>
          <w:ilvl w:val="2"/>
          <w:numId w:val="3"/>
        </w:numPr>
        <w:tabs>
          <w:tab w:val="left" w:pos="0" w:leader="none"/>
          <w:tab w:val="left" w:pos="851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соответствия Муниципального заказчика (Потребителя) критериям, установленным Правительством РФ, при которых у Муниципального заказчика (Потребителя) возникает обязанность предоставления обеспечения исполнения обязательств по оплате электрической энергии (мощности), предоставить указанное обеспечение в установленные уведомлением Гарантирующего поставщика сроки.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851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Потребитель, ограничение режима потребления электрической энергии (мощности) которого может привести к экономическим, экологическим или социальным последствиям, и категории которых определены в приложении к «Правилам полного и (или) частичного ограничения режима потребления электрической энергии», утвержденным постановлением Правительства РФ от 4 мая 2012 г. №442, - обязан: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  составить и согласовать с Сетевой организацией акт согласования технологической и (или) аварийной брони (форма Приложения № 6). Согласованный акт согласования технологической и (или) аварийной брони предоставить при подписании настоящего контракта; 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</w:t>
      </w:r>
      <w:r>
        <w:rPr>
          <w:rFonts w:ascii="Times New Roman" w:hAnsi="Times New Roman"/>
          <w:bCs/>
          <w:sz w:val="22"/>
          <w:szCs w:val="22"/>
        </w:rPr>
        <w:t>выделить электроприемники аварийной брони электроснабжения на отдельные питающие линии, по которым подача электрической энергии (мощности) не подлежит временному отключению, либо путем использования потребителем автономных резервных источников питания;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709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  обеспечить поддержание автономного резервного источника питания в состоянии готовности к его использованию при возникновении внерегламентных отключений, введении аварийного ограничения режима потребления электрической энергии или использования противоаварийной автоматики;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709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 обеспечивать соблюдение установленного актом согласования технологической и (или) аварийной брони режима потребления электрической энергии, а также уровня нагрузки технологической и (или) аварийной брони и сроков завершения технологического процесса при введении ограничения режима потребления электрической энергии;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709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 не позднее трех дней после получения уведомления о введении ограничения режима потребления электрической энергии устранить причины, являющиеся основанием для введения ограничения режима потребления, либо представить Гарантирующему поставщику план мероприятий по обеспечению готовности к введению в отношении его энергопринимающих устройств и (или) объектов электроэнергетики полного ограничения режима потребления, включающий в себя мероприятия, необходимые для безаварийного прекращения технологического процесса, обеспечения безопасности людей и сохранности оборудования, и (или) мероприятия по установке за свой счет автономных источников питания, обеспечивающих снабжение электрической энергией его энергопринимающих устройств и (или) объектов электроэнергетики;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567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 после выполнения мероприятий направить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Гарантирующему поставщику уведомление о готовности к введению полного ограничения режима потребления электрической энергии;</w:t>
      </w:r>
    </w:p>
    <w:p>
      <w:pPr>
        <w:pStyle w:val="Normal"/>
        <w:widowControl w:val="false"/>
        <w:tabs>
          <w:tab w:val="left" w:pos="0" w:leader="none"/>
        </w:tabs>
        <w:ind w:firstLine="567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 направить высшему должностному лицу субъекта Российской Федерации информацию о принадлежащих им на праве собственности или на ином законном основании энергопринимающих устройствах и (или) объектах электроэнергетики, ограничение режима потребления которыми может привести к экономическим, экологическим или социальным последствиям, и о наличии либо об отсутствии соответствующих актов согласования технологической и (или) аварийной брони.</w:t>
      </w:r>
    </w:p>
    <w:p>
      <w:pPr>
        <w:pStyle w:val="ListParagraph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Оплатить объем бездоговорного потребления электрической энергии по счету в течение 10 дней со дня получения счета.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Потребитель не вправе по своему усмотрению демонтировать ПУ</w:t>
      </w:r>
      <w:r>
        <w:rPr>
          <w:rStyle w:val="Annotationreference"/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ограничивать к ним доступ</w:t>
      </w:r>
      <w:r>
        <w:rPr>
          <w:rFonts w:ascii="Times New Roman" w:hAnsi="Times New Roman"/>
          <w:sz w:val="22"/>
          <w:szCs w:val="22"/>
          <w:shd w:fill="C0C0C0" w:val="clear"/>
        </w:rPr>
        <w:t xml:space="preserve">, </w:t>
      </w:r>
      <w:r>
        <w:rPr>
          <w:rFonts w:ascii="Times New Roman" w:hAnsi="Times New Roman"/>
          <w:sz w:val="22"/>
          <w:szCs w:val="22"/>
        </w:rPr>
        <w:t>вмешиваться в процесс удаленного сбора, обработки и передачи показаний ПУ (измерительных трансформаторов), в любой иной форме препятствовать их использованию для обеспечения и осуществления контроля коммерческого учета электрической энергии (мощности), в том числе препятствовать проведению проверок целостности и корректности их работы, использованию для этих целей данных, получаемых с принадлежащих им ПУ электрической энергии</w:t>
      </w:r>
      <w:r>
        <w:rPr>
          <w:rFonts w:ascii="Times New Roman" w:hAnsi="Times New Roman"/>
          <w:sz w:val="22"/>
          <w:szCs w:val="22"/>
          <w:shd w:fill="C0C0C0" w:val="clear"/>
        </w:rPr>
        <w:t>.</w:t>
      </w:r>
    </w:p>
    <w:p>
      <w:pPr>
        <w:pStyle w:val="ListParagraph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Выполнять иные обязанности и требования, установленные отраслевым законодательством в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сфере энергоснабжения.</w:t>
      </w:r>
    </w:p>
    <w:p>
      <w:pPr>
        <w:pStyle w:val="ListParagraph"/>
        <w:tabs>
          <w:tab w:val="left" w:pos="709" w:leader="none"/>
          <w:tab w:val="left" w:pos="1134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1"/>
          <w:numId w:val="3"/>
        </w:numPr>
        <w:tabs>
          <w:tab w:val="left" w:pos="709" w:leader="none"/>
          <w:tab w:val="left" w:pos="1134" w:leader="none"/>
        </w:tabs>
        <w:suppressAutoHyphens w:val="true"/>
        <w:ind w:left="0" w:hanging="0"/>
        <w:jc w:val="both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Муниципальный заказчик (Потребитель) имеет право: 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Требовать поддержания на границе балансовой принадлежности электросетей показателей качества электроэнергии в соответствии с действующими нормативными документами.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Требовать обеспечения надежности энергоснабжения в соответствии с условиями настоящего контракта и фактической схемой электроснабжения.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Использовать действующие расчетные ПУ вплоть до истечения установленного для них межповерочного интервала, срока эксплуатации, либо до момента выхода таких ПУ из строя или их утраты.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ab/>
        <w:t>Отказать Гарантирующему поставщику в установке ПУ при отсутствии технической возможности установки ПУ в месте, указанном Гарантирующим поставщиком в запросе на установку (замену) ПУ.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Требовать с сетевой организации выплату неустойки в случае неисполнения или ненадлежащего исполнения обязанностей по установке, замене и допуску в эксплуатацию ПУ по истечении 6 месяцев с момента наступления одного из событий, повлекших необходимость установки или замены ПУ и ввода его в эксплуатацию (выход ПУ из строя, истечение межповерочного интервала, срока эксплуатации, утрата ПУ) в размере, предусмотренном законодательством РФ, кроме случаев, когда неисполнение или ненадлежащее исполнение таких обязанностей возникло по причине недопуска </w:t>
      </w:r>
      <w:r>
        <w:rPr>
          <w:rFonts w:ascii="Times New Roman" w:hAnsi="Times New Roman"/>
          <w:sz w:val="22"/>
          <w:szCs w:val="22"/>
        </w:rPr>
        <w:t xml:space="preserve">Муниципальным заказчиком (Потребителем) </w:t>
      </w:r>
      <w:r>
        <w:rPr>
          <w:rFonts w:ascii="Times New Roman" w:hAnsi="Times New Roman"/>
          <w:bCs/>
          <w:sz w:val="22"/>
          <w:szCs w:val="22"/>
        </w:rPr>
        <w:t xml:space="preserve"> представителя Гарантирующего поставщика к местам установки ПУ, в то время как техническая возможность установки ПУ в ином месте, максимально приближенном к границе балансовой принадлежности, отсутствует. </w:t>
      </w:r>
      <w:r>
        <w:rPr>
          <w:rFonts w:ascii="Times New Roman" w:hAnsi="Times New Roman"/>
          <w:sz w:val="22"/>
          <w:szCs w:val="22"/>
        </w:rPr>
        <w:t>Проводить проверки соблюдения сетевой организацией или гарантирующим поставщиком требований законодательства Российской Федерации об обеспечении единства измерений, в том числе к месту установки, классу точности, наличия неповрежденных контрольных пломб и (или) знаков визуального контроля допущенных в эксплуатацию расчетных ПУ, а также подлежащих к установке ПУ. которые могут быть присоединены к интеллектуальной системе учета электрической энергии (мощности), в соответствии с правилами предоставления доступа к минимальному набору функций интеллектуальных систем учета электрической энергии (мощности) в том числе с привлечением аккредитованных в установленном порядке в области обеспечения единства измерений юридических лиц (индивидуальных предпринимателей)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С даты утраты Гарантирующим поставщиком его статуса перейти на обслуживание к</w:t>
      </w:r>
      <w:r>
        <w:rPr>
          <w:rFonts w:ascii="Times New Roman" w:hAnsi="Times New Roman"/>
          <w:bCs/>
          <w:sz w:val="22"/>
          <w:szCs w:val="22"/>
          <w:lang w:val="en-US"/>
        </w:rPr>
        <w:t> </w:t>
      </w:r>
      <w:r>
        <w:rPr>
          <w:rFonts w:ascii="Times New Roman" w:hAnsi="Times New Roman"/>
          <w:bCs/>
          <w:sz w:val="22"/>
          <w:szCs w:val="22"/>
        </w:rPr>
        <w:t>организации, которой присвоен статус Гарантирующего поставщика или к энергосбытовой (энергоснабжающей) организации или производителю электрической энергии (мощности) на</w:t>
      </w:r>
      <w:r>
        <w:rPr>
          <w:rFonts w:ascii="Times New Roman" w:hAnsi="Times New Roman"/>
          <w:bCs/>
          <w:sz w:val="22"/>
          <w:szCs w:val="22"/>
          <w:lang w:val="en-US"/>
        </w:rPr>
        <w:t> </w:t>
      </w:r>
      <w:r>
        <w:rPr>
          <w:rFonts w:ascii="Times New Roman" w:hAnsi="Times New Roman"/>
          <w:bCs/>
          <w:sz w:val="22"/>
          <w:szCs w:val="22"/>
        </w:rPr>
        <w:t xml:space="preserve">розничном рынке, при условии соблюдения установленных законодательством условий заключения контрактов с указанными субъектами. 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426" w:leader="none"/>
        </w:tabs>
        <w:suppressAutoHyphens w:val="true"/>
        <w:spacing w:before="0" w:after="0"/>
        <w:ind w:left="426" w:hanging="426"/>
        <w:contextualSpacing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ПОРЯДОК УЧЕТА ЭЛЕКТРИЧЕСКОЙ ЭНЕРГИИ (МОЩНОСТИ) С ИСПОЛЬЗОВАНИЕМ ПУ И ПОРЯДОК ВЗАИМОДЕЙСТВИЯ СТОРОН В ПРОЦЕССЕ ТАКОГО УЧЕТА.</w:t>
      </w:r>
    </w:p>
    <w:p>
      <w:pPr>
        <w:pStyle w:val="ListParagraph"/>
        <w:numPr>
          <w:ilvl w:val="1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учета электрической энергии (мощности), потребляемой Муниципальным заказчиком (Потребителем), подлежат использованию ПУ, соответствующие требованиям законодательства Российской Федерации об обеспечении единства измерений, а также нормативно-правовыми актами, регулирующими правоотношения в сфере энергоснабжения, в том числе по их классу точности, быть допущенными в эксплуатацию в установленном порядке, иметь неповрежденные контрольные пломбы и (или) знаки визуального контроля.</w:t>
      </w:r>
    </w:p>
    <w:p>
      <w:pPr>
        <w:pStyle w:val="ListParagraph"/>
        <w:numPr>
          <w:ilvl w:val="1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Сетевые организации обеспечивают коммерческий учет электрической энергии (мощности) энергопринимающих устройств потребителей электрической энергии (мощности), в том числе путем приобретения, установки, замены, допуска в эксплуатацию ПУ электрической энергии и (или) иного оборудования, а также нематериальных активов, которые необходимы для обеспечения коммерческого учета электрической энергии (мощности), и последующей их эксплуатации, том числе посредством интеллектуальных систем учета электрической энергии (мощности):</w:t>
      </w:r>
    </w:p>
    <w:p>
      <w:pPr>
        <w:pStyle w:val="Normal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при отсутствии, выходе из строя, утрате, истечении срока эксплуатации или истечении интервала между поверками ПУ электрической энергии и (или) иного оборудования, которые используются для коммерческого учета электрической энергии (мощности), в том числе не принадлежащих сетевой организации (гарантирующему поставщику);</w:t>
      </w:r>
    </w:p>
    <w:p>
      <w:pPr>
        <w:pStyle w:val="Normal"/>
        <w:tabs>
          <w:tab w:val="left" w:pos="0" w:leader="none"/>
          <w:tab w:val="left" w:pos="709" w:leader="none"/>
        </w:tabs>
        <w:ind w:firstLine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в процессе технологического присоединения энергопринимающих устройств.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426" w:leader="none"/>
        </w:tabs>
        <w:suppressAutoHyphens w:val="tru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ПУ подлежат установке (в порядке убывания приоритета):</w:t>
      </w:r>
    </w:p>
    <w:p>
      <w:pPr>
        <w:pStyle w:val="Normal"/>
        <w:widowControl w:val="false"/>
        <w:tabs>
          <w:tab w:val="left" w:pos="0" w:leader="none"/>
          <w:tab w:val="left" w:pos="426" w:leader="none"/>
        </w:tabs>
        <w:suppressAutoHyphens w:val="true"/>
        <w:spacing w:before="0" w:after="0"/>
        <w:ind w:firstLine="851"/>
        <w:contextualSpacing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в местах, указанных в документах о технологическом присоединении и (или) актах допуска в эксплуатацию ПУ электрической </w:t>
      </w:r>
      <w:r>
        <w:rPr>
          <w:rFonts w:ascii="Times New Roman" w:hAnsi="Times New Roman"/>
          <w:bCs/>
          <w:sz w:val="22"/>
          <w:szCs w:val="22"/>
        </w:rPr>
        <w:t xml:space="preserve">энергии. </w:t>
      </w:r>
    </w:p>
    <w:p>
      <w:pPr>
        <w:pStyle w:val="Normal"/>
        <w:widowControl w:val="false"/>
        <w:tabs>
          <w:tab w:val="left" w:pos="0" w:leader="none"/>
          <w:tab w:val="left" w:pos="426" w:leader="none"/>
        </w:tabs>
        <w:suppressAutoHyphens w:val="true"/>
        <w:spacing w:before="0" w:after="0"/>
        <w:ind w:firstLine="851"/>
        <w:contextualSpacing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>на границе балансовой принадлежности объектов энергопринимающих устройств смежных субъектов. При этом ПУ может быть установлен в границах объектов электроэнергетики (энергопринимающих устройств) смежного субъекта.</w:t>
      </w:r>
    </w:p>
    <w:p>
      <w:pPr>
        <w:pStyle w:val="Normal"/>
        <w:widowControl w:val="false"/>
        <w:tabs>
          <w:tab w:val="left" w:pos="0" w:leader="none"/>
          <w:tab w:val="left" w:pos="426" w:leader="none"/>
        </w:tabs>
        <w:suppressAutoHyphens w:val="true"/>
        <w:spacing w:before="0" w:after="0"/>
        <w:ind w:firstLine="851"/>
        <w:contextualSpacing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>в месте, максимально приближенном к границе балансовой принадлежности, в котором имеется техническая возможность его установки</w:t>
      </w:r>
      <w:r>
        <w:rPr>
          <w:rFonts w:ascii="Times New Roman" w:hAnsi="Times New Roman"/>
          <w:b/>
          <w:bCs/>
          <w:sz w:val="22"/>
          <w:szCs w:val="22"/>
        </w:rPr>
        <w:t>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426" w:leader="none"/>
        </w:tabs>
        <w:suppressAutoHyphens w:val="true"/>
        <w:ind w:left="0" w:hanging="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Установка (замена) ПУ и допуск в эксплуатацию ПУ электрической энергии должны быть осуществлены не позднее 6 месяцев:</w:t>
      </w:r>
    </w:p>
    <w:p>
      <w:pPr>
        <w:pStyle w:val="ListParagraph"/>
        <w:widowControl w:val="false"/>
        <w:tabs>
          <w:tab w:val="left" w:pos="0" w:leader="none"/>
          <w:tab w:val="left" w:pos="426" w:leader="none"/>
        </w:tabs>
        <w:suppressAutoHyphens w:val="true"/>
        <w:ind w:left="0" w:firstLine="851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>с даты истечения интервала между поверками или срока эксплуатации ПУ, если соответствующая дата (срок) установлена в контракте энергоснабжения (Приложение № 1);</w:t>
      </w:r>
    </w:p>
    <w:p>
      <w:pPr>
        <w:pStyle w:val="ListParagraph"/>
        <w:widowControl w:val="false"/>
        <w:tabs>
          <w:tab w:val="left" w:pos="0" w:leader="none"/>
          <w:tab w:val="left" w:pos="426" w:leader="none"/>
        </w:tabs>
        <w:suppressAutoHyphens w:val="true"/>
        <w:ind w:left="0" w:firstLine="851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 xml:space="preserve">в иных случаях при нахождении ПУ в границах балансовой принадлежности энергопринимающих устройств (объектов электросетевого хозяйства) - с даты получения обращения </w:t>
      </w:r>
      <w:r>
        <w:rPr>
          <w:rFonts w:ascii="Times New Roman" w:hAnsi="Times New Roman"/>
          <w:sz w:val="22"/>
          <w:szCs w:val="22"/>
        </w:rPr>
        <w:t>Муниципального заказчика (Потребителя)</w:t>
      </w:r>
      <w:r>
        <w:rPr>
          <w:rFonts w:ascii="Times New Roman" w:hAnsi="Times New Roman"/>
          <w:bCs/>
          <w:sz w:val="22"/>
          <w:szCs w:val="22"/>
        </w:rPr>
        <w:t xml:space="preserve"> электрической энергии об истечении интервала между поверками, срока эксплуатации, а также об утрате, о выходе ПУ из строя и (или) его неисправности. </w:t>
      </w:r>
    </w:p>
    <w:p>
      <w:pPr>
        <w:pStyle w:val="ListParagraph"/>
        <w:widowControl w:val="false"/>
        <w:tabs>
          <w:tab w:val="left" w:pos="0" w:leader="none"/>
        </w:tabs>
        <w:suppressAutoHyphens w:val="true"/>
        <w:ind w:left="0" w:firstLine="851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>с даты выявления истечения срока поверки, срока эксплуатации, неисправности ПУ в ходе проведения его проверки в установленном настоящим документом порядке;</w:t>
      </w:r>
    </w:p>
    <w:p>
      <w:pPr>
        <w:pStyle w:val="ListParagraph"/>
        <w:widowControl w:val="false"/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>с даты признания ПУ утраченным.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Сетевая организация, имеющая намерение установить либо заменить ПУ, направляет в адрес гарантирующего поставщика и потребителя запрос на установку (замену) ПУ способом, позволяющим подтвердить факт его получения.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426" w:leader="none"/>
        </w:tabs>
        <w:suppressAutoHyphens w:val="true"/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В подтвержденные дату и время сетевая организация осуществляют действия по установке (замене) ПУ.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426" w:leader="none"/>
        </w:tabs>
        <w:suppressAutoHyphens w:val="true"/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При ненаправлении потребителем сетевой организации в установленный срок ответа на запрос на установку (замену) ПУ, при получении ответа об отказе в установке ПУ или при двукратном недопуске к месту установки ПУ, но не ранее 4 месяцев с момента первого недопуска, ПУ подлежит установке в ином месте, максимально приближенном к границе балансовой принадлежности, с уведомлением лиц, которым направлялся запрос на установку (замену) ПУ, о смене места установки с указанием адреса такого места иных лиц, которые принимают участие в процедуре допуска ПУ в эксплуатацию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0" w:leader="none"/>
        </w:tabs>
        <w:spacing w:before="0" w:after="0"/>
        <w:ind w:left="0" w:hanging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Установленный ПУ должен быть допущен в эксплуатацию. Под допуском ПУ в эксплуатацию понимается процедура, в ходе которой сетевой организацией проверяется и определяется готовность ПУ, в том числе входящего в состав измерительного комплекса или системы учета, к его использованию при осуществлении расчетов за электрическую энергию (мощность) и которая завершается документальным оформлением результатов допуска.</w:t>
      </w:r>
    </w:p>
    <w:p>
      <w:pPr>
        <w:pStyle w:val="Normal"/>
        <w:widowControl w:val="false"/>
        <w:tabs>
          <w:tab w:val="left" w:pos="0" w:leader="none"/>
        </w:tabs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Допуск в эксплуатацию ПУ осуществляется при участии уполномоченных представителей лиц, которым направлялся запрос на установку (замену) ПУ или приглашение для участия в процедуре допуска.</w:t>
      </w:r>
    </w:p>
    <w:p>
      <w:pPr>
        <w:pStyle w:val="Normal"/>
        <w:widowControl w:val="false"/>
        <w:tabs>
          <w:tab w:val="left" w:pos="0" w:leader="none"/>
        </w:tabs>
        <w:spacing w:before="0" w:after="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 окончании допуска в эксплуатацию ПУ организацией, осуществляющей допуск в эксплуатацию ПУ, в местах и способом, которые определены в соответствии с законодательством Российской Федерации об обеспечении единства измерений и о техническом регулировании, подлежит установке контрольная одноразовая номерная пломба (далее - контрольная пломба) и (или) знаки визуального контроля.</w:t>
      </w:r>
    </w:p>
    <w:p>
      <w:pPr>
        <w:pStyle w:val="Normal"/>
        <w:tabs>
          <w:tab w:val="left" w:pos="0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неявки потребителя для участия в процедуре допуска ПУ в эксплуатацию такая процедура проводится без его участия.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качестве расчетного ПУ принимается ПУ (в порядке убывания приоритета):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установленный и допущенный в эксплуатацию сетевой организацией. Такой ПУ становится расчетным с даты допуска его в эксплуатацию;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обеспечивающий проведение измерений с минимальной величиной потерь электрической энергии от места его установки до точки поставки (при номинальных токах и напряжениях); 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обеспечивающий минимальную величину погрешности измерительного канала. Погрешность измерительного канала определяется в соответствии с нормативным правовым актом уполномоченного федерального органа, регламентирующим расчет нормативов технологических потерь электрической энергии при ее передаче;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позволяющий измерять почасовые объемы потребления (производства) электрической энергии, в том числе входящий в измерительный комплекс;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входящий в состав автоматизированной информационно-измерительной системы учета.</w:t>
      </w:r>
    </w:p>
    <w:p>
      <w:pPr>
        <w:pStyle w:val="Normal"/>
        <w:widowControl w:val="false"/>
        <w:tabs>
          <w:tab w:val="left" w:pos="0" w:leader="none"/>
          <w:tab w:val="left" w:pos="709" w:leader="none"/>
          <w:tab w:val="left" w:pos="851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При этом ПУ, расположенные по иную сторону границы балансовой принадлежности от расчетных ПУ могут быть определены как контрольные ПУ. 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0" w:leader="none"/>
        </w:tabs>
        <w:spacing w:before="0" w:after="0"/>
        <w:ind w:left="0" w:hanging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случае, если ПУ расположен не на границе балансовой принадлежности объектов электроэнергетики (энергопринимающих устройств), то объем потребления (производства, передачи) электрической энергии (мощности), определенный на основании показаний такого ПУ, в целях осуществления расчетов по настоящему контракту подлежит корректировке на величину потерь электрической энергии, возникающих на участке сети от границы балансовой принадлежности объектов электроэнергетики (энергопринимающих устройств) до места установки ПУ.</w:t>
      </w:r>
    </w:p>
    <w:p>
      <w:pPr>
        <w:pStyle w:val="ListParagraph"/>
        <w:numPr>
          <w:ilvl w:val="1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Лицами, ответственными за снятие показаний расчетного ПУ, являются:</w:t>
      </w:r>
    </w:p>
    <w:p>
      <w:pPr>
        <w:pStyle w:val="Normal"/>
        <w:tabs>
          <w:tab w:val="left" w:pos="0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сетевые организации в отношении ПУ, присоединенных к интеллектуальным системам учета электрической энергии (мощности) соответствующей сетевой организации, а также иных расчетных ПУ, расположенных в границах объектов электросетевого хозяйства сетевых организаций или в границах бесхозяйных объектов электросетевого хозяйства;</w:t>
      </w:r>
    </w:p>
    <w:p>
      <w:pPr>
        <w:pStyle w:val="Normal"/>
        <w:tabs>
          <w:tab w:val="left" w:pos="0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потребители, собственники (владельцы) объектов электросетевого хозяйства в отношении расчетных ПУ, установленных в границах объектов таких лиц и не присоединенных к интеллектуальным системам учета электрической энергии (мощности).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Снятие показаний расчетных ПУ осуществляется по состоянию на 00 часов 00 минут первого дня месяца, следующего за расчетным периодом, а в отношении ПУ, установленных в многоквартирных жилых домах, - до окончания 25-го дня расчетного месяца, а также по состоянию на 00 часов 00 минут дня расторжения (заключения) контракта энергоснабжения.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Снятие показаний расчетного ПУ, не присоединенного к интеллектуальной системе учета электрической энергии (мощности), оформляется актом снятия показаний расчетного ПУ (Приложение №7) и подписывается лицом, ответственным за снятие показаний ПУ, а также представителями сетевой организации и (или) Гарантирующего поставщика в случае, если ими осуществляется совместное снятие показаний расчетного ПУ.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Лицо, ответственное за снятие показаний ПУ, обеспечивает представление показаний расчетного ПУ Гарантирующему поставщику до окончания первого дня месяца, следующего за расчетным периодом, а ПУ, установленных в многоквартирных жилых домах, - до окончания 26-го дня расчетного месяца, а также в течение суток, следующих за датой расторжения (заключения) настоящего контракта.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В отношении расчетных ПУ, не присоединенных к интеллектуальным системам учета электрической энергии (мощности), показания представляются с использованием телефонной связи, электронной почты или иным способом, позволяющим подтвердить факт их получения, а также при необходимости в письменной форме или в виде электронного документа, подписанного электронной подписью - Акта снятия показаний расчетных ПУ (Приложение № 7).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В отношении расчетных ПУ, присоединенных к интеллектуальным системам учета электрической энергии (мощности), показания представляются с использованием интеллектуальной системы учета электрической энергии (мощности) в соответствии с требованиями правил предоставления доступа к минимальному набору функций интеллектуальных систем учета электрической энергии (мощности).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Проверка правильности снятия показаний расчетных ПУ (далее - контрольное снятие показаний), не включенных в интеллектуальную систему учета гарантирующего поставщика или сетевой организации осуществляется не чаще одного раза в месяц.</w:t>
      </w:r>
    </w:p>
    <w:p>
      <w:pPr>
        <w:pStyle w:val="ListParagraph"/>
        <w:numPr>
          <w:ilvl w:val="1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 факту выявленного безучетного потребления расчетный прибор учета признается вышедшим из строя.</w:t>
      </w:r>
    </w:p>
    <w:p>
      <w:pPr>
        <w:pStyle w:val="ListParagraph"/>
        <w:tabs>
          <w:tab w:val="left" w:pos="709" w:leader="none"/>
        </w:tabs>
        <w:ind w:left="36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ListParagraph"/>
        <w:widowControl w:val="false"/>
        <w:numPr>
          <w:ilvl w:val="0"/>
          <w:numId w:val="3"/>
        </w:numPr>
        <w:tabs>
          <w:tab w:val="left" w:pos="709" w:leader="none"/>
        </w:tabs>
        <w:suppressAutoHyphens w:val="true"/>
        <w:ind w:left="0" w:hanging="0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ПОРЯДОК ОПРЕДЕЛЕНИЯ СТОИМОСТИ И ОБЪЕМА ПОКУПКИ ЭЛЕКТРИЧЕСКОЙ ЭНЕРГИИ (МОЩНОСТИ) ЗА РАСЧЕТНЫЙ ПЕРИОД.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Определение объема покупки электрической энергии (мощности), поставленной в точках поставки по настоящему контракту за расчетный период, осуществляется на основании данных об объемах потребления электрической энергии (мощности), определенных в соответствии с использованием ПУ, указанных в Приложении № 1, а в случаях, указанных в п. 6.2 настоящего раздела, на основании расчетных способов.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Стоимость фактически потребленной электрической энергии (мощности), поставленной в точках поставки по настоящему контракту за расчетный период, определяется исходя из фактического объема потребления электрической энергии (мощности) и регулируемой цены на электрическую энергию (мощность), установленной органом исполнительной власти субъекта Российской Федерации в области Муниципального регулирования тарифов.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Снятые показания ПУ сообщаются Гарантирующему поставщику с использованием телефонной связи, электронной почты, факсимильной связи или иным способом, позволяющим подтвердить факт получения, а также в письменной форме в виде Акта снятия показаний расчетного ПУ за расчетный период (Приложение № 7) в течение 2-х рабочих дней с момента снятия за подписью уполномоченного лица, заверенной печатью.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Определение объема потребленной электрической энергии (мощности)</w:t>
      </w:r>
      <w:r>
        <w:rPr>
          <w:rFonts w:ascii="Times New Roman" w:hAnsi="Times New Roman"/>
          <w:color w:val="0070C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осуществляется в соответствии с расчетными способами, определенными Основными положениями функционирования розничных рынков электрической энергии, утвержденными Постановлением Правительства Российской Федерации от 4 мая 2012г. № 442 (далее – Основные положения), и в случаях, определенных Основными положениями, в том числе: после двукратного недопуска к месту установки ПУ Сетевой организации или Гарантирующего поставщика к расчетному ПУ, установленному в границах энергопринимающих устройств Потребителя, для проведения контрольного снятия показаний или проведения проверки ПУ</w:t>
      </w:r>
      <w:r>
        <w:rPr>
          <w:rFonts w:ascii="Times New Roman" w:hAnsi="Times New Roman"/>
          <w:sz w:val="22"/>
          <w:szCs w:val="22"/>
          <w:shd w:fill="C0C0C0" w:val="clear"/>
        </w:rPr>
        <w:t>;</w:t>
      </w:r>
      <w:r>
        <w:rPr>
          <w:rFonts w:ascii="Times New Roman" w:hAnsi="Times New Roman"/>
          <w:sz w:val="22"/>
          <w:szCs w:val="22"/>
        </w:rPr>
        <w:t xml:space="preserve"> в случаях отсутствия, неисправности, утраты или истечения интервала между поверками, истечения срока эксплуатации расчетного ПУ, непредставления показаний расчетного ПУ в установленные сроки, а также отсутствия контрольного ПУ.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Расчет объема потребления электрической энергии (мощности)</w:t>
      </w:r>
      <w:r>
        <w:rPr>
          <w:rFonts w:ascii="Times New Roman" w:hAnsi="Times New Roman"/>
          <w:color w:val="0070C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Потребителю осуществляется с применением расчетного способа, предусмотренного Приложением № 3 к Основным положениям в случае потребления Потребителем электрической энергии (мощности) с нарушением установленного настоящим контрактом и (или) соответствующими нормативно-правовыми актами порядка учета электрической энергии (безучетное потребление), выразившимся во вмешательство в работу ПУ в случаях нарушения целостности (повреждения) прибора учета, измерительного комплекса, измерительных трансформаторов, нарушения (повреждения) пломб и (или) знаков визуального контроля, нанесенных на прибор учета, измерительный комплекс, измерительные трансформаторы, систему учета, компоненты интеллектуальной системы электрической энергии (мощности), на приспособления, препятствующие доступу к ним, расположенные до места установки ПУ электрической энергии (точки измерения прибором учета), когда ПУ установлены в границах балансовой принадлежности потребителя и (или) в границах земельного участка, принадлежащего потребителю на праве собственности или ином законном основании, на котором расположены энергопринимающие устройства потребителя или, если обязанность по обеспечению целостности и сохранности ПУ возложена на потребителя, а также с нарушением указанного порядка, обнаруженным в границах балансовой принадлежности потребителя подключения энергопринимающих устройств до точки измерения прибором учета или в границах земельного участка потребителя подключения до точки измерения прибором учета энергопринимающих устройств, расположенных в границах этого земельного участка.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0" w:leader="none"/>
        </w:tabs>
        <w:suppressAutoHyphens w:val="true"/>
        <w:spacing w:before="0" w:after="0"/>
        <w:contextualSpacing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РАСЧЕТЫ ЗА ЭЛЕКТРИЧЕСКУЮ ЭНЕРГИЮ (МОЩНОСТЬ).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</w:tabs>
        <w:suppressAutoHyphens w:val="tru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Расчетным периодом по настоящему контракту является один календарный месяц.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Муниципальный заказчик (Потребитель) оплачивает электрическую энергию (мощность) </w:t>
      </w:r>
      <w:r>
        <w:rPr>
          <w:rFonts w:ascii="Times New Roman" w:hAnsi="Times New Roman"/>
          <w:b/>
          <w:sz w:val="22"/>
          <w:szCs w:val="22"/>
        </w:rPr>
        <w:t>в следующем порядке: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</w:r>
      <w:r>
        <w:rPr>
          <w:rFonts w:ascii="Times New Roman" w:hAnsi="Times New Roman"/>
          <w:b/>
          <w:sz w:val="22"/>
          <w:szCs w:val="22"/>
        </w:rPr>
        <w:t>30 процентов</w:t>
      </w:r>
      <w:r>
        <w:rPr>
          <w:rFonts w:ascii="Times New Roman" w:hAnsi="Times New Roman"/>
          <w:sz w:val="22"/>
          <w:szCs w:val="22"/>
        </w:rPr>
        <w:t xml:space="preserve"> стоимости электрической энергии (мощности) в подлежащем оплате объеме покупки в месяце, за который осуществляется оплата, вносится </w:t>
      </w:r>
      <w:r>
        <w:rPr>
          <w:rFonts w:ascii="Times New Roman" w:hAnsi="Times New Roman"/>
          <w:b/>
          <w:sz w:val="22"/>
          <w:szCs w:val="22"/>
        </w:rPr>
        <w:t>до 10-го</w:t>
      </w:r>
      <w:r>
        <w:rPr>
          <w:rFonts w:ascii="Times New Roman" w:hAnsi="Times New Roman"/>
          <w:sz w:val="22"/>
          <w:szCs w:val="22"/>
        </w:rPr>
        <w:t xml:space="preserve"> числа этого месяца;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</w:r>
      <w:r>
        <w:rPr>
          <w:rFonts w:ascii="Times New Roman" w:hAnsi="Times New Roman"/>
          <w:b/>
          <w:sz w:val="22"/>
          <w:szCs w:val="22"/>
        </w:rPr>
        <w:t>40 процентов</w:t>
      </w:r>
      <w:r>
        <w:rPr>
          <w:rFonts w:ascii="Times New Roman" w:hAnsi="Times New Roman"/>
          <w:sz w:val="22"/>
          <w:szCs w:val="22"/>
        </w:rPr>
        <w:t xml:space="preserve"> стоимости электрической энергии (мощности) в подлежащем оплате объеме покупки в месяце, за который осуществляется оплата, вносится </w:t>
      </w:r>
      <w:r>
        <w:rPr>
          <w:rFonts w:ascii="Times New Roman" w:hAnsi="Times New Roman"/>
          <w:b/>
          <w:sz w:val="22"/>
          <w:szCs w:val="22"/>
        </w:rPr>
        <w:t>до 25-го</w:t>
      </w:r>
      <w:r>
        <w:rPr>
          <w:rFonts w:ascii="Times New Roman" w:hAnsi="Times New Roman"/>
          <w:sz w:val="22"/>
          <w:szCs w:val="22"/>
        </w:rPr>
        <w:t xml:space="preserve"> числа этого месяца;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стоимость объема покупки электрической энергии (мощности) в месяце, за который осуществляется оплата, за вычетом средств, внесенных Муниципальным заказчиком (Потребителем) в качестве оплаты электрической энергии (мощности) в течение этого месяца, оплачивается </w:t>
      </w:r>
      <w:r>
        <w:rPr>
          <w:rFonts w:ascii="Times New Roman" w:hAnsi="Times New Roman"/>
          <w:b/>
          <w:sz w:val="22"/>
          <w:szCs w:val="22"/>
        </w:rPr>
        <w:t>до 18-го</w:t>
      </w:r>
      <w:r>
        <w:rPr>
          <w:rFonts w:ascii="Times New Roman" w:hAnsi="Times New Roman"/>
          <w:sz w:val="22"/>
          <w:szCs w:val="22"/>
        </w:rPr>
        <w:t xml:space="preserve"> числа месяца, следующего за месяцем, за который осуществляется оплата. В случае если размер предварительной оплаты превысит стоимость объема покупки электрической энергии (мощности) в месяце, за который осуществляется оплата, излишне уплаченная сумма засчитывается в счет платежа за месяц, следующий за месяцем, в котором была осуществлена такая оплата.</w:t>
      </w:r>
    </w:p>
    <w:p>
      <w:pPr>
        <w:pStyle w:val="Normal"/>
        <w:tabs>
          <w:tab w:val="left" w:pos="709" w:leader="none"/>
          <w:tab w:val="left" w:pos="1134" w:leader="none"/>
          <w:tab w:val="left" w:pos="9781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7.3.</w:t>
        <w:tab/>
      </w:r>
      <w:r>
        <w:rPr>
          <w:rFonts w:ascii="Times New Roman" w:hAnsi="Times New Roman"/>
          <w:sz w:val="22"/>
          <w:szCs w:val="22"/>
        </w:rPr>
        <w:t>При получении сумм оплаты, частичной оплаты в счет предстоящих поставок электрической энергии (мощности) Гарантирующий поставщик выставляет счета-фактуры в порядке и сроки, предусмотренные законодательством РФ.</w:t>
      </w:r>
    </w:p>
    <w:p>
      <w:pPr>
        <w:pStyle w:val="Normal"/>
        <w:tabs>
          <w:tab w:val="left" w:pos="709" w:leader="none"/>
        </w:tabs>
        <w:suppressAutoHyphens w:val="true"/>
        <w:jc w:val="both"/>
        <w:rPr>
          <w:rFonts w:ascii="Times New Roman" w:hAnsi="Times New Roman"/>
          <w:color w:val="000000"/>
          <w:sz w:val="22"/>
          <w:szCs w:val="22"/>
          <w:lang w:eastAsia="en-US"/>
        </w:rPr>
      </w:pPr>
      <w:r>
        <w:rPr>
          <w:rFonts w:ascii="Times New Roman" w:hAnsi="Times New Roman"/>
          <w:b/>
          <w:sz w:val="22"/>
          <w:szCs w:val="22"/>
        </w:rPr>
        <w:t>7.4.</w:t>
      </w:r>
      <w:r>
        <w:rPr>
          <w:rFonts w:ascii="Times New Roman" w:hAnsi="Times New Roman"/>
          <w:sz w:val="22"/>
          <w:szCs w:val="22"/>
        </w:rPr>
        <w:tab/>
        <w:t xml:space="preserve">По окончании расчетного периода Гарантирующий поставщик предъявляет Муниципальному заказчику (Потребителю) счет-фактуру, счет и Акт выполненных работ (приема-передачи) в 2-х экземплярах. Муниципальный заказчик (Потребитель) возвращает один экземпляр Акта выполненных работ (приема-передачи), подписанный руководителем и скрепленный печатью, </w:t>
      </w:r>
      <w:r>
        <w:rPr>
          <w:rFonts w:ascii="Times New Roman" w:hAnsi="Times New Roman"/>
          <w:sz w:val="22"/>
          <w:szCs w:val="22"/>
          <w:lang w:eastAsia="en-US"/>
        </w:rPr>
        <w:t xml:space="preserve">в адрес </w:t>
      </w:r>
      <w:r>
        <w:rPr>
          <w:rFonts w:ascii="Times New Roman" w:hAnsi="Times New Roman"/>
          <w:sz w:val="22"/>
          <w:szCs w:val="22"/>
        </w:rPr>
        <w:t>Гарантирующего поставщика</w:t>
      </w:r>
      <w:r>
        <w:rPr>
          <w:rFonts w:ascii="Times New Roman" w:hAnsi="Times New Roman"/>
          <w:sz w:val="22"/>
          <w:szCs w:val="22"/>
          <w:lang w:eastAsia="en-US"/>
        </w:rPr>
        <w:t xml:space="preserve"> не позднее 5-ти рабочих дней с момента получения</w:t>
      </w:r>
      <w:r>
        <w:rPr>
          <w:rFonts w:ascii="Times New Roman" w:hAnsi="Times New Roman"/>
          <w:color w:val="000000"/>
          <w:sz w:val="22"/>
          <w:szCs w:val="22"/>
          <w:lang w:eastAsia="en-US"/>
        </w:rPr>
        <w:t>. В случае н</w:t>
      </w:r>
      <w:r>
        <w:rPr>
          <w:rFonts w:eastAsia="Calibri" w:ascii="Times New Roman" w:hAnsi="Times New Roman"/>
          <w:color w:val="000000"/>
          <w:sz w:val="22"/>
          <w:szCs w:val="22"/>
          <w:lang w:eastAsia="en-US"/>
        </w:rPr>
        <w:t xml:space="preserve">евозврата </w:t>
      </w:r>
      <w:r>
        <w:rPr>
          <w:rFonts w:ascii="Times New Roman" w:hAnsi="Times New Roman"/>
          <w:sz w:val="22"/>
          <w:szCs w:val="22"/>
        </w:rPr>
        <w:t>Муниципальным заказчиком (</w:t>
      </w:r>
      <w:r>
        <w:rPr>
          <w:rFonts w:ascii="Times New Roman" w:hAnsi="Times New Roman"/>
          <w:color w:val="000000"/>
          <w:sz w:val="22"/>
          <w:szCs w:val="22"/>
        </w:rPr>
        <w:t>Потребителем)</w:t>
      </w:r>
      <w:r>
        <w:rPr>
          <w:rFonts w:eastAsia="Calibri" w:ascii="Times New Roman" w:hAnsi="Times New Roman"/>
          <w:color w:val="000000"/>
          <w:sz w:val="22"/>
          <w:szCs w:val="22"/>
          <w:lang w:eastAsia="en-US"/>
        </w:rPr>
        <w:t xml:space="preserve"> подписанного Акта </w:t>
      </w:r>
      <w:r>
        <w:rPr>
          <w:rFonts w:ascii="Times New Roman" w:hAnsi="Times New Roman"/>
          <w:color w:val="000000"/>
          <w:sz w:val="22"/>
          <w:szCs w:val="22"/>
        </w:rPr>
        <w:t xml:space="preserve">выполненных работ (приема-передачи) </w:t>
      </w:r>
      <w:r>
        <w:rPr>
          <w:rFonts w:eastAsia="Calibri" w:ascii="Times New Roman" w:hAnsi="Times New Roman"/>
          <w:color w:val="000000"/>
          <w:sz w:val="22"/>
          <w:szCs w:val="22"/>
          <w:lang w:eastAsia="en-US"/>
        </w:rPr>
        <w:t xml:space="preserve">по истечении установленного выше срока указанный </w:t>
      </w:r>
      <w:r>
        <w:rPr>
          <w:rFonts w:ascii="Times New Roman" w:hAnsi="Times New Roman"/>
          <w:color w:val="000000"/>
          <w:sz w:val="22"/>
          <w:szCs w:val="22"/>
        </w:rPr>
        <w:t>Акт считается принятым, объемы согласованными.</w:t>
      </w:r>
    </w:p>
    <w:p>
      <w:pPr>
        <w:pStyle w:val="Normal"/>
        <w:tabs>
          <w:tab w:val="left" w:pos="709" w:leader="none"/>
        </w:tabs>
        <w:suppressAutoHyphens w:val="true"/>
        <w:ind w:firstLine="709"/>
        <w:jc w:val="both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 xml:space="preserve">В случае частичного отказа от объема потребления </w:t>
      </w:r>
      <w:r>
        <w:rPr>
          <w:rFonts w:ascii="Times New Roman" w:hAnsi="Times New Roman"/>
          <w:sz w:val="22"/>
          <w:szCs w:val="22"/>
        </w:rPr>
        <w:t>электрической энергии (мощности)</w:t>
      </w:r>
      <w:r>
        <w:rPr>
          <w:rFonts w:ascii="Times New Roman" w:hAnsi="Times New Roman"/>
          <w:sz w:val="22"/>
          <w:szCs w:val="22"/>
          <w:lang w:eastAsia="en-US"/>
        </w:rPr>
        <w:t xml:space="preserve">, указанного в Акте </w:t>
      </w:r>
      <w:r>
        <w:rPr>
          <w:rFonts w:ascii="Times New Roman" w:hAnsi="Times New Roman"/>
          <w:sz w:val="22"/>
          <w:szCs w:val="22"/>
        </w:rPr>
        <w:t>выполненных работ (приема-передачи)</w:t>
      </w:r>
      <w:r>
        <w:rPr>
          <w:rFonts w:ascii="Times New Roman" w:hAnsi="Times New Roman"/>
          <w:sz w:val="22"/>
          <w:szCs w:val="22"/>
          <w:lang w:eastAsia="en-US"/>
        </w:rPr>
        <w:t xml:space="preserve">, Муниципальный заказчик (Потребитель) обязан оплатить стоимость неоспариваемой части потребления в срок, установленный настоящим контрактом и направить Гарантирующему поставщику мотивированный отказ от оплаты оспариваемой части объема потребления. </w:t>
      </w:r>
    </w:p>
    <w:p>
      <w:pPr>
        <w:pStyle w:val="Normal"/>
        <w:tabs>
          <w:tab w:val="left" w:pos="709" w:leader="none"/>
        </w:tabs>
        <w:suppressAutoHyphens w:val="true"/>
        <w:ind w:firstLine="709"/>
        <w:jc w:val="both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 xml:space="preserve">В случае если Муниципальный заказчик (Потребитель) не направил в адрес Гарантирующего поставщика мотивированного отказа в течение 5-ти рабочих дней с момента получения Акта </w:t>
      </w:r>
      <w:r>
        <w:rPr>
          <w:rFonts w:ascii="Times New Roman" w:hAnsi="Times New Roman"/>
          <w:sz w:val="22"/>
          <w:szCs w:val="22"/>
        </w:rPr>
        <w:t>выполненных работ (приема-передачи)</w:t>
      </w:r>
      <w:r>
        <w:rPr>
          <w:rFonts w:ascii="Times New Roman" w:hAnsi="Times New Roman"/>
          <w:sz w:val="22"/>
          <w:szCs w:val="22"/>
          <w:lang w:eastAsia="en-US"/>
        </w:rPr>
        <w:t xml:space="preserve">, претензии по объему и качеству не принимаются. </w:t>
      </w:r>
    </w:p>
    <w:p>
      <w:pPr>
        <w:pStyle w:val="Normal"/>
        <w:tabs>
          <w:tab w:val="left" w:pos="709" w:leader="none"/>
        </w:tabs>
        <w:suppressAutoHyphens w:val="true"/>
        <w:spacing w:before="0" w:after="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Размер оспариваемых обязательств по оплате определяется Сторонами путём переговоров, а в случае недостижения согласия – в судебном порядке. </w:t>
      </w:r>
    </w:p>
    <w:p>
      <w:pPr>
        <w:pStyle w:val="Normal"/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7.5.</w:t>
      </w:r>
      <w:r>
        <w:rPr>
          <w:rFonts w:ascii="Times New Roman" w:hAnsi="Times New Roman"/>
          <w:sz w:val="22"/>
          <w:szCs w:val="22"/>
        </w:rPr>
        <w:t xml:space="preserve"> Обязательство по оплате считается исполненным в день поступления денежных средств на расчетный счет Гарантирующего поставщика. </w:t>
      </w:r>
    </w:p>
    <w:p>
      <w:pPr>
        <w:pStyle w:val="Normal"/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7.6.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Стороны обязуются ежеквартально проводить сверку расчетов по настоящему контракту с составлением Акта сверки. </w:t>
      </w:r>
      <w:r>
        <w:rPr>
          <w:rFonts w:ascii="Times New Roman" w:hAnsi="Times New Roman"/>
          <w:sz w:val="22"/>
          <w:szCs w:val="22"/>
        </w:rPr>
        <w:t xml:space="preserve">Гарантирующий Поставщик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в течение 10 дней по истечении квартала направляет </w:t>
      </w:r>
      <w:r>
        <w:rPr>
          <w:rFonts w:ascii="Times New Roman" w:hAnsi="Times New Roman"/>
          <w:sz w:val="22"/>
          <w:szCs w:val="22"/>
          <w:lang w:eastAsia="en-US"/>
        </w:rPr>
        <w:t xml:space="preserve">Муниципальному заказчику (Потребителю) </w:t>
      </w:r>
      <w:r>
        <w:rPr>
          <w:rFonts w:eastAsia="Calibri" w:ascii="Times New Roman" w:hAnsi="Times New Roman"/>
          <w:sz w:val="22"/>
          <w:szCs w:val="22"/>
          <w:lang w:eastAsia="en-US"/>
        </w:rPr>
        <w:t>оформленный со своей стороны Акт сверки, подписанный руководителем и главным бухгалтером.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suppressAutoHyphens w:val="true"/>
        <w:ind w:firstLine="709"/>
        <w:jc w:val="both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 xml:space="preserve">Муниципальный заказчик (Потребитель)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обязан рассмотреть полученный от </w:t>
      </w:r>
      <w:r>
        <w:rPr>
          <w:rFonts w:ascii="Times New Roman" w:hAnsi="Times New Roman"/>
          <w:sz w:val="22"/>
          <w:szCs w:val="22"/>
        </w:rPr>
        <w:t xml:space="preserve">Гарантирующего поставщика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Акт сверки в течение 10 календарных дней с момента получения Акта сверки, подписать и направить один экземпляр </w:t>
      </w:r>
      <w:r>
        <w:rPr>
          <w:rFonts w:ascii="Times New Roman" w:hAnsi="Times New Roman"/>
          <w:sz w:val="22"/>
          <w:szCs w:val="22"/>
        </w:rPr>
        <w:t>Гарантирующему поставщику</w:t>
      </w:r>
      <w:r>
        <w:rPr>
          <w:rFonts w:eastAsia="Calibri" w:ascii="Times New Roman" w:hAnsi="Times New Roman"/>
          <w:sz w:val="22"/>
          <w:szCs w:val="22"/>
          <w:lang w:eastAsia="en-US"/>
        </w:rPr>
        <w:t>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jc w:val="both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  <w:tab/>
        <w:t xml:space="preserve">Невозврат </w:t>
      </w:r>
      <w:r>
        <w:rPr>
          <w:rFonts w:ascii="Times New Roman" w:hAnsi="Times New Roman"/>
          <w:sz w:val="22"/>
          <w:szCs w:val="22"/>
          <w:lang w:eastAsia="en-US"/>
        </w:rPr>
        <w:t xml:space="preserve">Муниципальным заказчиком (Потребителем)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подписанных Актов сверки по истечении установленного выше срока будет рассматриваться как согласие </w:t>
      </w:r>
      <w:r>
        <w:rPr>
          <w:rFonts w:ascii="Times New Roman" w:hAnsi="Times New Roman"/>
          <w:sz w:val="22"/>
          <w:szCs w:val="22"/>
          <w:lang w:eastAsia="en-US"/>
        </w:rPr>
        <w:t xml:space="preserve">Муниципального заказчика (Потребителя)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с расчетами, указанными в Актах сверки. </w:t>
      </w:r>
      <w:r>
        <w:rPr>
          <w:rFonts w:ascii="Times New Roman" w:hAnsi="Times New Roman"/>
          <w:sz w:val="22"/>
          <w:szCs w:val="22"/>
          <w:lang w:eastAsia="en-US"/>
        </w:rPr>
        <w:t xml:space="preserve">Муниципальный заказчик (Потребитель)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обязуется погасить выявленную в Актах сверки задолженность в течение 10 банковских дней с момента выставления </w:t>
      </w:r>
      <w:r>
        <w:rPr>
          <w:rFonts w:ascii="Times New Roman" w:hAnsi="Times New Roman"/>
          <w:sz w:val="22"/>
          <w:szCs w:val="22"/>
        </w:rPr>
        <w:t xml:space="preserve">Гарантирующим поставщиком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соответствующего счета. </w:t>
      </w:r>
    </w:p>
    <w:p>
      <w:pPr>
        <w:pStyle w:val="Normal"/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</w:r>
    </w:p>
    <w:p>
      <w:pPr>
        <w:pStyle w:val="ListParagraph"/>
        <w:numPr>
          <w:ilvl w:val="0"/>
          <w:numId w:val="3"/>
        </w:numPr>
        <w:tabs>
          <w:tab w:val="left" w:pos="1134" w:leader="none"/>
        </w:tabs>
        <w:jc w:val="center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ПОРЯДОК ОГРАНИЧЕНИЯ РЕЖИМА ПОТРЕБЛЕНИЯ ЭЛЕКТРИЧЕСКОЙ ЭНЕРГИИ (МОЩНОСТИ).</w:t>
      </w:r>
    </w:p>
    <w:p>
      <w:pPr>
        <w:pStyle w:val="ListParagraph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Ограничение режима потребления электрической энергии (мощности) вводится в соответствии с действующим законодательством РФ при наступлении любого из следующих обстоятельств:</w:t>
      </w:r>
    </w:p>
    <w:p>
      <w:pPr>
        <w:pStyle w:val="Normal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а) получение законного требования судебного пристава-исполнителя о введении ограничения режима потребления;</w:t>
      </w:r>
    </w:p>
    <w:p>
      <w:pPr>
        <w:pStyle w:val="Normal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б) нарушение Муниципальным заказчиком (Потребителем) своих обязательств, выразившееся в следующих действиях:</w:t>
      </w:r>
    </w:p>
    <w:p>
      <w:pPr>
        <w:pStyle w:val="Normal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неисполнение или ненадлежащее исполнение обязательств по оплате электрической энергии (мощности) и услуг по передаче электрической энергии, если это привело к образованию задолженности Муниципального заказчика (Потребителя) перед Гарантирующим поставщиком по основному обязательству, в том числе обязательству по предварительной оплате электрической энергии (мощности);</w:t>
      </w:r>
    </w:p>
    <w:p>
      <w:pPr>
        <w:pStyle w:val="Normal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неисполнение или ненадлежащее исполнение Муниципальным заказчиком (Потребителем) условий контракта, касающихся обеспечения функционирования устройств релейной защиты, противоаварийной и режимной автоматики, устройств компенсации реактивной мощности;</w:t>
      </w:r>
    </w:p>
    <w:p>
      <w:pPr>
        <w:pStyle w:val="Normal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нарушение характеристик технологического присоединения, указанных в документах о технологическом присоединении (в том числе превышение максимальной мощности энергопринимающего устройства потребителя), вызванное подключением Муниципальным заказчиком (Потребителем) к принадлежащим ему энергопринимающим устройствам и (или) объектам электроэнергетики электропотребляющего оборудования либо изменением потребителем режима работы подключенного электропотребляющего оборудования;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в) </w:t>
        <w:tab/>
        <w:t>прекращение обязательств по поставке электрической энергии (мощности) по настоящему контракту энергоснабжения в отношении энергопринимающих устройств Муниципального заказчика (Потребителя);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г) </w:t>
        <w:tab/>
        <w:t>выявление факта бездоговорного потребления электрической энергии;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д) </w:t>
        <w:tab/>
        <w:t>выявление ненадлежащего технологического присоединения энергопринимающих устройств Муниципального заказчика (Потребителя) при отсутствии документов, подтверждающих технологическое присоединение и (или) разграничение балансовой принадлежности;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е) </w:t>
        <w:tab/>
        <w:t>поступление от Муниципального заказчика (Потребителя) заявления о введении в отношении его энергопринимающих устройств и (или) объектов электроэнергетики ограничения режима потребления в случае, если у Муниципального заказчика (Потребителя) отсутствует техническая возможность самостоятельного ограничения режима потребления;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ж) </w:t>
        <w:tab/>
        <w:t>окончание срока, на который осуществлялось технологическое присоединение с применением временной схемы электроснабжения, или возникновение основания для его досрочного прекращения;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з) </w:t>
        <w:tab/>
        <w:t>возникновение (угроза возникновения) аварийных электроэнергетических режимов;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и)  </w:t>
        <w:tab/>
        <w:t>необходимость проведения ремонтных работ на объектах электросетевого хозяйства Сетевой организации, к которым присоединены энергопринимающие устройства и (или) объекты электроэнергетики Муниципального заказчика (Потребителя), или необходимость проведения ремонтных работ на объектах электросетевого хозяйства смежных сетевых организаций (объектах электросетевого хозяйства иных владельцев) либо на объектах по производству электрической энергии в случае, если проведение этих работ невозможно без ограничения режима потребления.</w:t>
      </w:r>
    </w:p>
    <w:p>
      <w:pPr>
        <w:pStyle w:val="ListParagraph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введения ограничения режима потребления в отношении Муниципального заказчика (Потребителя), к энергопринимающим устройствам которого присоединены энергопринимающие устройства и (или) объекты электроэнергетики иных потребителей (субабонентов), то Муниципальный заказчик (Потребитель) обязан обеспечить переток электрической энергии таким потребителям (субабонентам) в объеме их потребления.</w:t>
      </w:r>
    </w:p>
    <w:p>
      <w:pPr>
        <w:pStyle w:val="ListParagraph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Ограничение режима потребления энергопринимающих устройств и (или) объектами электроэнергетики Муниципального заказчика (Потребителя), в отношении которых предоставлено обеспечение исполнения обязательств по оплате электрической энергии (мощности), в связи с наступлением обстоятельств, указанных в абзаце втором подпункта "б" пункта 8.1 настоящего контракта, не вводится до прекращения действия предоставленного обеспечения исполнения обязательств по оплате электрической энергии (мощности).</w:t>
      </w:r>
    </w:p>
    <w:p>
      <w:pPr>
        <w:pStyle w:val="ListParagraph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Введение ограничения режима потребления осуществляется в порядке, установленным Правилами полного и (или) частичного ограничения, утверждённого постановлением Правительства Российской Федерации от 04.05.2012 № 442. </w:t>
      </w:r>
    </w:p>
    <w:p>
      <w:pPr>
        <w:pStyle w:val="ListParagraph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Муниципальный заказчик (Потребитель), ограничение режима потребления которого может привести к экономическим, экологическим или социальным последствиям, обязан после дня уведомления его о введении частичного ограничения:</w:t>
      </w:r>
    </w:p>
    <w:p>
      <w:pPr>
        <w:pStyle w:val="ListParagraph"/>
        <w:widowControl w:val="fals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в течение 3 дней представить Гарантирующему поставщику утвержденный план мероприятий по обеспечению готовности к введению полного ограничения;</w:t>
      </w:r>
    </w:p>
    <w:p>
      <w:pPr>
        <w:pStyle w:val="ListParagraph"/>
        <w:widowControl w:val="fals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в срок, предусмотренный планом, выполнить указанные мероприятия;</w:t>
      </w:r>
    </w:p>
    <w:p>
      <w:pPr>
        <w:pStyle w:val="ListParagraph"/>
        <w:widowControl w:val="fals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в течение 2 месяцев выполнить мероприятия по установке за свой счет автономных источников питания, обеспечивающих безопасное функционирование его энергопринимающих устройств и (или) объектов электроэнергетики без необходимости потребления электрической энергии из внешней сети, - в случае если в установленный срок им не был представлен утвержденный план указанных мероприятий либо если предусмотренный планом срок проведения указанных мероприятий превышает 6 месяцев.</w:t>
      </w:r>
    </w:p>
    <w:p>
      <w:pPr>
        <w:pStyle w:val="ListParagraph"/>
        <w:widowControl w:val="false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После выполнения этих мероприятий Муниципальный заказчик (Потребитель) обязан направить Гарантирующему поставщику уведомление о готовности к введению полного ограничения режима потребления.</w:t>
      </w:r>
    </w:p>
    <w:p>
      <w:pPr>
        <w:pStyle w:val="ListParagraph"/>
        <w:widowControl w:val="false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Введение частичного (полного) ограничения режима потребления электрической энергии выполняется в следующем порядке: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а)</w:t>
        <w:tab/>
        <w:t>Гарантирующий поставщик уведомляет Муниципального заказчика (Потребителя) о планируемом введении ограничения режима потребления за 10 дней до планируемого ограничения, в котором указывается уровень вводимого ограничения, дата планируемого ограничения (частичного и полного), требование к Муниципальному заказчику (Потребителю) о самостоятельном ограничении режима потребления, а также указание на последствия невыполнения указанного требования;</w:t>
      </w:r>
    </w:p>
    <w:p>
      <w:pPr>
        <w:pStyle w:val="Normal"/>
        <w:widowControl w:val="false"/>
        <w:jc w:val="both"/>
        <w:rPr>
          <w:rStyle w:val="Annotationreference"/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б)</w:t>
        <w:tab/>
        <w:t xml:space="preserve">Муниципальный заказчик (Потребитель) обязан самостоятельно ввести ограничение режима потребления электрической энергии в дату и до уровня, указанные в уведомлении. Гарантирующий поставщик вправе присутствовать при введении Муниципальным заказчиком (Потребителем) ограничения режима потребления электрической энергии. 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Style w:val="Annotationreference"/>
          <w:rFonts w:ascii="Times New Roman" w:hAnsi="Times New Roman"/>
          <w:b/>
          <w:sz w:val="22"/>
          <w:szCs w:val="22"/>
        </w:rPr>
        <w:t>8.8.</w:t>
      </w:r>
      <w:r>
        <w:rPr>
          <w:rStyle w:val="Annotationreference"/>
          <w:rFonts w:ascii="Times New Roman" w:hAnsi="Times New Roman"/>
          <w:sz w:val="22"/>
          <w:szCs w:val="22"/>
        </w:rPr>
        <w:t xml:space="preserve"> У</w:t>
      </w:r>
      <w:r>
        <w:rPr>
          <w:rFonts w:ascii="Times New Roman" w:hAnsi="Times New Roman"/>
          <w:sz w:val="22"/>
          <w:szCs w:val="22"/>
        </w:rPr>
        <w:t xml:space="preserve">ведомление о введении ограничения может быть направлено Гарантирующим поставщиком одним из следующих способов: 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посредством направления короткого текстового сообщения (смс-сообщение) на номер мобильного телефона Потребителя, при этом уведомление считается полученным в момент его направления;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посредством направления сообщения скан-копии уведомления на адрес электронной почты Муниципального заказчика (Потребителя) с адреса электронной почты Гарантирующего Поставщика, указанного на сайте Гарантирующего Поставщика в сети Интернет www.kamenergo.ru при этом уведомление считается полученным в момент его направления: 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посредством включения текста уведомления в документах на оплату потребленной электрической энергии (мощности) при этом уведомление считается полученным в момент вручения документов на оплату; 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посредством опубликования в периодическом печатном издании, являющемся источником официального опубликования нормативных правовых актов органов государственной власти Камчатского края;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направлением заказного почтового отправления по адресу, который указан в настоящем контракте (Раздел 12). Уведомления, направленные по указанному адресу, считаются полученными, даже если потребитель фактически не проживает (не находится) по указанному адресу, по истечении контрольных сроков пересылки письменной корреспонденции.; 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вручением представителю Муниципального заказчика (Потребителя) под роспись с указанием даты вручения и расшифровкой подписи и занимаемой должности лица, получившего уведомление;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телефонограммой;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посредством факсимильной связи;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посредством направления сканированной копии уведомления на адрес электронной почты Муниципального заказчика (Потребителя) однократно. В данном случае уведомление считается доставленным, а Муниципальный заказчик (Потребитель) уведомленным в день направления такого документа. </w:t>
      </w:r>
    </w:p>
    <w:p>
      <w:pPr>
        <w:pStyle w:val="ListParagraph"/>
        <w:widowControl w:val="false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Адрес электронной почты, телефон и (или) факс, на которые Гарантирующим поставщиком направляются уведомления о погашении задолженности и введении ограничения, указаны в Приложении № 9 настоящего Контракта.</w:t>
      </w:r>
    </w:p>
    <w:p>
      <w:pPr>
        <w:pStyle w:val="ListParagraph"/>
        <w:widowControl w:val="false"/>
        <w:numPr>
          <w:ilvl w:val="1"/>
          <w:numId w:val="7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случае, если до указанной даты в уведомлении о планируемом введении ограничения режима Потребителем в полном объеме исполнено требование о погашении задолженности или представлены документы, свидетельствующие об отсутствии у него задолженности, либо устранены иные причины, обусловившие введение ограничения режима потребления, то ограничение режима потребления не вводится.</w:t>
      </w:r>
    </w:p>
    <w:p>
      <w:pPr>
        <w:pStyle w:val="ListParagraph"/>
        <w:widowControl w:val="false"/>
        <w:numPr>
          <w:ilvl w:val="1"/>
          <w:numId w:val="7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Отказ Муниципального заказчика (Потребителя) от признания задолженности или указанного в уведомлении о планируемом введении ограничения режима потребления размера задолженности не является препятствием для введения ограничения режима потребления.</w:t>
      </w:r>
    </w:p>
    <w:p>
      <w:pPr>
        <w:pStyle w:val="ListParagraph"/>
        <w:widowControl w:val="false"/>
        <w:numPr>
          <w:ilvl w:val="1"/>
          <w:numId w:val="7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Гарантирующий поставщик вправе потребовать с Муниципального заказчика (Потребителя), в отношении которого было введено ограничение режима потребления, компенсации расходов на оплату действий Гарантирующего поставщика по введению ограничения режима потребления такого Муниципального заказчика (Потребителя) и возобновлению подачи электрической энергии.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0"/>
          <w:numId w:val="7"/>
        </w:numPr>
        <w:tabs>
          <w:tab w:val="left" w:pos="0" w:leader="none"/>
        </w:tabs>
        <w:spacing w:before="0" w:after="0"/>
        <w:ind w:hanging="0"/>
        <w:contextualSpacing/>
        <w:jc w:val="center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ОТВЕТСТВЕННОСТЬ СТОРОН.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Стороны несут ответственность за неисполнение или ненадлежащее исполнение обязательств по настоящему контракту в случаях и порядке, определенном законодательством РФ и настоящим контрактом, в том числе за нарушение порядка полного и (или) частичного ограничения режима потребления электрической энергии. 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Муниципальный заказчик (Потребитель) несет ответственность за необеспечение допуска представителей сетевой организации (Гарантирующего поставщика) к месту установки прибора учета.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Гарантирующий Поставщик несет ответственность за нарушение условий поставки, в том числе за надежность снабжения электрической энергией и ее качество в пределах границ балансовой принадлежности объектов электросетевого хозяйства Сетевой организации. 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Стороны несут ответственность за состояние и обслуживание объектов электросетевого хозяйства, которая определяется балансовой принадлежностью Сетевой организации и Муниципального заказчика (Потребителя) и фиксируется в документах о технологическом присоединении.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 случае несвоевременной и (или) неполной оплаты электрической энергии (мощности) Муниципальный заказчик (Потребитель) несет ответственность, предусмотренную действующим законодательством РФ.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 отсутствии Акта согласования аварийной и (или) технологической брони, когда ограничение режима потребления может привести к возникновению угрозы жизни и здоровью людей, экологической безопасности либо безопасности государства, Муниципальный заказчик (Потребитель) несет ответственность, в том числе перед третьими лицами, за последствия, вызванные применением к нему ограничения режима потребления.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Все споры и разногласия, возникающие в связи с исполнением, заключением и расторжением настоящего контракта, подлежат разрешению в Арбитражном суде Камчатского края или судах общей юрисдикции в зависимости от подсудности</w:t>
      </w:r>
      <w:r>
        <w:rPr>
          <w:rFonts w:ascii="Times New Roman" w:hAnsi="Times New Roman"/>
          <w:iCs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>Каждая из Сторон имеет право обратиться с заявлением об урегулировании разногласий, возникших при заключении, изменении настоящего контракта.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Спор, возникающий из настоящего контракта, может быть передан на разрешение Арбитражного суда после принятия Сторонами мер по досудебному урегулированию по истечении десяти календарных дней со дня направления претензии (требования)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Стороны освобождаются от всех или части взятых на себя обязательств, в случае возникновения непредвиденных и независящих от их воли обстоятельств (форс-мажорные обстоятельства).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Сторона, ссылающаяся на форс-мажорные обстоятельства, обязана незамедлительно информировать другую Сторону и Сетевую организацию о наступлении подобных обстоятельств в письменной форме. В этом случае по требованию любой из Сторон может быть создана комиссия для определения возможности (способа) дальнейшего выполнения настоящего контракта.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Надлежащим подтверждением наличия форс-мажорных обстоятельств будут служить решения (заявления) компетентных государственных органов или сообщения в официальных средствах массовой информации.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Споры между Сторонами контракта по ненадлежащему качеству электрической энергии рассматриваются с обязательным привлечением Сетевой организации, к чьим сетям присоединены энергопринимающие установки Муниципального заказчика (Потребителя).</w:t>
      </w:r>
    </w:p>
    <w:p>
      <w:pPr>
        <w:pStyle w:val="Normal"/>
        <w:tabs>
          <w:tab w:val="left" w:pos="0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ListParagraph"/>
        <w:numPr>
          <w:ilvl w:val="0"/>
          <w:numId w:val="8"/>
        </w:numPr>
        <w:tabs>
          <w:tab w:val="left" w:pos="0" w:leader="none"/>
        </w:tabs>
        <w:suppressAutoHyphens w:val="true"/>
        <w:spacing w:before="60" w:after="60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СРОК ДЕЙСТВИЯ КОНТРАКТА.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контракт вступает в силу с момента подписания, распространяет свое действие на правоотношения сторон, возникшие с _________ и действует по ___________ включительно, а в части расчетов за потребленную электрическую энергию (мощность) до полного исполнения обязательств по оплате.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если контракт заключается в отношении энергопринимающих устройств до завершения процедуры их технологического присоединения, настоящий контракт считается заключенным </w:t>
      </w:r>
      <w:r>
        <w:rPr>
          <w:rFonts w:ascii="Times New Roman" w:hAnsi="Times New Roman"/>
          <w:bCs/>
          <w:sz w:val="22"/>
          <w:szCs w:val="22"/>
        </w:rPr>
        <w:t xml:space="preserve">с даты фактической подачи сетевой организацией напряжения и мощности на объекты </w:t>
      </w:r>
      <w:r>
        <w:rPr>
          <w:rFonts w:ascii="Times New Roman" w:hAnsi="Times New Roman"/>
          <w:sz w:val="22"/>
          <w:szCs w:val="22"/>
        </w:rPr>
        <w:t>Муниципального заказчика (Потребителя)</w:t>
      </w:r>
      <w:r>
        <w:rPr>
          <w:rFonts w:ascii="Times New Roman" w:hAnsi="Times New Roman"/>
          <w:bCs/>
          <w:sz w:val="22"/>
          <w:szCs w:val="22"/>
        </w:rPr>
        <w:t>, соответствующей дате фактического присоединения, указанной в акте об осуществлении технологического присоединения.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ab/>
        <w:t>В случае, если контракт заключается в отношении энергопринимающих устройств по второй или третьей категории надежности, максимальная мощность которых составляет до 150 кВт, или физическим лицом в отношении энергопринимающих устройств, максимальная мощность которых составляет до 15 кВт включительно (с учетом ранее присоединенных в данной точке присоединения энергопринимающих устройств), которые используются для бытовых и иных нужд, не связанных с осуществлением предпринимательской деятельности и электроснабжение которых предусматривается по одному источнику - со дня составления и размещения в личном кабинете потребителя на официальном сайте сетевой организации акта об осуществлении технологического присоединения, подписанного со стороны сетевой организации.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Предложение об изменении, расторжении настоящего контракта, а также о заключении нового контракта может быть заявлено Стороной контракта не менее чем за двадцать дней до предлагаемой даты изменения, расторжения или заключения нового контракта.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Настоящий контракт может быть расторгнут Сторонами в одностороннем порядке в соответствии с действующим законодательством РФ.</w:t>
      </w:r>
    </w:p>
    <w:p>
      <w:pPr>
        <w:pStyle w:val="Style20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ListParagraph"/>
        <w:numPr>
          <w:ilvl w:val="0"/>
          <w:numId w:val="8"/>
        </w:numPr>
        <w:tabs>
          <w:tab w:val="left" w:pos="0" w:leader="none"/>
        </w:tabs>
        <w:suppressAutoHyphens w:val="true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ПРИЛОЖЕНИЯ К КОНТРАКТУ.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 № 1 </w:t>
        <w:tab/>
        <w:t>«Перечень объектов энергопотребления с указанием точек учета».</w:t>
      </w:r>
    </w:p>
    <w:p>
      <w:pPr>
        <w:pStyle w:val="Normal"/>
        <w:spacing w:before="60" w:after="60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 № 2 </w:t>
        <w:tab/>
      </w:r>
      <w:r>
        <w:rPr>
          <w:rFonts w:ascii="Times New Roman" w:hAnsi="Times New Roman"/>
          <w:b/>
          <w:iCs/>
          <w:sz w:val="22"/>
          <w:szCs w:val="22"/>
        </w:rPr>
        <w:t>«Цена контракта (в кВтч)».</w:t>
      </w:r>
      <w:r>
        <w:rPr>
          <w:rFonts w:ascii="Times New Roman" w:hAnsi="Times New Roman"/>
          <w:iCs/>
          <w:sz w:val="26"/>
          <w:szCs w:val="26"/>
        </w:rPr>
        <w:t xml:space="preserve"> 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 № 3 </w:t>
        <w:tab/>
        <w:t xml:space="preserve">«Акт об осуществлении технологического присоединения и (или) </w:t>
      </w:r>
      <w:r>
        <w:rPr>
          <w:rFonts w:ascii="Times New Roman" w:hAnsi="Times New Roman"/>
          <w:b/>
          <w:sz w:val="22"/>
          <w:szCs w:val="22"/>
        </w:rPr>
        <w:t>Акт разграничения балансовой принадлежности электросетей и эксплуатационной ответственности сторон</w:t>
      </w:r>
      <w:r>
        <w:rPr>
          <w:rFonts w:ascii="Times New Roman" w:hAnsi="Times New Roman"/>
          <w:b/>
          <w:bCs/>
          <w:sz w:val="22"/>
          <w:szCs w:val="22"/>
        </w:rPr>
        <w:t xml:space="preserve">» - </w:t>
      </w:r>
      <w:r>
        <w:rPr>
          <w:rFonts w:ascii="Times New Roman" w:hAnsi="Times New Roman"/>
          <w:bCs/>
          <w:sz w:val="22"/>
          <w:szCs w:val="22"/>
        </w:rPr>
        <w:t>оформляется (обновляется)</w:t>
      </w:r>
      <w:r>
        <w:rPr>
          <w:rFonts w:ascii="Times New Roman" w:hAnsi="Times New Roman"/>
          <w:sz w:val="22"/>
          <w:szCs w:val="22"/>
        </w:rPr>
        <w:t xml:space="preserve"> Муниципальным заказчиком</w:t>
      </w:r>
      <w:r>
        <w:rPr>
          <w:rFonts w:ascii="Times New Roman" w:hAnsi="Times New Roman"/>
          <w:bCs/>
          <w:sz w:val="22"/>
          <w:szCs w:val="22"/>
        </w:rPr>
        <w:t xml:space="preserve"> (Потребителем) в Сетевой организации.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 № 4</w:t>
        <w:tab/>
        <w:t>«</w:t>
      </w:r>
      <w:r>
        <w:rPr>
          <w:rFonts w:ascii="Times New Roman" w:hAnsi="Times New Roman"/>
          <w:b/>
          <w:sz w:val="22"/>
          <w:szCs w:val="22"/>
        </w:rPr>
        <w:t>Точки присоединения и величина максимальной мощности энергопринимающих устройств».</w:t>
      </w:r>
    </w:p>
    <w:p>
      <w:pPr>
        <w:pStyle w:val="Normal"/>
        <w:spacing w:before="60" w:after="6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 № 5</w:t>
        <w:tab/>
        <w:t>«Условия потребления и генерации реактивной электроэнергии».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 № 6</w:t>
        <w:tab/>
        <w:t xml:space="preserve">Форма «Акт согласования аварийной и технологической брони» - </w:t>
      </w:r>
      <w:r>
        <w:rPr>
          <w:rFonts w:ascii="Times New Roman" w:hAnsi="Times New Roman"/>
          <w:bCs/>
          <w:sz w:val="22"/>
          <w:szCs w:val="22"/>
        </w:rPr>
        <w:t xml:space="preserve">оформляется </w:t>
      </w:r>
      <w:r>
        <w:rPr>
          <w:rFonts w:ascii="Times New Roman" w:hAnsi="Times New Roman"/>
          <w:sz w:val="22"/>
          <w:szCs w:val="22"/>
        </w:rPr>
        <w:t>Муниципальным заказчиком (</w:t>
      </w:r>
      <w:r>
        <w:rPr>
          <w:rFonts w:ascii="Times New Roman" w:hAnsi="Times New Roman"/>
          <w:bCs/>
          <w:sz w:val="22"/>
          <w:szCs w:val="22"/>
        </w:rPr>
        <w:t>Потребителем) и согласовывается Гарантирующим поставщиком, ответственный – Отдел диспетчерского контроля тел. 29-62-10.</w:t>
      </w:r>
    </w:p>
    <w:p>
      <w:pPr>
        <w:pStyle w:val="Normal"/>
        <w:spacing w:before="60" w:after="6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</w:t>
      </w:r>
      <w:r>
        <w:rPr>
          <w:rFonts w:ascii="Times New Roman" w:hAnsi="Times New Roman"/>
          <w:b/>
          <w:bCs/>
          <w:sz w:val="22"/>
          <w:szCs w:val="22"/>
          <w:lang w:val="en-US"/>
        </w:rPr>
        <w:t> </w:t>
      </w:r>
      <w:r>
        <w:rPr>
          <w:rFonts w:ascii="Times New Roman" w:hAnsi="Times New Roman"/>
          <w:b/>
          <w:bCs/>
          <w:sz w:val="22"/>
          <w:szCs w:val="22"/>
        </w:rPr>
        <w:t>№ 7</w:t>
        <w:tab/>
        <w:t xml:space="preserve">Форма «Акт снятия показаний расчетных приборов учета» - </w:t>
      </w:r>
      <w:r>
        <w:rPr>
          <w:rFonts w:ascii="Times New Roman" w:hAnsi="Times New Roman"/>
          <w:bCs/>
          <w:sz w:val="22"/>
          <w:szCs w:val="22"/>
        </w:rPr>
        <w:t xml:space="preserve">заполняется </w:t>
      </w:r>
      <w:r>
        <w:rPr>
          <w:rFonts w:ascii="Times New Roman" w:hAnsi="Times New Roman"/>
          <w:sz w:val="22"/>
          <w:szCs w:val="22"/>
        </w:rPr>
        <w:t>Муниципальным заказчиком (</w:t>
      </w:r>
      <w:r>
        <w:rPr>
          <w:rFonts w:ascii="Times New Roman" w:hAnsi="Times New Roman"/>
          <w:bCs/>
          <w:sz w:val="22"/>
          <w:szCs w:val="22"/>
        </w:rPr>
        <w:t>Потребителем) и предоставляется Гарантирующему поставщику ежемесячно.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</w:t>
      </w:r>
      <w:r>
        <w:rPr>
          <w:rFonts w:ascii="Times New Roman" w:hAnsi="Times New Roman"/>
          <w:b/>
          <w:bCs/>
          <w:sz w:val="22"/>
          <w:szCs w:val="22"/>
          <w:lang w:val="en-US"/>
        </w:rPr>
        <w:t> </w:t>
      </w:r>
      <w:r>
        <w:rPr>
          <w:rFonts w:ascii="Times New Roman" w:hAnsi="Times New Roman"/>
          <w:b/>
          <w:bCs/>
          <w:sz w:val="22"/>
          <w:szCs w:val="22"/>
        </w:rPr>
        <w:t>№ 8</w:t>
        <w:tab/>
        <w:t xml:space="preserve">Форма «Акт выполненных работ (приема-передачи электрической энергии)» - </w:t>
      </w:r>
      <w:r>
        <w:rPr>
          <w:rFonts w:ascii="Times New Roman" w:hAnsi="Times New Roman"/>
          <w:bCs/>
          <w:sz w:val="22"/>
          <w:szCs w:val="22"/>
        </w:rPr>
        <w:t xml:space="preserve">ежемесячно оформляется Гарантирующим поставщиком и направляется </w:t>
      </w:r>
      <w:r>
        <w:rPr>
          <w:rFonts w:ascii="Times New Roman" w:hAnsi="Times New Roman"/>
          <w:sz w:val="22"/>
          <w:szCs w:val="22"/>
        </w:rPr>
        <w:t>Муниципальному заказчику (</w:t>
      </w:r>
      <w:r>
        <w:rPr>
          <w:rFonts w:ascii="Times New Roman" w:hAnsi="Times New Roman"/>
          <w:bCs/>
          <w:sz w:val="22"/>
          <w:szCs w:val="22"/>
        </w:rPr>
        <w:t>Потребителю).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 № 9</w:t>
        <w:tab/>
        <w:t>«</w:t>
      </w:r>
      <w:r>
        <w:rPr>
          <w:rFonts w:ascii="Times New Roman" w:hAnsi="Times New Roman"/>
          <w:b/>
          <w:sz w:val="22"/>
          <w:szCs w:val="22"/>
        </w:rPr>
        <w:t>Список ответственных лиц и иная контактная информация</w:t>
      </w:r>
      <w:r>
        <w:rPr>
          <w:rFonts w:ascii="Times New Roman" w:hAnsi="Times New Roman"/>
          <w:b/>
          <w:bCs/>
          <w:sz w:val="22"/>
          <w:szCs w:val="22"/>
        </w:rPr>
        <w:t xml:space="preserve">» - </w:t>
      </w:r>
      <w:r>
        <w:rPr>
          <w:rFonts w:ascii="Times New Roman" w:hAnsi="Times New Roman"/>
          <w:bCs/>
          <w:sz w:val="22"/>
          <w:szCs w:val="22"/>
        </w:rPr>
        <w:t xml:space="preserve">заполняется (обновляется) </w:t>
      </w:r>
      <w:r>
        <w:rPr>
          <w:rFonts w:ascii="Times New Roman" w:hAnsi="Times New Roman"/>
          <w:sz w:val="22"/>
          <w:szCs w:val="22"/>
        </w:rPr>
        <w:t>Муниципальным заказчиком (</w:t>
      </w:r>
      <w:r>
        <w:rPr>
          <w:rFonts w:ascii="Times New Roman" w:hAnsi="Times New Roman"/>
          <w:bCs/>
          <w:sz w:val="22"/>
          <w:szCs w:val="22"/>
        </w:rPr>
        <w:t>Потребителем) и направляется Гарантирующему поставщику вместе с подписанным контрактом.</w:t>
      </w:r>
    </w:p>
    <w:p>
      <w:pPr>
        <w:pStyle w:val="Style20"/>
        <w:spacing w:lineRule="auto" w:line="240"/>
        <w:rPr>
          <w:rFonts w:ascii="Times New Roman" w:hAnsi="Times New Roman"/>
          <w:b/>
          <w:b/>
          <w:bCs/>
          <w:iCs/>
        </w:rPr>
      </w:pPr>
      <w:r>
        <w:rPr>
          <w:rFonts w:ascii="Times New Roman" w:hAnsi="Times New Roman"/>
          <w:b/>
          <w:bCs/>
          <w:iCs/>
        </w:rPr>
      </w:r>
    </w:p>
    <w:p>
      <w:pPr>
        <w:pStyle w:val="Style20"/>
        <w:numPr>
          <w:ilvl w:val="0"/>
          <w:numId w:val="8"/>
        </w:numPr>
        <w:spacing w:lineRule="auto" w:line="240"/>
        <w:jc w:val="center"/>
        <w:rPr>
          <w:rFonts w:ascii="Times New Roman" w:hAnsi="Times New Roman"/>
          <w:b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РЕКВИЗИТЫ СТОРОН ПО МУНИЦИПАЛЬНОМУ КОНТРАКТУ ЭНЕРГОСНАБЖЕНИЯ</w:t>
      </w:r>
    </w:p>
    <w:p>
      <w:pPr>
        <w:pStyle w:val="Style20"/>
        <w:spacing w:lineRule="auto" w:line="240"/>
        <w:ind w:left="360" w:hanging="0"/>
        <w:jc w:val="center"/>
        <w:rPr>
          <w:rFonts w:ascii="Times New Roman" w:hAnsi="Times New Roman"/>
          <w:b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№ 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__________ </w:t>
      </w:r>
      <w:r>
        <w:rPr>
          <w:rFonts w:ascii="Times New Roman" w:hAnsi="Times New Roman"/>
          <w:b/>
          <w:iCs/>
          <w:sz w:val="22"/>
          <w:szCs w:val="22"/>
        </w:rPr>
        <w:t>от «   » __________ 20____ г.</w:t>
      </w:r>
    </w:p>
    <w:tbl>
      <w:tblPr>
        <w:tblW w:w="992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961"/>
        <w:gridCol w:w="4961"/>
      </w:tblGrid>
      <w:tr>
        <w:trPr>
          <w:trHeight w:val="841" w:hRule="atLeast"/>
        </w:trPr>
        <w:tc>
          <w:tcPr>
            <w:tcW w:w="4961" w:type="dxa"/>
            <w:tcBorders/>
            <w:shd w:fill="auto" w:val="clear"/>
          </w:tcPr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</w:r>
          </w:p>
          <w:p>
            <w:pPr>
              <w:pStyle w:val="Normal"/>
              <w:spacing w:lineRule="auto" w:line="240"/>
              <w:ind w:right="255" w:hanging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Гарантирующий поставщик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</w:r>
          </w:p>
          <w:p>
            <w:pPr>
              <w:pStyle w:val="Style20"/>
              <w:spacing w:lineRule="auto" w:line="240"/>
              <w:ind w:right="310" w:hanging="0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Публичное акционерное общество энергетики и электрификации «Камчатскэнерго»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683000, Камчатский край,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г. Петропавловск-Камчатский,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ул. Набережная, д. 10 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ИНН 4100000668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КПП 410101001 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КПП 775050001 поставлено на учет в качестве крупнейшего налогоплательщика с 08.02.2019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Код ОКТМО 30701000001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ОКПО 00106106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дата постановки на учет в ИФНС: 18.01.1994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ОО «Дальневосточный» в ФИЛИАЛ «ХАБАРОВСКИЙ»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АО «АЛЬФА-БАНК»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Р/счет  40702810020020005559</w:t>
              <w:tab/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К/счет  30101810800000000770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БИК  040813770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E-mail: </w:t>
            </w:r>
            <w:r>
              <w:rPr>
                <w:rStyle w:val="Style10"/>
                <w:rFonts w:ascii="Times New Roman" w:hAnsi="Times New Roman"/>
                <w:sz w:val="22"/>
                <w:szCs w:val="22"/>
              </w:rPr>
              <w:t>kamenergo@rushydro.ru</w:t>
            </w:r>
          </w:p>
          <w:p>
            <w:pPr>
              <w:pStyle w:val="Style20"/>
              <w:spacing w:lineRule="auto" w:line="240"/>
              <w:ind w:right="310" w:hanging="0"/>
              <w:jc w:val="left"/>
              <w:rPr/>
            </w:pPr>
            <w:bookmarkStart w:id="0" w:name="__DdeLink__1218_587274678"/>
            <w:r>
              <w:rPr>
                <w:rStyle w:val="Style10"/>
                <w:rFonts w:ascii="Times New Roman" w:hAnsi="Times New Roman"/>
                <w:b/>
                <w:iCs/>
                <w:color w:val="000000"/>
                <w:sz w:val="22"/>
                <w:szCs w:val="22"/>
              </w:rPr>
              <w:t xml:space="preserve">Официальный сайт ПАО «Камчатскэнерго»: </w:t>
            </w:r>
            <w:hyperlink r:id="rId4">
              <w:bookmarkEnd w:id="0"/>
              <w:r>
                <w:rPr>
                  <w:rStyle w:val="Style10"/>
                  <w:rFonts w:ascii="Times New Roman" w:hAnsi="Times New Roman"/>
                  <w:b/>
                  <w:iCs/>
                  <w:sz w:val="22"/>
                  <w:szCs w:val="22"/>
                </w:rPr>
                <w:t>www.kamenergo.ru</w:t>
              </w:r>
            </w:hyperlink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</w:r>
          </w:p>
        </w:tc>
        <w:tc>
          <w:tcPr>
            <w:tcW w:w="4961" w:type="dxa"/>
            <w:tcBorders/>
            <w:shd w:fill="auto" w:val="clear"/>
          </w:tcPr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 xml:space="preserve"> 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Cs w:val="24"/>
              </w:rPr>
            </w:pPr>
            <w:r>
              <w:rPr>
                <w:rFonts w:ascii="Times New Roman" w:hAnsi="Times New Roman"/>
                <w:b/>
                <w:iCs/>
                <w:szCs w:val="24"/>
              </w:rPr>
              <w:t>Потребитель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/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Адрес _________________________________________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Телефон 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Факс __________________________________________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Адрес электронной почты 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ИНН/КПП _____________________/________________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ОКВЭД ________________________________________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ОГРН _________________________________________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Банк __________________________________________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Р/счет _________________________________________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БИК ___________________________________________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Режим налогообложения 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w="4961" w:type="dxa"/>
            <w:tcBorders/>
            <w:shd w:fill="auto" w:val="clear"/>
          </w:tcPr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__________________ </w:t>
            </w:r>
            <w:r>
              <w:rPr>
                <w:rFonts w:ascii="Times New Roman" w:hAnsi="Times New Roman"/>
                <w:b/>
                <w:iCs/>
                <w:sz w:val="20"/>
              </w:rPr>
              <w:t>_______________</w:t>
            </w:r>
            <w:r>
              <w:rPr>
                <w:rFonts w:ascii="Times New Roman" w:hAnsi="Times New Roman"/>
                <w:iCs/>
                <w:sz w:val="20"/>
              </w:rPr>
              <w:t xml:space="preserve"> 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              </w:t>
            </w:r>
            <w:r>
              <w:rPr>
                <w:rFonts w:ascii="Times New Roman" w:hAnsi="Times New Roman"/>
                <w:iCs/>
                <w:sz w:val="20"/>
              </w:rPr>
              <w:t>м.п.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  <w:lang w:val="en-US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>«___»______________</w:t>
            </w:r>
            <w:r>
              <w:rPr>
                <w:rFonts w:ascii="Times New Roman" w:hAnsi="Times New Roman"/>
                <w:bCs/>
                <w:iCs/>
                <w:sz w:val="20"/>
                <w:lang w:val="en-US"/>
              </w:rPr>
              <w:t>______________</w:t>
            </w:r>
          </w:p>
        </w:tc>
        <w:tc>
          <w:tcPr>
            <w:tcW w:w="4961" w:type="dxa"/>
            <w:tcBorders/>
            <w:shd w:fill="auto" w:val="clear"/>
          </w:tcPr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_________________ </w:t>
            </w:r>
            <w:r>
              <w:rPr>
                <w:rFonts w:ascii="Times New Roman" w:hAnsi="Times New Roman"/>
                <w:b/>
                <w:bCs/>
                <w:iCs/>
                <w:color w:val="0000FF"/>
                <w:sz w:val="20"/>
              </w:rPr>
              <w:t>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Cs/>
                <w:iCs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              </w:t>
            </w:r>
            <w:r>
              <w:rPr>
                <w:rFonts w:ascii="Times New Roman" w:hAnsi="Times New Roman"/>
                <w:bCs/>
                <w:iCs/>
                <w:sz w:val="20"/>
              </w:rPr>
              <w:t>м.п.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Cs/>
                <w:iCs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>«___»_________________________________</w:t>
            </w:r>
          </w:p>
        </w:tc>
      </w:tr>
    </w:tbl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iCs/>
          <w:color w:val="0000FF"/>
        </w:rPr>
      </w:pPr>
      <w:r>
        <w:rPr>
          <w:rFonts w:ascii="Times New Roman" w:hAnsi="Times New Roman"/>
          <w:iCs/>
          <w:color w:val="0000FF"/>
        </w:rPr>
      </w:r>
      <w:r>
        <w:br w:type="page"/>
      </w:r>
    </w:p>
    <w:p>
      <w:pPr>
        <w:pStyle w:val="Normal"/>
        <w:jc w:val="right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Приложение № 5</w:t>
      </w:r>
    </w:p>
    <w:p>
      <w:pPr>
        <w:pStyle w:val="Normal"/>
        <w:ind w:left="9072" w:hanging="907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муниципальному контракту энергоснабжения </w:t>
      </w:r>
    </w:p>
    <w:p>
      <w:pPr>
        <w:pStyle w:val="Normal"/>
        <w:jc w:val="right"/>
        <w:rPr>
          <w:rFonts w:ascii="Times New Roman" w:hAnsi="Times New Roman"/>
          <w:b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2"/>
          <w:szCs w:val="22"/>
        </w:rPr>
        <w:t>№ </w:t>
      </w:r>
      <w:r>
        <w:rPr>
          <w:rFonts w:ascii="Times New Roman" w:hAnsi="Times New Roman"/>
          <w:b/>
          <w:bCs/>
          <w:color w:val="0000FF"/>
          <w:sz w:val="22"/>
          <w:szCs w:val="22"/>
        </w:rPr>
        <w:t xml:space="preserve">___________ от </w:t>
      </w:r>
      <w:r>
        <w:rPr>
          <w:rFonts w:ascii="Times New Roman" w:hAnsi="Times New Roman"/>
          <w:b/>
          <w:color w:val="3107A9"/>
          <w:sz w:val="22"/>
          <w:szCs w:val="22"/>
        </w:rPr>
        <w:t>____________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Условия потребления и генерации реактивной электроэнергии</w:t>
      </w:r>
    </w:p>
    <w:p>
      <w:pPr>
        <w:pStyle w:val="Normal"/>
        <w:numPr>
          <w:ilvl w:val="0"/>
          <w:numId w:val="5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Установленная мощность компенсирующих устройств (КУ):</w:t>
      </w:r>
    </w:p>
    <w:p>
      <w:pPr>
        <w:pStyle w:val="Normal"/>
        <w:ind w:left="36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56" w:type="dxa"/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36"/>
        <w:gridCol w:w="4708"/>
        <w:gridCol w:w="1419"/>
        <w:gridCol w:w="1341"/>
        <w:gridCol w:w="1352"/>
      </w:tblGrid>
      <w:tr>
        <w:trPr>
          <w:trHeight w:val="486" w:hRule="atLeast"/>
          <w:cantSplit w:val="true"/>
        </w:trPr>
        <w:tc>
          <w:tcPr>
            <w:tcW w:w="5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№ </w:t>
            </w:r>
          </w:p>
        </w:tc>
        <w:tc>
          <w:tcPr>
            <w:tcW w:w="47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Тип компенсирующих устройств</w:t>
            </w:r>
          </w:p>
        </w:tc>
        <w:tc>
          <w:tcPr>
            <w:tcW w:w="27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Номинальное напряжение</w:t>
            </w:r>
          </w:p>
        </w:tc>
        <w:tc>
          <w:tcPr>
            <w:tcW w:w="13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Итого</w:t>
            </w:r>
          </w:p>
        </w:tc>
      </w:tr>
      <w:tr>
        <w:trPr>
          <w:trHeight w:val="243" w:hRule="atLeast"/>
        </w:trPr>
        <w:tc>
          <w:tcPr>
            <w:tcW w:w="53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До1000 В</w:t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Свыше 1000 В</w:t>
            </w:r>
          </w:p>
        </w:tc>
        <w:tc>
          <w:tcPr>
            <w:tcW w:w="13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43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Конденсаторные установки, квар, в том числе: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43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регулируемые автоматически, квар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43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регулируемые вручную, квар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59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Синхронные двигатели (СД) и компенсаторы (СК), кВт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</w:tbl>
    <w:p>
      <w:pPr>
        <w:pStyle w:val="Normal"/>
        <w:spacing w:before="40" w:after="4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 xml:space="preserve">Примечание: </w:t>
      </w:r>
    </w:p>
    <w:p>
      <w:pPr>
        <w:pStyle w:val="Normal"/>
        <w:tabs>
          <w:tab w:val="center" w:pos="4153" w:leader="none"/>
          <w:tab w:val="right" w:pos="8306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Муниципальный заказчик (Потребитель) согласовывает установку компенсирующих устройств с Сетевой организацией, сведения об установке и демонтаже компенсирующих устройств предоставляет в адрес Гарантирующего поставщика.</w:t>
      </w:r>
    </w:p>
    <w:p>
      <w:pPr>
        <w:pStyle w:val="Normal"/>
        <w:numPr>
          <w:ilvl w:val="0"/>
          <w:numId w:val="5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отклонений Муниципальным заказчиком</w:t>
      </w:r>
      <w:r>
        <w:rPr>
          <w:rFonts w:ascii="Times New Roman" w:hAnsi="Times New Roman"/>
          <w:sz w:val="22"/>
          <w:szCs w:val="22"/>
        </w:rPr>
        <w:t xml:space="preserve"> (</w:t>
      </w:r>
      <w:r>
        <w:rPr>
          <w:rFonts w:ascii="Times New Roman" w:hAnsi="Times New Roman"/>
        </w:rPr>
        <w:t>Потребителем) услуг от установленных контрактом значений соотношения потребления активной и реактивной мощности в часы максимальной и минимальной нагрузок Муниципальный заказчик (Потребитель) в соответствии с «Правилами недискриминационного доступа к услугам по передаче электрической энергии и оказания этих услуг», утвержденных постановлением Правительства РФ от 27.12.2004 №  861, оплачивает потребление (генерацию) реактивной электроэнергии с учетом коэффициента к тарифу на активную электроэнергию.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56" w:type="dxa"/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276"/>
        <w:gridCol w:w="2125"/>
        <w:gridCol w:w="1985"/>
        <w:gridCol w:w="1"/>
        <w:gridCol w:w="1983"/>
        <w:gridCol w:w="1"/>
        <w:gridCol w:w="1985"/>
      </w:tblGrid>
      <w:tr>
        <w:trPr>
          <w:trHeight w:val="848" w:hRule="atLeast"/>
        </w:trPr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Расчетный период</w:t>
            </w:r>
          </w:p>
        </w:tc>
        <w:tc>
          <w:tcPr>
            <w:tcW w:w="41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Технические пределы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Коэффициент к тарифу за Потребление реактивной энергии</w:t>
            </w:r>
          </w:p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Коэффициент к тарифу за генерацию реактивной энергии</w:t>
            </w:r>
          </w:p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50" w:hRule="atLeast"/>
        </w:trPr>
        <w:tc>
          <w:tcPr>
            <w:tcW w:w="12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Потребления</w:t>
            </w:r>
          </w:p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  <w:lang w:val="en-US"/>
              </w:rPr>
              <w:t>tg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>φ</w:t>
            </w:r>
            <w:r>
              <w:rPr>
                <w:rFonts w:ascii="Times New Roman" w:hAnsi="Times New Roman"/>
                <w:b/>
              </w:rPr>
              <w:t xml:space="preserve"> в период максимальной нагрузки)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Генерации</w:t>
            </w:r>
          </w:p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  <w:lang w:val="en-US"/>
              </w:rPr>
              <w:t>tg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>φ</w:t>
            </w:r>
            <w:r>
              <w:rPr>
                <w:rFonts w:ascii="Times New Roman" w:hAnsi="Times New Roman"/>
                <w:b/>
              </w:rPr>
              <w:t xml:space="preserve"> в период минимальной нагрузки)</w:t>
            </w:r>
          </w:p>
        </w:tc>
        <w:tc>
          <w:tcPr>
            <w:tcW w:w="1984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bottom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86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bottom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50" w:hRule="atLeast"/>
        </w:trPr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9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0,08</w:t>
            </w:r>
          </w:p>
        </w:tc>
        <w:tc>
          <w:tcPr>
            <w:tcW w:w="19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0,12</w:t>
            </w:r>
          </w:p>
        </w:tc>
      </w:tr>
    </w:tbl>
    <w:p>
      <w:pPr>
        <w:pStyle w:val="Normal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 xml:space="preserve">Примечание: </w:t>
      </w:r>
    </w:p>
    <w:p>
      <w:pPr>
        <w:pStyle w:val="Normal"/>
        <w:numPr>
          <w:ilvl w:val="0"/>
          <w:numId w:val="6"/>
        </w:numPr>
        <w:tabs>
          <w:tab w:val="left" w:pos="0" w:leader="none"/>
        </w:tabs>
        <w:spacing w:before="40" w:after="40"/>
        <w:ind w:left="0" w:hanging="0"/>
        <w:jc w:val="both"/>
        <w:rPr>
          <w:rFonts w:ascii="Times New Roman" w:hAnsi="Times New Roman"/>
          <w:vertAlign w:val="subscript"/>
        </w:rPr>
      </w:pPr>
      <w:r>
        <w:rPr>
          <w:rFonts w:ascii="Times New Roman" w:hAnsi="Times New Roman"/>
        </w:rPr>
        <w:t xml:space="preserve">Потребление реактивной энергии за расчетный период определяется по приборам учета электроэнергии, при отсутствии прибора учета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vertAlign w:val="subscript"/>
          <w:lang w:val="en-US"/>
        </w:rPr>
        <w:t>Q</w:t>
      </w:r>
      <w:r>
        <w:rPr>
          <w:rFonts w:ascii="Times New Roman" w:hAnsi="Times New Roman"/>
          <w:vertAlign w:val="subscript"/>
        </w:rPr>
        <w:t xml:space="preserve"> потр. = </w:t>
      </w:r>
      <w:r>
        <w:rPr>
          <w:rFonts w:ascii="Times New Roman" w:hAnsi="Times New Roman"/>
          <w:lang w:val="en-US"/>
        </w:rPr>
        <w:t>tg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φ</w:t>
      </w:r>
      <w:r>
        <w:rPr>
          <w:rFonts w:ascii="Times New Roman" w:hAnsi="Times New Roman"/>
          <w:vertAlign w:val="subscript"/>
        </w:rPr>
        <w:t xml:space="preserve">*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vertAlign w:val="subscript"/>
        </w:rPr>
        <w:t>А</w:t>
      </w:r>
      <w:r>
        <w:rPr>
          <w:rFonts w:ascii="Times New Roman" w:hAnsi="Times New Roman"/>
        </w:rPr>
        <w:t xml:space="preserve">; генерация реактивной энергии определяется по приборам учета, при отсутствии прибора учета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vertAlign w:val="subscript"/>
          <w:lang w:val="en-US"/>
        </w:rPr>
        <w:t>Q</w:t>
      </w:r>
      <w:r>
        <w:rPr>
          <w:rFonts w:ascii="Times New Roman" w:hAnsi="Times New Roman"/>
          <w:vertAlign w:val="subscript"/>
        </w:rPr>
        <w:t xml:space="preserve"> генер. = </w:t>
      </w:r>
      <w:r>
        <w:rPr>
          <w:rFonts w:ascii="Times New Roman" w:hAnsi="Times New Roman"/>
          <w:lang w:val="en-US"/>
        </w:rPr>
        <w:t>Q</w:t>
      </w:r>
      <w:r>
        <w:rPr>
          <w:rFonts w:ascii="Times New Roman" w:hAnsi="Times New Roman"/>
          <w:vertAlign w:val="subscript"/>
        </w:rPr>
        <w:t xml:space="preserve">К * </w:t>
      </w:r>
      <w:r>
        <w:rPr>
          <w:rFonts w:ascii="Times New Roman" w:hAnsi="Times New Roman"/>
          <w:lang w:val="en-US"/>
        </w:rPr>
        <w:t>T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  <w:lang w:val="en-US"/>
        </w:rPr>
        <w:t>tg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φ</w:t>
      </w:r>
      <w:r>
        <w:rPr>
          <w:rFonts w:ascii="Times New Roman" w:hAnsi="Times New Roman"/>
          <w:vertAlign w:val="subscript"/>
        </w:rPr>
        <w:t xml:space="preserve">*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vertAlign w:val="subscript"/>
        </w:rPr>
        <w:t>А,</w:t>
      </w:r>
    </w:p>
    <w:p>
      <w:pPr>
        <w:pStyle w:val="Normal"/>
        <w:tabs>
          <w:tab w:val="left" w:pos="0" w:leader="none"/>
        </w:tabs>
        <w:spacing w:before="40" w:after="40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где: </w:t>
      </w:r>
      <w:r>
        <w:rPr>
          <w:rFonts w:ascii="Times New Roman" w:hAnsi="Times New Roman"/>
          <w:lang w:val="en-US"/>
        </w:rPr>
        <w:t>Q</w:t>
      </w:r>
      <w:r>
        <w:rPr>
          <w:rFonts w:ascii="Times New Roman" w:hAnsi="Times New Roman"/>
          <w:vertAlign w:val="subscript"/>
        </w:rPr>
        <w:t xml:space="preserve">К-  </w:t>
      </w:r>
      <w:r>
        <w:rPr>
          <w:rFonts w:ascii="Times New Roman" w:hAnsi="Times New Roman"/>
        </w:rPr>
        <w:t>мощность компенсирующего устройства</w:t>
      </w:r>
      <w:r>
        <w:rPr>
          <w:rFonts w:ascii="Times New Roman" w:hAnsi="Times New Roman"/>
          <w:vertAlign w:val="subscript"/>
        </w:rPr>
        <w:t xml:space="preserve">, </w:t>
      </w:r>
      <w:r>
        <w:rPr>
          <w:rFonts w:ascii="Times New Roman" w:hAnsi="Times New Roman"/>
        </w:rPr>
        <w:t xml:space="preserve">Т- период времени, </w:t>
      </w:r>
      <w:r>
        <w:rPr>
          <w:rFonts w:ascii="Times New Roman" w:hAnsi="Times New Roman"/>
          <w:lang w:val="en-US"/>
        </w:rPr>
        <w:t>tg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φ</w:t>
      </w:r>
      <w:r>
        <w:rPr>
          <w:rFonts w:ascii="Times New Roman" w:hAnsi="Times New Roman"/>
        </w:rPr>
        <w:t xml:space="preserve"> – коэффициент мощности,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vertAlign w:val="subscript"/>
        </w:rPr>
        <w:t xml:space="preserve">А-  </w:t>
      </w:r>
      <w:r>
        <w:rPr>
          <w:rFonts w:ascii="Times New Roman" w:hAnsi="Times New Roman"/>
        </w:rPr>
        <w:t>Потребление активной энергии за расчетный период времени.</w:t>
      </w:r>
    </w:p>
    <w:p>
      <w:pPr>
        <w:pStyle w:val="Normal"/>
        <w:numPr>
          <w:ilvl w:val="0"/>
          <w:numId w:val="6"/>
        </w:numPr>
        <w:tabs>
          <w:tab w:val="left" w:pos="0" w:leader="none"/>
        </w:tabs>
        <w:spacing w:before="40" w:after="40"/>
        <w:ind w:left="0" w:hanging="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</w:rPr>
        <w:t xml:space="preserve">При отсутствии прибора учета реактивной энергии, имеющего нормированные метрологические характеристики, воспроизводящие и хранящие величину, размер которой принимается неизменным в течение определенного интервала времени (максимальных, минимальных нагрузок), отклонение выявляется на основании результата замеров мощности. </w:t>
      </w:r>
    </w:p>
    <w:p>
      <w:pPr>
        <w:pStyle w:val="Normal"/>
        <w:numPr>
          <w:ilvl w:val="0"/>
          <w:numId w:val="6"/>
        </w:numPr>
        <w:tabs>
          <w:tab w:val="left" w:pos="0" w:leader="none"/>
        </w:tabs>
        <w:spacing w:before="40" w:after="40"/>
        <w:ind w:lef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Замеры мощности выполняются на границе раздела балансовой принадлежности электросетей или по согласованию с Гарантирующим поставщиком в энергопринимающем устройстве </w:t>
      </w:r>
      <w:r>
        <w:rPr>
          <w:rFonts w:ascii="Times New Roman" w:hAnsi="Times New Roman"/>
          <w:sz w:val="22"/>
          <w:szCs w:val="22"/>
        </w:rPr>
        <w:t>Муниципального заказчика (</w:t>
      </w:r>
      <w:r>
        <w:rPr>
          <w:rFonts w:ascii="Times New Roman" w:hAnsi="Times New Roman"/>
        </w:rPr>
        <w:t>Потребителя).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margin">
                  <wp:posOffset>-68580</wp:posOffset>
                </wp:positionH>
                <wp:positionV relativeFrom="paragraph">
                  <wp:posOffset>186055</wp:posOffset>
                </wp:positionV>
                <wp:extent cx="6132830" cy="642620"/>
                <wp:effectExtent l="0" t="0" r="0" b="0"/>
                <wp:wrapSquare wrapText="bothSides"/>
                <wp:docPr id="2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2830" cy="64262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0" w:tblpY="293" w:topFromText="0" w:vertAnchor="text"/>
                              <w:tblW w:w="9658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4829"/>
                              <w:gridCol w:w="4828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jc w:val="both"/>
                                    <w:outlineLvl w:val="1"/>
                                    <w:rPr/>
                                  </w:pP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Муниципальный заказчик 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2"/>
                                      <w:szCs w:val="22"/>
                                      <w:lang w:val="en-US"/>
                                    </w:rPr>
                                    <w:t>Потребитель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___________________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sz w:val="22"/>
                                      <w:szCs w:val="22"/>
                                    </w:rPr>
                                    <w:t xml:space="preserve"> ________________</w:t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  <w:t>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2"/>
                                      <w:szCs w:val="22"/>
                                    </w:rPr>
                                    <w:t>_________________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482.9pt;height:50.6pt;mso-wrap-distance-left:9pt;mso-wrap-distance-right:9pt;mso-wrap-distance-top:0pt;mso-wrap-distance-bottom:0pt;margin-top:14.65pt;mso-position-vertical-relative:text;margin-left:-5.4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0" w:tblpY="293" w:topFromText="0" w:vertAnchor="text"/>
                        <w:tblW w:w="9658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4829"/>
                        <w:gridCol w:w="4828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jc w:val="both"/>
                              <w:outlineLvl w:val="1"/>
                              <w:rPr/>
                            </w:pP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Муниципальный заказчик 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>Потребитель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___________________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 ________________</w:t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_________________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   </w:t>
      </w:r>
      <w:r>
        <w:rPr>
          <w:rFonts w:ascii="Times New Roman" w:hAnsi="Times New Roman"/>
          <w:b/>
        </w:rPr>
        <w:t>м.п.                                                                                         м.п.</w:t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sectPr>
          <w:footerReference w:type="default" r:id="rId5"/>
          <w:type w:val="nextPage"/>
          <w:pgSz w:w="11906" w:h="16838"/>
          <w:pgMar w:left="1134" w:right="566" w:header="0" w:top="568" w:footer="431" w:bottom="851" w:gutter="0"/>
          <w:pgNumType w:fmt="decimal"/>
          <w:formProt w:val="false"/>
          <w:textDirection w:val="lrTb"/>
          <w:docGrid w:type="default" w:linePitch="240" w:charSpace="2047"/>
        </w:sect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Приложение № 6</w:t>
      </w:r>
    </w:p>
    <w:p>
      <w:pPr>
        <w:pStyle w:val="Normal"/>
        <w:ind w:left="9072" w:hanging="907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муниципальному контракту энергоснабжения </w:t>
      </w:r>
    </w:p>
    <w:p>
      <w:pPr>
        <w:pStyle w:val="Normal"/>
        <w:jc w:val="right"/>
        <w:rPr>
          <w:rFonts w:ascii="Times New Roman" w:hAnsi="Times New Roman"/>
          <w:b/>
          <w:b/>
          <w:color w:val="3107A9"/>
          <w:sz w:val="22"/>
          <w:szCs w:val="22"/>
        </w:rPr>
      </w:pPr>
      <w:r>
        <w:rPr>
          <w:rFonts w:ascii="Times New Roman" w:hAnsi="Times New Roman"/>
          <w:b/>
          <w:bCs/>
          <w:color w:val="0000FF"/>
          <w:sz w:val="22"/>
          <w:szCs w:val="22"/>
        </w:rPr>
        <w:t>№ </w:t>
      </w:r>
      <w:r>
        <w:rPr>
          <w:rFonts w:ascii="Times New Roman" w:hAnsi="Times New Roman"/>
          <w:b/>
          <w:bCs/>
          <w:color w:val="0000FF"/>
          <w:sz w:val="22"/>
          <w:szCs w:val="22"/>
        </w:rPr>
        <w:t xml:space="preserve">_____________ от </w:t>
      </w:r>
      <w:r>
        <w:rPr>
          <w:rFonts w:ascii="Times New Roman" w:hAnsi="Times New Roman"/>
          <w:b/>
          <w:color w:val="3107A9"/>
          <w:sz w:val="22"/>
          <w:szCs w:val="22"/>
        </w:rPr>
        <w:t>_____________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«Акт согласования технологической и (или) аварийной брони электроснабжения</w:t>
      </w:r>
    </w:p>
    <w:p>
      <w:pPr>
        <w:pStyle w:val="Normal"/>
        <w:tabs>
          <w:tab w:val="left" w:pos="9180" w:leader="none"/>
          <w:tab w:val="left" w:pos="9540" w:leader="none"/>
        </w:tabs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заказчика (Потребителя) электрической энергии (мощности)»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20" w:after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Раздел I. ОБЩИЕ СВЕДЕНИЯ</w:t>
      </w:r>
    </w:p>
    <w:tbl>
      <w:tblPr>
        <w:tblW w:w="15309" w:type="dxa"/>
        <w:jc w:val="left"/>
        <w:tblInd w:w="70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top w:w="0" w:type="dxa"/>
          <w:left w:w="62" w:type="dxa"/>
          <w:bottom w:w="0" w:type="dxa"/>
          <w:right w:w="70" w:type="dxa"/>
        </w:tblCellMar>
        <w:tblLook w:val="0000" w:noVBand="0" w:noHBand="0" w:lastColumn="0" w:firstColumn="0" w:lastRow="0" w:firstRow="0"/>
      </w:tblPr>
      <w:tblGrid>
        <w:gridCol w:w="708"/>
        <w:gridCol w:w="6690"/>
        <w:gridCol w:w="7911"/>
      </w:tblGrid>
      <w:tr>
        <w:trPr>
          <w:trHeight w:val="271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1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Наименование и местонахождение организации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71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Перечень энергопринимающих устройств, подключенных к токоприемникам технологической брони, с указанием адресов места расположения соответствующих энергопринимающих устройств и наименованием питающих их линий электропередачи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48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Перечень энергопринимающих устройств, подключенных к токоприемникам аварийной брони, с указанием адресов места расположения соответствующих энергопринимающих устройств и наименованием питающих их линий электропередачи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>
              <w:rPr>
                <w:rFonts w:ascii="Times New Roman" w:hAnsi="Times New Roman"/>
                <w:sz w:val="23"/>
                <w:szCs w:val="23"/>
                <w:highlight w:val="yellow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4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Номер и дата заключения Муниципального контракта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Контактная информация (фамилия, имя, отчество и телефон):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руководителя организации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156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технического руководителя (главного инженера) организации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ответственного за электрохозяйство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дежурного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134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дежурного по подстанции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6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Сменность работы потребителя (фактическая)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7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Нагрузка, тыс. кВт:      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 замеру в зимний период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 замеру в летний период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8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45" w:hanging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Суточное электропотребление, тыс. кВт.ч: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 замеру в зимний период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 замеру в летний период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36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9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Потребление электрической энергии (мощности) в нерабочие (праздничные) дни, тыс. кВт.ч: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 зимний период          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 летний период          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10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Величина аварийной брони электроснабжения, тыс. кВт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 зимний период          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 летний период          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48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10.1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Нагрузка токоприемников, имеющих аварийную бронь, не участвующую в работе потребителя в нормальном  режиме, тыс. кВт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308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11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Нагрузка токоприемников, имеющих технологическую бронь электроснабжения, тыс. кВт: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12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Наличие средств дистанционного управления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 </w:t>
            </w:r>
          </w:p>
        </w:tc>
      </w:tr>
    </w:tbl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Раздел II. ТЕХНИЧЕСКИЕ ХАРАКТЕРИСТИКИ ЭЛЕКТРОСНАБЖЕНИЯ ПОТРЕБИТЕЛЯ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Часть 1. Таблица</w:t>
      </w:r>
    </w:p>
    <w:tbl>
      <w:tblPr>
        <w:tblW w:w="15452" w:type="dxa"/>
        <w:jc w:val="left"/>
        <w:tblInd w:w="70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top w:w="0" w:type="dxa"/>
          <w:left w:w="62" w:type="dxa"/>
          <w:bottom w:w="0" w:type="dxa"/>
          <w:right w:w="70" w:type="dxa"/>
        </w:tblCellMar>
        <w:tblLook w:val="0000" w:noVBand="0" w:noHBand="0" w:lastColumn="0" w:firstColumn="0" w:lastRow="0" w:firstRow="0"/>
      </w:tblPr>
      <w:tblGrid>
        <w:gridCol w:w="540"/>
        <w:gridCol w:w="1728"/>
        <w:gridCol w:w="1701"/>
        <w:gridCol w:w="994"/>
        <w:gridCol w:w="1842"/>
        <w:gridCol w:w="1276"/>
        <w:gridCol w:w="1310"/>
        <w:gridCol w:w="1063"/>
        <w:gridCol w:w="2"/>
        <w:gridCol w:w="850"/>
        <w:gridCol w:w="1001"/>
        <w:gridCol w:w="1443"/>
        <w:gridCol w:w="1701"/>
      </w:tblGrid>
      <w:tr>
        <w:trPr>
          <w:trHeight w:val="240" w:hRule="atLeast"/>
          <w:cantSplit w:val="true"/>
        </w:trPr>
        <w:tc>
          <w:tcPr>
            <w:tcW w:w="54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  <w:br/>
              <w:t>п/п</w:t>
            </w:r>
          </w:p>
        </w:tc>
        <w:tc>
          <w:tcPr>
            <w:tcW w:w="172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  </w:t>
              <w:br/>
              <w:t xml:space="preserve">(номер) питающего центра    </w:t>
              <w:br/>
              <w:t xml:space="preserve">сетевой  </w:t>
              <w:br/>
              <w:t xml:space="preserve">организации и  </w:t>
              <w:br/>
              <w:t xml:space="preserve">других источников электро   </w:t>
              <w:br/>
              <w:t xml:space="preserve">снабжения      </w:t>
            </w:r>
          </w:p>
        </w:tc>
        <w:tc>
          <w:tcPr>
            <w:tcW w:w="1701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  </w:t>
              <w:br/>
              <w:t xml:space="preserve">(номер) </w:t>
            </w:r>
          </w:p>
          <w:p>
            <w:pPr>
              <w:pStyle w:val="Normal"/>
              <w:ind w:right="-1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питающей линии сетевой организации и других источни ков электро снабжения            </w:t>
            </w:r>
          </w:p>
        </w:tc>
        <w:tc>
          <w:tcPr>
            <w:tcW w:w="994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Нагрузка </w:t>
              <w:br/>
              <w:t xml:space="preserve">линии в  </w:t>
              <w:br/>
              <w:t xml:space="preserve">нормаль </w:t>
              <w:br/>
              <w:t xml:space="preserve">ном </w:t>
            </w:r>
          </w:p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режиме работы, кВт  </w:t>
            </w:r>
          </w:p>
        </w:tc>
        <w:tc>
          <w:tcPr>
            <w:tcW w:w="549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броня электроснабжения</w:t>
            </w:r>
          </w:p>
        </w:tc>
        <w:tc>
          <w:tcPr>
            <w:tcW w:w="499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Технологическая броня электроснабжения</w:t>
            </w:r>
          </w:p>
        </w:tc>
      </w:tr>
      <w:tr>
        <w:trPr>
          <w:trHeight w:val="1560" w:hRule="atLeast"/>
          <w:cantSplit w:val="true"/>
        </w:trPr>
        <w:tc>
          <w:tcPr>
            <w:tcW w:w="540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28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94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Перечень токоприемников аварийной брони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36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Максимальная мощность токоприемников аварийной брони, кВт</w:t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Линии, на которые может быть переключена нагрузка, и средства переключения (АВР или вручную)     </w:t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сокращения электроснабжения до уровня аварийной брони</w:t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3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Перечень    </w:t>
              <w:br/>
              <w:t xml:space="preserve">токопри </w:t>
              <w:br/>
              <w:t xml:space="preserve">емников технологической брони   </w:t>
              <w:br/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Максимальная мощность токоприемников технологической брони, кВт</w:t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Продолжительность времени, необходимого для завершения технологического процесса, цикла производства, час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Допустимое время перерыва электроснабжения энергопринимающего устройства, подключенного к токоприемникам технологической брони, час</w:t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>
        <w:trPr>
          <w:trHeight w:val="388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88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Часть 2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При возникновении или угрозе возникновения аварийных электроэнергетических режимов могут быть немедленно отключены с питающих центров сетевой организации: питающие линии:____________________________________________________________________________________</w:t>
      </w:r>
    </w:p>
    <w:p>
      <w:pPr>
        <w:pStyle w:val="Normal"/>
        <w:widowControl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Питающие линии  _____________________ могут быть  отключены  на  время, указанное в графе 12.</w:t>
      </w:r>
    </w:p>
    <w:p>
      <w:pPr>
        <w:pStyle w:val="Normal"/>
        <w:widowControl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Питающие линии могут быть отключены по истечении времени, указанного в графе 11.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По требованию сетевой организации Муниципальный заказчик (Потребитель) немедленно отключает   ____ кВт;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Использование имеющихся в работе устройств автоматического включения резерва – ____________.</w:t>
      </w:r>
    </w:p>
    <w:tbl>
      <w:tblPr>
        <w:tblW w:w="15451" w:type="dxa"/>
        <w:jc w:val="left"/>
        <w:tblInd w:w="10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284"/>
        <w:gridCol w:w="7087"/>
        <w:gridCol w:w="8080"/>
      </w:tblGrid>
      <w:tr>
        <w:trPr>
          <w:trHeight w:val="1063" w:hRule="atLeast"/>
        </w:trPr>
        <w:tc>
          <w:tcPr>
            <w:tcW w:w="284" w:type="dxa"/>
            <w:tcBorders/>
            <w:shd w:color="auto"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>
            <w:pPr>
              <w:pStyle w:val="Normal"/>
              <w:ind w:right="-108" w:hanging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Сетевая организация                                           </w:t>
            </w:r>
          </w:p>
          <w:p>
            <w:pPr>
              <w:pStyle w:val="Norma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</w:p>
          <w:p>
            <w:pPr>
              <w:pStyle w:val="Norma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Главный инженер ______________   ______________                                 </w:t>
            </w:r>
          </w:p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(подпись)               (ФИО)</w:t>
            </w:r>
          </w:p>
        </w:tc>
        <w:tc>
          <w:tcPr>
            <w:tcW w:w="8080" w:type="dxa"/>
            <w:tcBorders/>
            <w:shd w:color="auto" w:fill="auto" w:val="clear"/>
          </w:tcPr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right="-508" w:hanging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right="-508" w:hanging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Муниципальный заказчик (Потребитель) </w:t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right="-508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right="-508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электрохозяйство       _______________  _________________</w:t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right="-508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(подпись)                     (ФИО)</w:t>
            </w:r>
          </w:p>
        </w:tc>
      </w:tr>
    </w:tbl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«Акт согласования технологической и (или) аварийной брони электроснабжения</w:t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заказчика (Потребителя) электрической энергии (мощности)» согласована.</w:t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4">
                <wp:simplePos x="0" y="0"/>
                <wp:positionH relativeFrom="margin">
                  <wp:posOffset>630555</wp:posOffset>
                </wp:positionH>
                <wp:positionV relativeFrom="paragraph">
                  <wp:posOffset>186055</wp:posOffset>
                </wp:positionV>
                <wp:extent cx="7635875" cy="803275"/>
                <wp:effectExtent l="0" t="0" r="0" b="0"/>
                <wp:wrapSquare wrapText="bothSides"/>
                <wp:docPr id="3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5875" cy="803275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1101" w:tblpY="293" w:topFromText="0" w:vertAnchor="text"/>
                              <w:tblW w:w="12025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7195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jc w:val="both"/>
                                    <w:outlineLvl w:val="1"/>
                                    <w:rPr/>
                                  </w:pP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Муниципальный заказчик 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2"/>
                                      <w:szCs w:val="22"/>
                                      <w:lang w:val="en-US"/>
                                    </w:rPr>
                                    <w:t>Потребитель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______________________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sz w:val="22"/>
                                      <w:szCs w:val="22"/>
                                    </w:rPr>
                                    <w:t xml:space="preserve"> _______________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         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  <w:t>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2"/>
                                      <w:szCs w:val="22"/>
                                    </w:rPr>
                                    <w:t>___________________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2"/>
                                      <w:szCs w:val="22"/>
                                    </w:rPr>
                                    <w:t xml:space="preserve">  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2"/>
                                      <w:szCs w:val="22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601.25pt;height:63.25pt;mso-wrap-distance-left:9pt;mso-wrap-distance-right:9pt;mso-wrap-distance-top:0pt;mso-wrap-distance-bottom:0pt;margin-top:14.65pt;mso-position-vertical-relative:text;margin-left:49.65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1101" w:tblpY="293" w:topFromText="0" w:vertAnchor="text"/>
                        <w:tblW w:w="12025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7195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jc w:val="both"/>
                              <w:outlineLvl w:val="1"/>
                              <w:rPr/>
                            </w:pP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Муниципальный заказчик 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>Потребитель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______________________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 _______________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___________________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м.п.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Приложение № 7</w:t>
      </w:r>
    </w:p>
    <w:p>
      <w:pPr>
        <w:pStyle w:val="Normal"/>
        <w:ind w:left="9072" w:hanging="907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муниципальному контракту энергоснабжения </w:t>
      </w:r>
    </w:p>
    <w:p>
      <w:pPr>
        <w:pStyle w:val="Normal"/>
        <w:jc w:val="right"/>
        <w:rPr>
          <w:rFonts w:ascii="Times New Roman" w:hAnsi="Times New Roman"/>
          <w:b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bCs/>
          <w:color w:val="0000FF"/>
          <w:sz w:val="22"/>
          <w:szCs w:val="22"/>
        </w:rPr>
        <w:t>№ </w:t>
      </w:r>
      <w:r>
        <w:rPr>
          <w:rFonts w:ascii="Times New Roman" w:hAnsi="Times New Roman"/>
          <w:b/>
          <w:bCs/>
          <w:color w:val="0000FF"/>
          <w:sz w:val="22"/>
          <w:szCs w:val="22"/>
        </w:rPr>
        <w:t xml:space="preserve">_____________ от </w:t>
      </w:r>
      <w:r>
        <w:rPr>
          <w:rFonts w:ascii="Times New Roman" w:hAnsi="Times New Roman"/>
          <w:b/>
          <w:color w:val="3107A9"/>
          <w:sz w:val="22"/>
          <w:szCs w:val="22"/>
        </w:rPr>
        <w:t>____________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ФОРМА «Акт снятия показаний расчетных приборов учета»</w:t>
      </w:r>
    </w:p>
    <w:p>
      <w:pPr>
        <w:pStyle w:val="Normal"/>
        <w:tabs>
          <w:tab w:val="center" w:pos="4153" w:leader="none"/>
          <w:tab w:val="right" w:pos="8306" w:leader="none"/>
        </w:tabs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</w:r>
    </w:p>
    <w:tbl>
      <w:tblPr>
        <w:tblW w:w="14880" w:type="dxa"/>
        <w:jc w:val="left"/>
        <w:tblInd w:w="11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48"/>
        <w:gridCol w:w="5625"/>
        <w:gridCol w:w="2267"/>
        <w:gridCol w:w="2127"/>
        <w:gridCol w:w="2128"/>
        <w:gridCol w:w="1984"/>
      </w:tblGrid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-11" w:hanging="0"/>
              <w:jc w:val="both"/>
              <w:rPr>
                <w:rFonts w:ascii="Times New Roman" w:hAnsi="Times New Roman"/>
                <w:b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№ 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п/п</w:t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-11" w:hanging="0"/>
              <w:jc w:val="both"/>
              <w:rPr>
                <w:rFonts w:ascii="Times New Roman" w:hAnsi="Times New Roman"/>
                <w:b/>
                <w:b/>
                <w:sz w:val="19"/>
                <w:szCs w:val="19"/>
                <w:lang w:eastAsia="ar-SA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Наименование объекта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34" w:hanging="34"/>
              <w:jc w:val="both"/>
              <w:rPr>
                <w:rFonts w:ascii="Times New Roman" w:hAnsi="Times New Roman"/>
                <w:b/>
                <w:b/>
                <w:sz w:val="19"/>
                <w:szCs w:val="19"/>
                <w:lang w:eastAsia="ar-SA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№  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счетчика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b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Показания на день снятия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34" w:hanging="0"/>
              <w:jc w:val="both"/>
              <w:rPr>
                <w:rFonts w:ascii="Times New Roman" w:hAnsi="Times New Roman"/>
                <w:b/>
                <w:b/>
                <w:sz w:val="19"/>
                <w:szCs w:val="19"/>
                <w:lang w:eastAsia="ar-SA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Предыдущие показания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b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Разница показаний</w:t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Муниципальный заказчик (Потребитель)</w:t>
      </w:r>
      <w:r>
        <w:rPr>
          <w:rFonts w:ascii="Times New Roman" w:hAnsi="Times New Roman"/>
        </w:rPr>
        <w:t xml:space="preserve"> ____________________________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«Акт снятия показаний расчетных приборов учета» согласована.</w:t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5">
                <wp:simplePos x="0" y="0"/>
                <wp:positionH relativeFrom="margin">
                  <wp:posOffset>630555</wp:posOffset>
                </wp:positionH>
                <wp:positionV relativeFrom="paragraph">
                  <wp:posOffset>186055</wp:posOffset>
                </wp:positionV>
                <wp:extent cx="7635875" cy="876300"/>
                <wp:effectExtent l="0" t="0" r="0" b="0"/>
                <wp:wrapSquare wrapText="bothSides"/>
                <wp:docPr id="4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5875" cy="87630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1101" w:tblpY="293" w:topFromText="0" w:vertAnchor="text"/>
                              <w:tblW w:w="12025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7195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1" w:name="__UnoMark__9604_3832845691"/>
                                  <w:bookmarkEnd w:id="1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jc w:val="both"/>
                                    <w:outlineLvl w:val="1"/>
                                    <w:rPr/>
                                  </w:pPr>
                                  <w:bookmarkStart w:id="2" w:name="__UnoMark__9605_3832845691"/>
                                  <w:bookmarkEnd w:id="2"/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Муниципальный заказчик 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Потребитель</w:t>
                                  </w:r>
                                  <w:bookmarkStart w:id="3" w:name="__UnoMark__9606_3832845691"/>
                                  <w:bookmarkEnd w:id="3"/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4" w:name="__UnoMark__9608_3832845691"/>
                                  <w:bookmarkStart w:id="5" w:name="__UnoMark__9607_3832845691"/>
                                  <w:bookmarkStart w:id="6" w:name="__UnoMark__9608_3832845691"/>
                                  <w:bookmarkStart w:id="7" w:name="__UnoMark__9607_3832845691"/>
                                  <w:bookmarkEnd w:id="6"/>
                                  <w:bookmarkEnd w:id="7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8" w:name="__UnoMark__9610_3832845691"/>
                                  <w:bookmarkStart w:id="9" w:name="__UnoMark__9609_3832845691"/>
                                  <w:bookmarkStart w:id="10" w:name="__UnoMark__9610_3832845691"/>
                                  <w:bookmarkStart w:id="11" w:name="__UnoMark__9609_3832845691"/>
                                  <w:bookmarkEnd w:id="10"/>
                                  <w:bookmarkEnd w:id="11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12" w:name="__UnoMark__9612_3832845691"/>
                                  <w:bookmarkStart w:id="13" w:name="__UnoMark__9611_3832845691"/>
                                  <w:bookmarkStart w:id="14" w:name="__UnoMark__9612_3832845691"/>
                                  <w:bookmarkStart w:id="15" w:name="__UnoMark__9611_3832845691"/>
                                  <w:bookmarkEnd w:id="14"/>
                                  <w:bookmarkEnd w:id="15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16" w:name="__UnoMark__9614_3832845691"/>
                                  <w:bookmarkStart w:id="17" w:name="__UnoMark__9613_3832845691"/>
                                  <w:bookmarkStart w:id="18" w:name="__UnoMark__9614_3832845691"/>
                                  <w:bookmarkStart w:id="19" w:name="__UnoMark__9613_3832845691"/>
                                  <w:bookmarkEnd w:id="18"/>
                                  <w:bookmarkEnd w:id="19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20" w:name="__UnoMark__9615_3832845691"/>
                                  <w:bookmarkEnd w:id="20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______________________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sz w:val="22"/>
                                      <w:szCs w:val="22"/>
                                    </w:rPr>
                                    <w:t xml:space="preserve"> 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iCs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21" w:name="__UnoMark__9616_3832845691"/>
                                  <w:bookmarkEnd w:id="21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22" w:name="__UnoMark__9617_3832845691"/>
                                  <w:bookmarkEnd w:id="22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_________________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601.25pt;height:69pt;mso-wrap-distance-left:9pt;mso-wrap-distance-right:9pt;mso-wrap-distance-top:0pt;mso-wrap-distance-bottom:0pt;margin-top:14.65pt;mso-position-vertical-relative:text;margin-left:49.65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1101" w:tblpY="293" w:topFromText="0" w:vertAnchor="text"/>
                        <w:tblW w:w="12025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7195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23" w:name="__UnoMark__9604_3832845691"/>
                            <w:bookmarkEnd w:id="23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jc w:val="both"/>
                              <w:outlineLvl w:val="1"/>
                              <w:rPr/>
                            </w:pPr>
                            <w:bookmarkStart w:id="24" w:name="__UnoMark__9605_3832845691"/>
                            <w:bookmarkEnd w:id="24"/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Муниципальный заказчик 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Потребитель</w:t>
                            </w:r>
                            <w:bookmarkStart w:id="25" w:name="__UnoMark__9606_3832845691"/>
                            <w:bookmarkEnd w:id="25"/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26" w:name="__UnoMark__9608_3832845691"/>
                            <w:bookmarkStart w:id="27" w:name="__UnoMark__9607_3832845691"/>
                            <w:bookmarkStart w:id="28" w:name="__UnoMark__9608_3832845691"/>
                            <w:bookmarkStart w:id="29" w:name="__UnoMark__9607_3832845691"/>
                            <w:bookmarkEnd w:id="28"/>
                            <w:bookmarkEnd w:id="29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30" w:name="__UnoMark__9610_3832845691"/>
                            <w:bookmarkStart w:id="31" w:name="__UnoMark__9609_3832845691"/>
                            <w:bookmarkStart w:id="32" w:name="__UnoMark__9610_3832845691"/>
                            <w:bookmarkStart w:id="33" w:name="__UnoMark__9609_3832845691"/>
                            <w:bookmarkEnd w:id="32"/>
                            <w:bookmarkEnd w:id="33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34" w:name="__UnoMark__9612_3832845691"/>
                            <w:bookmarkStart w:id="35" w:name="__UnoMark__9611_3832845691"/>
                            <w:bookmarkStart w:id="36" w:name="__UnoMark__9612_3832845691"/>
                            <w:bookmarkStart w:id="37" w:name="__UnoMark__9611_3832845691"/>
                            <w:bookmarkEnd w:id="36"/>
                            <w:bookmarkEnd w:id="37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38" w:name="__UnoMark__9614_3832845691"/>
                            <w:bookmarkStart w:id="39" w:name="__UnoMark__9613_3832845691"/>
                            <w:bookmarkStart w:id="40" w:name="__UnoMark__9614_3832845691"/>
                            <w:bookmarkStart w:id="41" w:name="__UnoMark__9613_3832845691"/>
                            <w:bookmarkEnd w:id="40"/>
                            <w:bookmarkEnd w:id="41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42" w:name="__UnoMark__9615_3832845691"/>
                            <w:bookmarkEnd w:id="42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______________________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 ______________</w:t>
                            </w:r>
                            <w:r>
                              <w:rPr>
                                <w:rFonts w:ascii="Times New Roman" w:hAnsi="Times New Roman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43" w:name="__UnoMark__9616_3832845691"/>
                            <w:bookmarkEnd w:id="43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44" w:name="__UnoMark__9617_3832845691"/>
                            <w:bookmarkEnd w:id="44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_________________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sectPr>
          <w:footerReference w:type="default" r:id="rId6"/>
          <w:type w:val="nextPage"/>
          <w:pgSz w:orient="landscape" w:w="16838" w:h="11906"/>
          <w:pgMar w:left="851" w:right="907" w:header="0" w:top="851" w:footer="237" w:bottom="1418" w:gutter="0"/>
          <w:pgNumType w:fmt="decimal"/>
          <w:formProt w:val="false"/>
          <w:textDirection w:val="lrTb"/>
          <w:docGrid w:type="default" w:linePitch="272" w:charSpace="2047"/>
        </w:sect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Приложение № 8</w:t>
      </w:r>
    </w:p>
    <w:p>
      <w:pPr>
        <w:pStyle w:val="Normal"/>
        <w:ind w:left="9072" w:hanging="907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муниципальному контракту энергоснабжения </w:t>
      </w:r>
    </w:p>
    <w:p>
      <w:pPr>
        <w:pStyle w:val="Normal"/>
        <w:jc w:val="right"/>
        <w:rPr>
          <w:rFonts w:ascii="Times New Roman" w:hAnsi="Times New Roman"/>
          <w:b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bCs/>
          <w:color w:val="0000FF"/>
          <w:sz w:val="22"/>
          <w:szCs w:val="22"/>
        </w:rPr>
        <w:t>№ </w:t>
      </w:r>
      <w:r>
        <w:rPr>
          <w:rFonts w:ascii="Times New Roman" w:hAnsi="Times New Roman"/>
          <w:b/>
          <w:bCs/>
          <w:color w:val="0000FF"/>
          <w:sz w:val="22"/>
          <w:szCs w:val="22"/>
        </w:rPr>
        <w:t xml:space="preserve">____________ от </w:t>
      </w:r>
      <w:r>
        <w:rPr>
          <w:rFonts w:ascii="Times New Roman" w:hAnsi="Times New Roman"/>
          <w:b/>
          <w:color w:val="3107A9"/>
          <w:sz w:val="22"/>
          <w:szCs w:val="22"/>
        </w:rPr>
        <w:t>_____________</w:t>
      </w:r>
    </w:p>
    <w:p>
      <w:pPr>
        <w:pStyle w:val="Normal"/>
        <w:jc w:val="right"/>
        <w:rPr>
          <w:rFonts w:ascii="Times New Roman" w:hAnsi="Times New Roman"/>
          <w:b/>
          <w:b/>
          <w:bCs/>
          <w:color w:val="0000FF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Публичное акционерное общество энергетики и электрификации «Камчатскэнерго»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683000, Камчатский край г. Петропавловск-Камчатский, ул. Набережная, 10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sz w:val="26"/>
          <w:szCs w:val="26"/>
        </w:rPr>
        <w:t>Форма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«Акт выполненных работ (приема-передачи электрической энергии)</w:t>
      </w:r>
      <w:r>
        <w:rPr>
          <w:rFonts w:ascii="Times New Roman" w:hAnsi="Times New Roman"/>
          <w:sz w:val="26"/>
          <w:szCs w:val="26"/>
        </w:rPr>
        <w:t>»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Заказчик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ИНН                                 КПП</w:t>
      </w:r>
    </w:p>
    <w:tbl>
      <w:tblPr>
        <w:tblW w:w="16368" w:type="dxa"/>
        <w:jc w:val="left"/>
        <w:tblInd w:w="93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867"/>
        <w:gridCol w:w="1408"/>
        <w:gridCol w:w="1160"/>
        <w:gridCol w:w="102"/>
        <w:gridCol w:w="1160"/>
        <w:gridCol w:w="583"/>
        <w:gridCol w:w="804"/>
        <w:gridCol w:w="715"/>
        <w:gridCol w:w="1429"/>
        <w:gridCol w:w="425"/>
        <w:gridCol w:w="2"/>
        <w:gridCol w:w="722"/>
        <w:gridCol w:w="1"/>
        <w:gridCol w:w="477"/>
        <w:gridCol w:w="1"/>
        <w:gridCol w:w="234"/>
        <w:gridCol w:w="2"/>
        <w:gridCol w:w="974"/>
        <w:gridCol w:w="2"/>
        <w:gridCol w:w="604"/>
        <w:gridCol w:w="1"/>
        <w:gridCol w:w="1504"/>
        <w:gridCol w:w="2"/>
        <w:gridCol w:w="239"/>
        <w:gridCol w:w="2"/>
        <w:gridCol w:w="818"/>
        <w:gridCol w:w="2"/>
        <w:gridCol w:w="388"/>
        <w:gridCol w:w="1"/>
        <w:gridCol w:w="367"/>
        <w:gridCol w:w="2"/>
        <w:gridCol w:w="370"/>
      </w:tblGrid>
      <w:tr>
        <w:trPr>
          <w:trHeight w:val="330" w:hRule="exact"/>
        </w:trPr>
        <w:tc>
          <w:tcPr>
            <w:tcW w:w="1867" w:type="dxa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670" w:type="dxa"/>
            <w:gridSpan w:val="3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0" w:type="dxa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87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571" w:type="dxa"/>
            <w:gridSpan w:val="4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723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78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36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76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605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41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820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89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69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70" w:type="dxa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735" w:hRule="atLeast"/>
        </w:trPr>
        <w:tc>
          <w:tcPr>
            <w:tcW w:w="32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</w:t>
            </w:r>
          </w:p>
        </w:tc>
        <w:tc>
          <w:tcPr>
            <w:tcW w:w="1160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 изм</w:t>
            </w:r>
          </w:p>
        </w:tc>
        <w:tc>
          <w:tcPr>
            <w:tcW w:w="1845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1519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</w:t>
            </w:r>
          </w:p>
        </w:tc>
        <w:tc>
          <w:tcPr>
            <w:tcW w:w="1429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</w:t>
            </w:r>
          </w:p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(без налогов)</w:t>
            </w:r>
          </w:p>
        </w:tc>
        <w:tc>
          <w:tcPr>
            <w:tcW w:w="42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4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78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0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0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20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90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68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75" w:hRule="atLeast"/>
        </w:trPr>
        <w:tc>
          <w:tcPr>
            <w:tcW w:w="32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Потребленная электроэнергия</w:t>
            </w:r>
          </w:p>
        </w:tc>
        <w:tc>
          <w:tcPr>
            <w:tcW w:w="1160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кВт. ч</w:t>
            </w:r>
          </w:p>
        </w:tc>
        <w:tc>
          <w:tcPr>
            <w:tcW w:w="1845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519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4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78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0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0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20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90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68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tabs>
          <w:tab w:val="left" w:pos="3495" w:leader="none"/>
        </w:tabs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tabs>
          <w:tab w:val="left" w:pos="3495" w:leader="none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</w:t>
      </w:r>
      <w:r>
        <w:rPr>
          <w:rFonts w:ascii="Times New Roman" w:hAnsi="Times New Roman"/>
          <w:sz w:val="26"/>
          <w:szCs w:val="26"/>
        </w:rPr>
        <w:t>ИТОГО:                                                      НДС</w:t>
      </w:r>
    </w:p>
    <w:p>
      <w:pPr>
        <w:pStyle w:val="Normal"/>
        <w:tabs>
          <w:tab w:val="left" w:pos="3495" w:leader="none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</w:t>
      </w:r>
      <w:r>
        <w:rPr>
          <w:rFonts w:ascii="Times New Roman" w:hAnsi="Times New Roman"/>
          <w:sz w:val="26"/>
          <w:szCs w:val="26"/>
        </w:rPr>
        <w:t>Всего с учетом НДС: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оказано услуг на сумму:</w:t>
      </w:r>
    </w:p>
    <w:p>
      <w:pPr>
        <w:pStyle w:val="Normal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Перечисленные услуги выполнены полностью и в срок. Заказчик не имеет претензий по объему и качеству оказанных услуг.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pPr w:bottomFromText="0" w:horzAnchor="margin" w:leftFromText="180" w:rightFromText="180" w:tblpX="0" w:tblpY="293" w:topFromText="0" w:vertAnchor="text"/>
        <w:tblW w:w="9660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830"/>
        <w:gridCol w:w="4829"/>
      </w:tblGrid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Гарантирующий поставщик</w:t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both"/>
              <w:outlineLvl w:val="1"/>
              <w:rPr>
                <w:rFonts w:ascii="Times New Roman" w:hAnsi="Times New Roman" w:eastAsia="Arial Unicode MS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Муниципальный заказчик (Потребитель)</w:t>
            </w:r>
          </w:p>
        </w:tc>
      </w:tr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tabs>
                <w:tab w:val="left" w:pos="708" w:leader="none"/>
                <w:tab w:val="center" w:pos="4153" w:leader="none"/>
                <w:tab w:val="right" w:pos="8306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______________________  </w:t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</w:tbl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        </w:t>
      </w:r>
      <w:r>
        <w:rPr>
          <w:rFonts w:ascii="Times New Roman" w:hAnsi="Times New Roman"/>
          <w:b/>
        </w:rPr>
        <w:t>М.п.                                                                                        М.п.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bCs/>
          <w:sz w:val="22"/>
          <w:szCs w:val="22"/>
        </w:rPr>
        <w:t>«Акт выполненных работ (приема-передачи электрической энергии)</w:t>
      </w:r>
      <w:r>
        <w:rPr>
          <w:rFonts w:ascii="Times New Roman" w:hAnsi="Times New Roman"/>
          <w:sz w:val="26"/>
          <w:szCs w:val="26"/>
        </w:rPr>
        <w:t xml:space="preserve">» </w:t>
      </w:r>
      <w:r>
        <w:rPr>
          <w:rFonts w:ascii="Times New Roman" w:hAnsi="Times New Roman"/>
          <w:sz w:val="24"/>
          <w:szCs w:val="24"/>
        </w:rPr>
        <w:t>согласована.</w:t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6">
                <wp:simplePos x="0" y="0"/>
                <wp:positionH relativeFrom="margin">
                  <wp:posOffset>-42545</wp:posOffset>
                </wp:positionH>
                <wp:positionV relativeFrom="paragraph">
                  <wp:posOffset>186055</wp:posOffset>
                </wp:positionV>
                <wp:extent cx="6015355" cy="876300"/>
                <wp:effectExtent l="0" t="0" r="0" b="0"/>
                <wp:wrapSquare wrapText="bothSides"/>
                <wp:docPr id="5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355" cy="87630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41" w:tblpY="293" w:topFromText="0" w:vertAnchor="text"/>
                              <w:tblW w:w="9473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4643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45" w:name="__UnoMark__9855_3832845691"/>
                                  <w:bookmarkEnd w:id="45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jc w:val="both"/>
                                    <w:outlineLvl w:val="1"/>
                                    <w:rPr/>
                                  </w:pPr>
                                  <w:bookmarkStart w:id="46" w:name="__UnoMark__9856_3832845691"/>
                                  <w:bookmarkEnd w:id="46"/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Муниципальный заказчик 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Потребитель</w:t>
                                  </w:r>
                                  <w:bookmarkStart w:id="47" w:name="__UnoMark__9857_3832845691"/>
                                  <w:bookmarkEnd w:id="47"/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48" w:name="__UnoMark__9859_3832845691"/>
                                  <w:bookmarkStart w:id="49" w:name="__UnoMark__9858_3832845691"/>
                                  <w:bookmarkStart w:id="50" w:name="__UnoMark__9859_3832845691"/>
                                  <w:bookmarkStart w:id="51" w:name="__UnoMark__9858_3832845691"/>
                                  <w:bookmarkEnd w:id="50"/>
                                  <w:bookmarkEnd w:id="51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52" w:name="__UnoMark__9861_3832845691"/>
                                  <w:bookmarkStart w:id="53" w:name="__UnoMark__9860_3832845691"/>
                                  <w:bookmarkStart w:id="54" w:name="__UnoMark__9861_3832845691"/>
                                  <w:bookmarkStart w:id="55" w:name="__UnoMark__9860_3832845691"/>
                                  <w:bookmarkEnd w:id="54"/>
                                  <w:bookmarkEnd w:id="55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56" w:name="__UnoMark__9863_3832845691"/>
                                  <w:bookmarkStart w:id="57" w:name="__UnoMark__9862_3832845691"/>
                                  <w:bookmarkStart w:id="58" w:name="__UnoMark__9863_3832845691"/>
                                  <w:bookmarkStart w:id="59" w:name="__UnoMark__9862_3832845691"/>
                                  <w:bookmarkEnd w:id="58"/>
                                  <w:bookmarkEnd w:id="59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60" w:name="__UnoMark__9865_3832845691"/>
                                  <w:bookmarkStart w:id="61" w:name="__UnoMark__9864_3832845691"/>
                                  <w:bookmarkStart w:id="62" w:name="__UnoMark__9865_3832845691"/>
                                  <w:bookmarkStart w:id="63" w:name="__UnoMark__9864_3832845691"/>
                                  <w:bookmarkEnd w:id="62"/>
                                  <w:bookmarkEnd w:id="63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64" w:name="__UnoMark__9866_3832845691"/>
                                  <w:bookmarkEnd w:id="64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_________________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sz w:val="22"/>
                                      <w:szCs w:val="22"/>
                                    </w:rPr>
                                    <w:t xml:space="preserve"> _______________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iCs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65" w:name="__UnoMark__9867_3832845691"/>
                                  <w:bookmarkEnd w:id="65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66" w:name="__UnoMark__9868_3832845691"/>
                                  <w:bookmarkEnd w:id="66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______________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________________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473.65pt;height:69pt;mso-wrap-distance-left:9pt;mso-wrap-distance-right:9pt;mso-wrap-distance-top:0pt;mso-wrap-distance-bottom:0pt;margin-top:14.65pt;mso-position-vertical-relative:text;margin-left:-3.35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41" w:tblpY="293" w:topFromText="0" w:vertAnchor="text"/>
                        <w:tblW w:w="9473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4643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67" w:name="__UnoMark__9855_3832845691"/>
                            <w:bookmarkEnd w:id="67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jc w:val="both"/>
                              <w:outlineLvl w:val="1"/>
                              <w:rPr/>
                            </w:pPr>
                            <w:bookmarkStart w:id="68" w:name="__UnoMark__9856_3832845691"/>
                            <w:bookmarkEnd w:id="68"/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Муниципальный заказчик 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Потребитель</w:t>
                            </w:r>
                            <w:bookmarkStart w:id="69" w:name="__UnoMark__9857_3832845691"/>
                            <w:bookmarkEnd w:id="69"/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70" w:name="__UnoMark__9859_3832845691"/>
                            <w:bookmarkStart w:id="71" w:name="__UnoMark__9858_3832845691"/>
                            <w:bookmarkStart w:id="72" w:name="__UnoMark__9859_3832845691"/>
                            <w:bookmarkStart w:id="73" w:name="__UnoMark__9858_3832845691"/>
                            <w:bookmarkEnd w:id="72"/>
                            <w:bookmarkEnd w:id="73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74" w:name="__UnoMark__9861_3832845691"/>
                            <w:bookmarkStart w:id="75" w:name="__UnoMark__9860_3832845691"/>
                            <w:bookmarkStart w:id="76" w:name="__UnoMark__9861_3832845691"/>
                            <w:bookmarkStart w:id="77" w:name="__UnoMark__9860_3832845691"/>
                            <w:bookmarkEnd w:id="76"/>
                            <w:bookmarkEnd w:id="77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78" w:name="__UnoMark__9863_3832845691"/>
                            <w:bookmarkStart w:id="79" w:name="__UnoMark__9862_3832845691"/>
                            <w:bookmarkStart w:id="80" w:name="__UnoMark__9863_3832845691"/>
                            <w:bookmarkStart w:id="81" w:name="__UnoMark__9862_3832845691"/>
                            <w:bookmarkEnd w:id="80"/>
                            <w:bookmarkEnd w:id="81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82" w:name="__UnoMark__9865_3832845691"/>
                            <w:bookmarkStart w:id="83" w:name="__UnoMark__9864_3832845691"/>
                            <w:bookmarkStart w:id="84" w:name="__UnoMark__9865_3832845691"/>
                            <w:bookmarkStart w:id="85" w:name="__UnoMark__9864_3832845691"/>
                            <w:bookmarkEnd w:id="84"/>
                            <w:bookmarkEnd w:id="85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86" w:name="__UnoMark__9866_3832845691"/>
                            <w:bookmarkEnd w:id="86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_________________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 _______________</w:t>
                            </w:r>
                            <w:r>
                              <w:rPr>
                                <w:rFonts w:ascii="Times New Roman" w:hAnsi="Times New Roman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87" w:name="__UnoMark__9867_3832845691"/>
                            <w:bookmarkEnd w:id="87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88" w:name="__UnoMark__9868_3832845691"/>
                            <w:bookmarkEnd w:id="88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______________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________________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sectPr>
          <w:footerReference w:type="default" r:id="rId7"/>
          <w:type w:val="nextPage"/>
          <w:pgSz w:w="11906" w:h="16838"/>
          <w:pgMar w:left="1134" w:right="851" w:header="0" w:top="907" w:footer="561" w:bottom="851" w:gutter="0"/>
          <w:pgNumType w:fmt="decimal"/>
          <w:formProt w:val="false"/>
          <w:textDirection w:val="lrTb"/>
          <w:docGrid w:type="default" w:linePitch="240" w:charSpace="2047"/>
        </w:sect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right="-3" w:hanging="0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 9</w:t>
      </w:r>
    </w:p>
    <w:p>
      <w:pPr>
        <w:pStyle w:val="Normal"/>
        <w:ind w:left="9072" w:hanging="907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муниципальному контракту энергоснабжения </w:t>
      </w:r>
    </w:p>
    <w:p>
      <w:pPr>
        <w:pStyle w:val="Normal"/>
        <w:jc w:val="right"/>
        <w:rPr>
          <w:rFonts w:ascii="Times New Roman" w:hAnsi="Times New Roman"/>
          <w:b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4"/>
          <w:szCs w:val="24"/>
        </w:rPr>
        <w:t>№ 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 xml:space="preserve">____________ от </w:t>
      </w:r>
      <w:r>
        <w:rPr>
          <w:rFonts w:ascii="Times New Roman" w:hAnsi="Times New Roman"/>
          <w:b/>
          <w:color w:val="3107A9"/>
          <w:sz w:val="24"/>
          <w:szCs w:val="24"/>
        </w:rPr>
        <w:t>____________</w:t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ind w:hanging="35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Список ответственных лиц и иная контактная информация</w:t>
      </w:r>
    </w:p>
    <w:p>
      <w:pPr>
        <w:pStyle w:val="Normal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</w:r>
    </w:p>
    <w:p>
      <w:pPr>
        <w:pStyle w:val="Normal"/>
        <w:ind w:hanging="49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Гарантирующий поставщик</w:t>
      </w:r>
    </w:p>
    <w:tbl>
      <w:tblPr>
        <w:tblW w:w="10207" w:type="dxa"/>
        <w:jc w:val="left"/>
        <w:tblInd w:w="-4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25"/>
        <w:gridCol w:w="4424"/>
        <w:gridCol w:w="5358"/>
      </w:tblGrid>
      <w:tr>
        <w:trPr>
          <w:trHeight w:val="470" w:hRule="atLeast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99"/>
              <w:jc w:val="center"/>
              <w:outlineLvl w:val="3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Фамилия, имя, отчество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99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Телефон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Приемная телефон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8(415 2) 49-09-00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Приемная факс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8(415 2) 49-04-84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Инженер по договорам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8(415 2) 00 00 00</w:t>
            </w:r>
          </w:p>
        </w:tc>
      </w:tr>
    </w:tbl>
    <w:p>
      <w:pPr>
        <w:pStyle w:val="Normal"/>
        <w:ind w:hanging="49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49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Муниципальный заказчик (Потребитель)</w:t>
      </w:r>
    </w:p>
    <w:tbl>
      <w:tblPr>
        <w:tblW w:w="10207" w:type="dxa"/>
        <w:jc w:val="left"/>
        <w:tblInd w:w="-4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08"/>
        <w:gridCol w:w="4950"/>
        <w:gridCol w:w="28"/>
        <w:gridCol w:w="4821"/>
      </w:tblGrid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99"/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8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99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ФИО/ № телефона</w:t>
            </w:r>
          </w:p>
        </w:tc>
      </w:tr>
      <w:tr>
        <w:trPr>
          <w:trHeight w:val="305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ФИО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ответственных за электрохозяйство</w:t>
            </w:r>
          </w:p>
        </w:tc>
        <w:tc>
          <w:tcPr>
            <w:tcW w:w="48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7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ФИО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ответственных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за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эксплуатацию ПУ</w:t>
            </w:r>
          </w:p>
        </w:tc>
        <w:tc>
          <w:tcPr>
            <w:tcW w:w="48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7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ФИО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ответственных право ведения оперативных переговоров, получения и принятия, подписания документов</w:t>
            </w:r>
          </w:p>
        </w:tc>
        <w:tc>
          <w:tcPr>
            <w:tcW w:w="48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7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99" w:hRule="atLeast"/>
        </w:trPr>
        <w:tc>
          <w:tcPr>
            <w:tcW w:w="1020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120" w:after="120"/>
              <w:ind w:hanging="499"/>
              <w:jc w:val="center"/>
              <w:outlineLvl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Дополнительная информация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</w:tr>
      <w:tr>
        <w:trPr>
          <w:trHeight w:val="276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Номер мобильного телефона для направления уведомления о введении ограничения режима потребления электрической энергии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Адрес электронной почты для направления уведомления о введении ограничения режима потребления электрической энергии 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bottom"/>
          </w:tcPr>
          <w:p>
            <w:pPr>
              <w:pStyle w:val="Normal"/>
              <w:suppressAutoHyphens w:val="true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Адрес электронной почты для направления платежных документов и иной переписки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20"/>
              <w:spacing w:lineRule="auto" w:line="240"/>
              <w:jc w:val="center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1020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99"/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Дополняется Потребителем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Сетевые организации</w:t>
      </w:r>
    </w:p>
    <w:p>
      <w:pPr>
        <w:pStyle w:val="Normal"/>
        <w:ind w:hanging="567"/>
        <w:jc w:val="both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</w:r>
    </w:p>
    <w:tbl>
      <w:tblPr>
        <w:tblW w:w="10207" w:type="dxa"/>
        <w:jc w:val="left"/>
        <w:tblInd w:w="-4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25"/>
        <w:gridCol w:w="4424"/>
        <w:gridCol w:w="5358"/>
      </w:tblGrid>
      <w:tr>
        <w:trPr/>
        <w:tc>
          <w:tcPr>
            <w:tcW w:w="102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филиал ПАО «Камчатскэнерго» Центральные электрические сети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Горячая линия:  8 (800) 234-29-39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ул. Сахалинская, 28 г. Петропавловск-Камчатский;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ул. Амурская, д. 5, 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АО «Оборонэнерго»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3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  <w:t xml:space="preserve">8 800 222 32 20;  </w:t>
            </w: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ул. Морская, д. 5, 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 "РСО "Силуэт"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434343"/>
                <w:spacing w:val="0"/>
                <w:sz w:val="22"/>
                <w:szCs w:val="22"/>
                <w:lang w:eastAsia="ru-RU"/>
              </w:rPr>
              <w:t xml:space="preserve">+7 (963) 831-61-41; +7 (963) 830-14-14;  +7 (4152) 31-61-41 </w:t>
            </w:r>
            <w:hyperlink r:id="rId8">
              <w:r>
                <w:rPr>
                  <w:rStyle w:val="Strong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https://rsosiluet.ru/</w:t>
              </w:r>
            </w:hyperlink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ул. Бохняка 18, поз 101 (3 этаж) 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АО "ТЭСК"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8 (4152) 30-55-60, </w:t>
            </w:r>
            <w:hyperlink r:id="rId9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ttps://tesk</w:t>
              </w:r>
            </w:hyperlink>
            <w:hyperlink r:id="rId10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</w:t>
              </w:r>
            </w:hyperlink>
            <w:hyperlink r:id="rId11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pk.ru/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г. Петропавловск-Камчатский, ул. Владивостокская, д. 29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 "41 Электрическая сеть"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8 800 700 47 11, </w:t>
            </w:r>
            <w:hyperlink r:id="rId12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https://41-es.ru/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Камчатский край, пгт. Вулканный, ул. Центральная, д. 1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"Алеир"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>+7 (4152) 308 -688,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</w:t>
            </w:r>
            <w:hyperlink r:id="rId13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https://aleir-kamchatka.ru/</w:t>
              </w:r>
            </w:hyperlink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>Проспект Победы 107 г. Петропавловск-Камчатский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 "Петропавловск-Камчатский морской торговый порт"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EAEAEA" w:val="clear"/>
                <w:lang w:eastAsia="ru-RU"/>
              </w:rPr>
              <w:t>+7 (4152) 43-41-00, факс: +7 (4152) 43-44-19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</w:t>
            </w:r>
          </w:p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(4152) 43-46-15 / 31-00-01, </w:t>
            </w:r>
            <w:hyperlink r:id="rId14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http://port.kamchatka.ru/</w:t>
              </w:r>
            </w:hyperlink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г. Петропавловск-Камчатский, пл. Г. И. Щедрина, д. 2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"28- Электросеть"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(41531) 6-16-78 Оперативный тлф: 8-914-027-5521 </w:t>
            </w:r>
            <w:hyperlink r:id="rId15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http://28elset.ru/about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</w:t>
            </w:r>
          </w:p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684000, Российская Федерация, Камчатский край, Елизовский район, г. Елизово, ул. Магистральная, 2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/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"Терминал "Сероглазка""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hyperlink r:id="rId16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highlight w:val="white"/>
                  <w:lang w:eastAsia="ru-RU"/>
                </w:rPr>
                <w:t>+7 (4152) 466-682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,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 xml:space="preserve"> </w:t>
            </w:r>
            <w:hyperlink r:id="rId17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http://seroglazka.com/</w:t>
              </w:r>
            </w:hyperlink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 xml:space="preserve">г. Петропавловск-Камчатский, улица Мишенная, 131 </w:t>
            </w:r>
          </w:p>
          <w:p>
            <w:pPr>
              <w:pStyle w:val="Normal"/>
              <w:spacing w:before="0" w:after="0"/>
              <w:contextualSpacing/>
              <w:rPr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"МК Транс"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2"/>
              <w:spacing w:before="0" w:after="0"/>
              <w:contextualSpacing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ru-RU"/>
              </w:rPr>
              <w:t xml:space="preserve">+7 4152 252 055, </w:t>
            </w:r>
            <w:hyperlink r:id="rId18">
              <w:r>
                <w:rPr>
                  <w:rStyle w:val="Style10"/>
                  <w:rFonts w:eastAsia="Times New Roman" w:cs="Times New Roman"/>
                  <w:b w:val="false"/>
                  <w:bCs w:val="false"/>
                  <w:i w:val="false"/>
                  <w:caps w:val="false"/>
                  <w:smallCaps w:val="false"/>
                  <w:color w:val="000000"/>
                  <w:spacing w:val="0"/>
                  <w:sz w:val="22"/>
                  <w:szCs w:val="22"/>
                  <w:lang w:eastAsia="ru-RU"/>
                </w:rPr>
                <w:t>https://mktranskam.ru/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ru-RU"/>
              </w:rPr>
              <w:t>, 683031, Камчатский край, г Петропавловск-Камчатский, пр-кт Карла Маркса, д 29/1, офис 205</w:t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ООО «Камчатская энергетическая компания»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(800) 234-79-17, </w:t>
            </w:r>
            <w:hyperlink r:id="rId19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https://kek41.ru/</w:t>
              </w:r>
            </w:hyperlink>
          </w:p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683031, Камчатский край, г. Петропавловск-Камчатский, пр. Карла Маркса, д. 11А, пом. 3</w:t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"ОКЕАН-ГАЗ"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auto"/>
                <w:sz w:val="22"/>
                <w:szCs w:val="22"/>
                <w:lang w:eastAsia="ru-RU"/>
              </w:rPr>
              <w:t xml:space="preserve">+7 (4152) 42-06-01, +7(914) 628 51 44, +7(4152) 21 56 70, </w:t>
            </w:r>
            <w:hyperlink r:id="rId20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color w:val="auto"/>
                  <w:sz w:val="22"/>
                  <w:szCs w:val="22"/>
                  <w:lang w:eastAsia="ru-RU"/>
                </w:rPr>
                <w:t>https://oceangas.ru/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auto"/>
                <w:sz w:val="22"/>
                <w:szCs w:val="22"/>
                <w:lang w:eastAsia="ru-RU"/>
              </w:rPr>
              <w:t>,</w:t>
            </w:r>
          </w:p>
          <w:p>
            <w:pPr>
              <w:pStyle w:val="3"/>
              <w:spacing w:lineRule="auto" w:line="24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  <w:t>Юридический адрес для отправки корреспонденции: 683009, Камчатский край, г. Петропавловск-Камчатский,  ул. Академика Королева, д. 35, кв. 25</w:t>
            </w:r>
          </w:p>
          <w:p>
            <w:pPr>
              <w:pStyle w:val="3"/>
              <w:widowControl/>
              <w:pBdr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  <w:t>Фактический адрес для приема посетителей:</w:t>
            </w:r>
          </w:p>
          <w:p>
            <w:pPr>
              <w:pStyle w:val="Style20"/>
              <w:widowControl/>
              <w:pBdr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  <w:t>г. Петропавловск-Камчатский, ул. Бохняка, д. 3, кв. первый этаж, вход со двора по центру здания (пластиковый модуль)</w:t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"Марлин"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2"/>
              <w:spacing w:before="0" w:after="0"/>
              <w:contextualSpacing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(4152) 42-02-09, </w:t>
            </w:r>
            <w:hyperlink r:id="rId21">
              <w:r>
                <w:rPr>
                  <w:rStyle w:val="Style10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http://intarsia.nethouse.ru</w:t>
              </w:r>
            </w:hyperlink>
          </w:p>
          <w:p>
            <w:pPr>
              <w:pStyle w:val="2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683000, Россия, Петропавловск-Камчатский, УЛ. ОЗЕРНОВСКАЯ КОСА, Д. 11</w:t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"Электролиния"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2"/>
              <w:spacing w:before="0" w:after="0"/>
              <w:contextualSpacing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+7 962 291 53 68, </w:t>
            </w:r>
            <w:hyperlink r:id="rId22">
              <w:r>
                <w:rPr>
                  <w:rStyle w:val="Style10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http://protoktp.ru/</w:t>
              </w:r>
            </w:hyperlink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,</w:t>
            </w:r>
          </w:p>
          <w:p>
            <w:pPr>
              <w:pStyle w:val="2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683003, КАМЧАТСКИЙ КРАЙ, Г. ПЕТРОПАВЛОВСК-КАМЧАТСКИЙ, УЛ. ЛЕНИНГРАДСКАЯ, Д. 65\1, КВ. 45</w:t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"ТАРГЕТЭН"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+7 (914) 022 7008, https://targeten.ru/</w:t>
            </w:r>
          </w:p>
          <w:p>
            <w:pPr>
              <w:pStyle w:val="2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683003, Камчатский край, г Петропавловск-Камчатский, ул Ленинградская, д 124а, кв.50</w:t>
            </w:r>
          </w:p>
        </w:tc>
      </w:tr>
    </w:tbl>
    <w:p>
      <w:pPr>
        <w:pStyle w:val="Normal"/>
        <w:ind w:left="-142" w:hanging="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ind w:left="-142" w:hanging="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ind w:left="-142" w:hanging="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Примечание</w:t>
      </w:r>
    </w:p>
    <w:p>
      <w:pPr>
        <w:pStyle w:val="Normal"/>
        <w:tabs>
          <w:tab w:val="center" w:pos="4153" w:leader="none"/>
          <w:tab w:val="right" w:pos="8306" w:leader="none"/>
        </w:tabs>
        <w:ind w:left="-142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При отсутствии круглосуточного дежурства оперативного электротехнического персонала дополнительно в списке указать номер телефона дежурного по предприятию</w:t>
      </w:r>
      <w:r>
        <w:rPr>
          <w:rFonts w:ascii="Times New Roman" w:hAnsi="Times New Roman"/>
        </w:rPr>
        <w:t>.</w:t>
      </w:r>
    </w:p>
    <w:p>
      <w:pPr>
        <w:pStyle w:val="Normal"/>
        <w:tabs>
          <w:tab w:val="center" w:pos="4153" w:leader="none"/>
          <w:tab w:val="right" w:pos="8306" w:leader="none"/>
        </w:tabs>
        <w:ind w:left="-142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enter" w:pos="4153" w:leader="none"/>
          <w:tab w:val="right" w:pos="8306" w:leader="none"/>
        </w:tabs>
        <w:ind w:left="-142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7">
                <wp:simplePos x="0" y="0"/>
                <wp:positionH relativeFrom="margin">
                  <wp:posOffset>-42545</wp:posOffset>
                </wp:positionH>
                <wp:positionV relativeFrom="paragraph">
                  <wp:posOffset>186055</wp:posOffset>
                </wp:positionV>
                <wp:extent cx="6015355" cy="876300"/>
                <wp:effectExtent l="0" t="0" r="0" b="0"/>
                <wp:wrapSquare wrapText="bothSides"/>
                <wp:docPr id="6" name="Врезка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355" cy="87630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41" w:tblpY="293" w:topFromText="0" w:vertAnchor="text"/>
                              <w:tblW w:w="9473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4643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jc w:val="both"/>
                                    <w:outlineLvl w:val="1"/>
                                    <w:rPr/>
                                  </w:pP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Муниципальный заказчик 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Потребитель</w:t>
                                  </w: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_________________ _________________ 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______________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473.65pt;height:69pt;mso-wrap-distance-left:9pt;mso-wrap-distance-right:9pt;mso-wrap-distance-top:0pt;mso-wrap-distance-bottom:0pt;margin-top:14.65pt;mso-position-vertical-relative:text;margin-left:-3.35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41" w:tblpY="293" w:topFromText="0" w:vertAnchor="text"/>
                        <w:tblW w:w="9473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4643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jc w:val="both"/>
                              <w:outlineLvl w:val="1"/>
                              <w:rPr/>
                            </w:pP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Муниципальный заказчик 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Потребитель</w:t>
                            </w: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_________________ _________________ 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______________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______________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iCs/>
          <w:color w:val="0000FF"/>
        </w:rPr>
      </w:pPr>
      <w:r>
        <w:rPr>
          <w:rFonts w:ascii="Times New Roman" w:hAnsi="Times New Roman"/>
          <w:iCs/>
          <w:color w:val="0000FF"/>
        </w:rPr>
      </w:r>
    </w:p>
    <w:p>
      <w:pPr>
        <w:pStyle w:val="Normal"/>
        <w:pBdr/>
        <w:rPr/>
      </w:pPr>
      <w:r>
        <w:rPr/>
      </w:r>
    </w:p>
    <w:sectPr>
      <w:footerReference w:type="default" r:id="rId23"/>
      <w:type w:val="nextPage"/>
      <w:pgSz w:w="11906" w:h="16838"/>
      <w:pgMar w:left="1276" w:right="708" w:header="0" w:top="993" w:footer="268" w:bottom="851" w:gutter="0"/>
      <w:pgNumType w:fmt="decimal"/>
      <w:formProt w:val="false"/>
      <w:titlePg/>
      <w:textDirection w:val="lrTb"/>
      <w:docGrid w:type="default" w:linePitch="272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af2"/>
      <w:tblW w:w="9918" w:type="dxa"/>
      <w:jc w:val="center"/>
      <w:tblInd w:w="0" w:type="dxa"/>
      <w:tblCellMar>
        <w:top w:w="0" w:type="dxa"/>
        <w:left w:w="108" w:type="dxa"/>
        <w:bottom w:w="0" w:type="dxa"/>
        <w:right w:w="108" w:type="dxa"/>
      </w:tblCellMar>
      <w:tblLook w:val="04a0" w:noVBand="1" w:noHBand="0" w:lastColumn="0" w:firstColumn="1" w:lastRow="0" w:firstRow="1"/>
    </w:tblPr>
    <w:tblGrid>
      <w:gridCol w:w="4530"/>
      <w:gridCol w:w="5387"/>
    </w:tblGrid>
    <w:tr>
      <w:trPr/>
      <w:tc>
        <w:tcPr>
          <w:tcW w:w="4530" w:type="dxa"/>
          <w:tcBorders/>
          <w:shd w:fill="auto" w:val="clear"/>
          <w:tcMar>
            <w:left w:w="108" w:type="dxa"/>
          </w:tcMar>
        </w:tcPr>
        <w:p>
          <w:pPr>
            <w:pStyle w:val="Normal"/>
            <w:spacing w:lineRule="auto" w:line="240" w:before="0" w:after="0"/>
            <w:rPr>
              <w:rFonts w:ascii="Times New Roman" w:hAnsi="Times New Roman"/>
              <w:sz w:val="18"/>
              <w:szCs w:val="18"/>
            </w:rPr>
          </w:pPr>
          <w:r>
            <w:rPr>
              <w:rFonts w:eastAsia="Times New Roman" w:cs="Times New Roman" w:ascii="Times New Roman" w:hAnsi="Times New Roman"/>
              <w:sz w:val="18"/>
              <w:szCs w:val="18"/>
              <w:lang w:eastAsia="ru-RU"/>
            </w:rPr>
            <w:t>Исполнитель</w:t>
          </w:r>
        </w:p>
      </w:tc>
      <w:tc>
        <w:tcPr>
          <w:tcW w:w="5387" w:type="dxa"/>
          <w:tcBorders/>
          <w:shd w:fill="auto" w:val="clear"/>
          <w:tcMar>
            <w:left w:w="108" w:type="dxa"/>
          </w:tcMar>
        </w:tcPr>
        <w:p>
          <w:pPr>
            <w:pStyle w:val="Normal"/>
            <w:spacing w:lineRule="auto" w:line="240" w:before="0" w:after="0"/>
            <w:rPr>
              <w:rFonts w:ascii="Times New Roman" w:hAnsi="Times New Roman"/>
              <w:sz w:val="18"/>
              <w:szCs w:val="18"/>
            </w:rPr>
          </w:pPr>
          <w:r>
            <w:rPr>
              <w:rFonts w:eastAsia="Times New Roman" w:cs="Times New Roman" w:ascii="Times New Roman" w:hAnsi="Times New Roman"/>
              <w:sz w:val="18"/>
              <w:szCs w:val="18"/>
              <w:lang w:eastAsia="ru-RU"/>
            </w:rPr>
            <w:t>Муниципальный заказчик (Потребитель)</w:t>
          </w:r>
          <w:r>
            <w:rPr>
              <w:rFonts w:eastAsia="Times New Roman" w:cs="Times New Roman" w:ascii="Times New Roman" w:hAnsi="Times New Roman"/>
              <w:sz w:val="22"/>
              <w:szCs w:val="22"/>
              <w:lang w:eastAsia="ru-RU"/>
            </w:rPr>
            <w:t xml:space="preserve"> </w:t>
          </w:r>
        </w:p>
      </w:tc>
    </w:tr>
    <w:tr>
      <w:trPr/>
      <w:tc>
        <w:tcPr>
          <w:tcW w:w="9917" w:type="dxa"/>
          <w:gridSpan w:val="2"/>
          <w:tcBorders/>
          <w:shd w:fill="auto" w:val="clear"/>
          <w:tcMar>
            <w:left w:w="108" w:type="dxa"/>
          </w:tcMar>
        </w:tcPr>
        <w:p>
          <w:pPr>
            <w:pStyle w:val="Style24"/>
            <w:spacing w:lineRule="auto" w:line="240" w:before="0" w:after="0"/>
            <w:ind w:firstLine="598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eastAsia="Times New Roman" w:cs="Times New Roman" w:ascii="Times New Roman" w:hAnsi="Times New Roman"/>
              <w:sz w:val="18"/>
              <w:szCs w:val="18"/>
              <w:lang w:eastAsia="ru-RU"/>
            </w:rPr>
            <w:t>Муниципальный контракт энергоснабжения</w:t>
          </w:r>
        </w:p>
      </w:tc>
    </w:tr>
  </w:tbl>
  <w:p>
    <w:pPr>
      <w:pStyle w:val="Style24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</w:p>
  <w:tbl>
    <w:tblPr>
      <w:tblStyle w:val="af2"/>
      <w:tblW w:w="9918" w:type="dxa"/>
      <w:jc w:val="left"/>
      <w:tblInd w:w="-5" w:type="dxa"/>
      <w:tblCellMar>
        <w:top w:w="0" w:type="dxa"/>
        <w:left w:w="108" w:type="dxa"/>
        <w:bottom w:w="0" w:type="dxa"/>
        <w:right w:w="108" w:type="dxa"/>
      </w:tblCellMar>
      <w:tblLook w:val="04a0" w:noVBand="1" w:noHBand="0" w:lastColumn="0" w:firstColumn="1" w:lastRow="0" w:firstRow="1"/>
    </w:tblPr>
    <w:tblGrid>
      <w:gridCol w:w="4926"/>
      <w:gridCol w:w="4927"/>
      <w:gridCol w:w="65"/>
    </w:tblGrid>
    <w:tr>
      <w:trPr/>
      <w:tc>
        <w:tcPr>
          <w:tcW w:w="4926" w:type="dxa"/>
          <w:tcBorders/>
          <w:shd w:fill="auto" w:val="clear"/>
          <w:tcMar>
            <w:left w:w="108" w:type="dxa"/>
          </w:tcMar>
        </w:tcPr>
        <w:p>
          <w:pPr>
            <w:pStyle w:val="Normal"/>
            <w:spacing w:lineRule="auto" w:line="240" w:before="0" w:after="0"/>
            <w:rPr>
              <w:rFonts w:ascii="Times New Roman" w:hAnsi="Times New Roman"/>
              <w:sz w:val="18"/>
              <w:szCs w:val="18"/>
            </w:rPr>
          </w:pPr>
          <w:r>
            <w:rPr>
              <w:rFonts w:eastAsia="Times New Roman" w:cs="Times New Roman" w:ascii="Times New Roman" w:hAnsi="Times New Roman"/>
              <w:sz w:val="18"/>
              <w:szCs w:val="18"/>
              <w:lang w:eastAsia="ru-RU"/>
            </w:rPr>
            <w:t>Исполнитель</w:t>
          </w:r>
        </w:p>
      </w:tc>
      <w:tc>
        <w:tcPr>
          <w:tcW w:w="4927" w:type="dxa"/>
          <w:tcBorders/>
          <w:shd w:fill="auto" w:val="clear"/>
          <w:tcMar>
            <w:left w:w="108" w:type="dxa"/>
          </w:tcMar>
        </w:tcPr>
        <w:p>
          <w:pPr>
            <w:pStyle w:val="Normal"/>
            <w:spacing w:lineRule="auto" w:line="240" w:before="0" w:after="0"/>
            <w:rPr>
              <w:rFonts w:ascii="Times New Roman" w:hAnsi="Times New Roman"/>
              <w:sz w:val="18"/>
              <w:szCs w:val="18"/>
            </w:rPr>
          </w:pPr>
          <w:r>
            <w:rPr>
              <w:rFonts w:eastAsia="Times New Roman" w:cs="Times New Roman" w:ascii="Times New Roman" w:hAnsi="Times New Roman"/>
              <w:sz w:val="18"/>
              <w:szCs w:val="18"/>
              <w:lang w:eastAsia="ru-RU"/>
            </w:rPr>
            <w:t>Муниципальный контракт (Потребитель)</w:t>
          </w:r>
        </w:p>
      </w:tc>
      <w:tc>
        <w:tcPr>
          <w:tcW w:w="65" w:type="dxa"/>
          <w:tcBorders>
            <w:top w:val="nil"/>
            <w:left w:val="nil"/>
            <w:bottom w:val="nil"/>
            <w:right w:val="nil"/>
            <w:insideH w:val="nil"/>
            <w:insideV w:val="nil"/>
          </w:tcBorders>
          <w:shd w:fill="auto" w:val="clear"/>
        </w:tcPr>
        <w:p>
          <w:pPr>
            <w:pStyle w:val="Normal"/>
            <w:spacing w:lineRule="auto" w:line="240" w:before="0" w:after="0"/>
            <w:rPr>
              <w:rFonts w:ascii="Times New Roman" w:hAnsi="Times New Roman" w:eastAsia="Times New Roman" w:cs="Times New Roman"/>
              <w:szCs w:val="20"/>
              <w:lang w:eastAsia="ru-RU"/>
            </w:rPr>
          </w:pPr>
          <w:r>
            <w:rPr>
              <w:rFonts w:eastAsia="Times New Roman" w:cs="Times New Roman" w:ascii="Times New Roman" w:hAnsi="Times New Roman"/>
              <w:szCs w:val="20"/>
              <w:lang w:eastAsia="ru-RU"/>
            </w:rPr>
          </w:r>
        </w:p>
      </w:tc>
    </w:tr>
    <w:tr>
      <w:trPr/>
      <w:tc>
        <w:tcPr>
          <w:tcW w:w="9918" w:type="dxa"/>
          <w:gridSpan w:val="3"/>
          <w:tcBorders/>
          <w:shd w:fill="auto" w:val="clear"/>
          <w:tcMar>
            <w:left w:w="108" w:type="dxa"/>
          </w:tcMar>
        </w:tcPr>
        <w:p>
          <w:pPr>
            <w:pStyle w:val="Style24"/>
            <w:spacing w:lineRule="auto" w:line="240" w:before="0" w:after="0"/>
            <w:ind w:firstLine="598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eastAsia="Times New Roman" w:cs="Times New Roman" w:ascii="Times New Roman" w:hAnsi="Times New Roman"/>
              <w:sz w:val="18"/>
              <w:szCs w:val="18"/>
              <w:lang w:eastAsia="ru-RU"/>
            </w:rPr>
            <w:t>Муниципальный контракт энергоснабжения</w:t>
          </w:r>
        </w:p>
      </w:tc>
    </w:tr>
  </w:tbl>
  <w:p>
    <w:pPr>
      <w:pStyle w:val="Style24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</w:r>
  </w:p>
  <w:p>
    <w:pPr>
      <w:pStyle w:val="Style24"/>
      <w:ind w:right="360" w:hanging="0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sz w:val="22"/>
        <w:b/>
        <w:szCs w:val="20"/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fals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lvl w:ilvl="0">
      <w:start w:val="1"/>
      <w:numFmt w:val="decimal"/>
      <w:lvlText w:val="%1."/>
      <w:lvlJc w:val="left"/>
      <w:pPr>
        <w:ind w:left="1020" w:hanging="1020"/>
      </w:pPr>
    </w:lvl>
    <w:lvl w:ilvl="1">
      <w:start w:val="1"/>
      <w:numFmt w:val="decimal"/>
      <w:lvlText w:val="%1.%2."/>
      <w:lvlJc w:val="left"/>
      <w:pPr>
        <w:ind w:left="1020" w:hanging="1020"/>
      </w:pPr>
      <w:rPr>
        <w:sz w:val="22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1020" w:hanging="1020"/>
      </w:pPr>
    </w:lvl>
    <w:lvl w:ilvl="3">
      <w:start w:val="1"/>
      <w:numFmt w:val="decimal"/>
      <w:lvlText w:val="%1.%2.%3.%4."/>
      <w:lvlJc w:val="left"/>
      <w:pPr>
        <w:ind w:left="1020" w:hanging="10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lvl w:ilvl="0">
      <w:start w:val="2"/>
      <w:numFmt w:val="decimal"/>
      <w:lvlText w:val="%1."/>
      <w:lvlJc w:val="left"/>
      <w:pPr>
        <w:ind w:left="360" w:hanging="360"/>
      </w:pPr>
      <w:rPr>
        <w:sz w:val="22"/>
        <w:b/>
        <w:rFonts w:ascii="Times New Roman" w:hAnsi="Times New Roman"/>
        <w:color w:val="00000A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2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2"/>
        <w:b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2"/>
        <w:b/>
        <w:rFonts w:ascii="Times New Roman" w:hAnsi="Times New Roman"/>
        <w:color w:val="00000A"/>
      </w:r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900" w:hanging="540"/>
      </w:pPr>
    </w:lvl>
    <w:lvl w:ilvl="2">
      <w:start w:val="1"/>
      <w:numFmt w:val="decimal"/>
      <w:lvlText w:val="%1.%2.%3."/>
      <w:lvlJc w:val="left"/>
      <w:pPr>
        <w:ind w:left="1440" w:hanging="720"/>
      </w:pPr>
      <w:rPr>
        <w:sz w:val="22"/>
        <w:b/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b/>
        <w:szCs w:val="20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  <w:position w:val="0"/>
        <w:sz w:val="20"/>
        <w:b/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8"/>
      <w:numFmt w:val="decimal"/>
      <w:lvlText w:val="%1."/>
      <w:lvlJc w:val="left"/>
      <w:pPr>
        <w:ind w:left="360" w:hanging="360"/>
      </w:pPr>
      <w:rPr>
        <w:sz w:val="22"/>
        <w:b/>
        <w:rFonts w:ascii="Times New Roman" w:hAnsi="Times New Roman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sz w:val="22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sz w:val="22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iPriority="0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234e"/>
    <w:pPr>
      <w:widowControl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auto"/>
      <w:sz w:val="20"/>
      <w:szCs w:val="20"/>
      <w:lang w:eastAsia="ru-RU" w:val="ru-RU" w:bidi="ar-SA"/>
    </w:rPr>
  </w:style>
  <w:style w:type="paragraph" w:styleId="1">
    <w:name w:val="Heading 1"/>
    <w:basedOn w:val="Normal"/>
    <w:link w:val="10"/>
    <w:qFormat/>
    <w:rsid w:val="0000234e"/>
    <w:pPr>
      <w:keepNext w:val="true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Normal"/>
    <w:link w:val="20"/>
    <w:qFormat/>
    <w:rsid w:val="0000234e"/>
    <w:pPr>
      <w:keepNext w:val="true"/>
      <w:outlineLvl w:val="1"/>
    </w:pPr>
    <w:rPr>
      <w:rFonts w:ascii="Times New Roman" w:hAnsi="Times New Roman"/>
      <w:b/>
    </w:rPr>
  </w:style>
  <w:style w:type="paragraph" w:styleId="3">
    <w:name w:val="Heading 3"/>
    <w:basedOn w:val="Normal"/>
    <w:link w:val="30"/>
    <w:qFormat/>
    <w:rsid w:val="0000234e"/>
    <w:pPr>
      <w:keepNext w:val="true"/>
      <w:outlineLvl w:val="2"/>
    </w:pPr>
    <w:rPr>
      <w:rFonts w:ascii="Times New Roman" w:hAnsi="Times New Roman"/>
      <w:b/>
      <w:sz w:val="24"/>
    </w:rPr>
  </w:style>
  <w:style w:type="paragraph" w:styleId="4">
    <w:name w:val="Heading 4"/>
    <w:basedOn w:val="Normal"/>
    <w:link w:val="40"/>
    <w:qFormat/>
    <w:rsid w:val="0000234e"/>
    <w:pPr>
      <w:keepNext w:val="true"/>
      <w:jc w:val="center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Normal"/>
    <w:link w:val="50"/>
    <w:qFormat/>
    <w:rsid w:val="0000234e"/>
    <w:pPr>
      <w:keepNext w:val="true"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Normal"/>
    <w:link w:val="60"/>
    <w:qFormat/>
    <w:rsid w:val="0000234e"/>
    <w:pPr>
      <w:keepNext w:val="true"/>
      <w:ind w:right="164" w:hanging="0"/>
      <w:outlineLvl w:val="5"/>
    </w:pPr>
    <w:rPr>
      <w:rFonts w:ascii="Times New Roman" w:hAnsi="Times New Roman"/>
      <w:b/>
      <w:bCs/>
      <w:sz w:val="24"/>
    </w:rPr>
  </w:style>
  <w:style w:type="paragraph" w:styleId="7">
    <w:name w:val="Heading 7"/>
    <w:basedOn w:val="Normal"/>
    <w:link w:val="70"/>
    <w:qFormat/>
    <w:rsid w:val="0000234e"/>
    <w:pPr>
      <w:keepNext w:val="true"/>
      <w:ind w:left="360" w:right="254" w:hanging="0"/>
      <w:jc w:val="both"/>
      <w:outlineLvl w:val="6"/>
    </w:pPr>
    <w:rPr>
      <w:rFonts w:ascii="Times New Roman" w:hAnsi="Times New Roman"/>
      <w:bCs/>
      <w:sz w:val="24"/>
    </w:rPr>
  </w:style>
  <w:style w:type="paragraph" w:styleId="8">
    <w:name w:val="Heading 8"/>
    <w:basedOn w:val="Normal"/>
    <w:link w:val="80"/>
    <w:qFormat/>
    <w:rsid w:val="0000234e"/>
    <w:pPr>
      <w:keepNext w:val="true"/>
      <w:spacing w:lineRule="atLeast" w:line="240"/>
      <w:ind w:left="360" w:right="226" w:hanging="0"/>
      <w:jc w:val="both"/>
      <w:outlineLvl w:val="7"/>
    </w:pPr>
    <w:rPr>
      <w:rFonts w:ascii="Times New Roman" w:hAnsi="Times New Roman"/>
      <w:i/>
      <w:iCs/>
      <w:sz w:val="26"/>
    </w:rPr>
  </w:style>
  <w:style w:type="paragraph" w:styleId="9">
    <w:name w:val="Heading 9"/>
    <w:basedOn w:val="Normal"/>
    <w:link w:val="90"/>
    <w:qFormat/>
    <w:rsid w:val="0000234e"/>
    <w:pPr>
      <w:keepNext w:val="true"/>
      <w:spacing w:lineRule="atLeast" w:line="240"/>
      <w:ind w:left="360" w:right="226" w:hanging="0"/>
      <w:jc w:val="both"/>
      <w:outlineLvl w:val="8"/>
    </w:pPr>
    <w:rPr>
      <w:rFonts w:ascii="Times New Roman" w:hAnsi="Times New Roman"/>
      <w:b/>
      <w:bCs/>
      <w:i/>
      <w:iCs/>
      <w:sz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00234e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21" w:customStyle="1">
    <w:name w:val="Заголовок 2 Знак"/>
    <w:basedOn w:val="DefaultParagraphFont"/>
    <w:link w:val="2"/>
    <w:qFormat/>
    <w:rsid w:val="0000234e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31" w:customStyle="1">
    <w:name w:val="Заголовок 3 Знак"/>
    <w:basedOn w:val="DefaultParagraphFont"/>
    <w:link w:val="3"/>
    <w:qFormat/>
    <w:rsid w:val="0000234e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41" w:customStyle="1">
    <w:name w:val="Заголовок 4 Знак"/>
    <w:basedOn w:val="DefaultParagraphFont"/>
    <w:link w:val="4"/>
    <w:qFormat/>
    <w:rsid w:val="0000234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51" w:customStyle="1">
    <w:name w:val="Заголовок 5 Знак"/>
    <w:basedOn w:val="DefaultParagraphFont"/>
    <w:link w:val="5"/>
    <w:qFormat/>
    <w:rsid w:val="0000234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61" w:customStyle="1">
    <w:name w:val="Заголовок 6 Знак"/>
    <w:basedOn w:val="DefaultParagraphFont"/>
    <w:link w:val="6"/>
    <w:qFormat/>
    <w:rsid w:val="0000234e"/>
    <w:rPr>
      <w:rFonts w:ascii="Times New Roman" w:hAnsi="Times New Roman" w:eastAsia="Times New Roman" w:cs="Times New Roman"/>
      <w:b/>
      <w:bCs/>
      <w:sz w:val="24"/>
      <w:szCs w:val="20"/>
      <w:lang w:eastAsia="ru-RU"/>
    </w:rPr>
  </w:style>
  <w:style w:type="character" w:styleId="71" w:customStyle="1">
    <w:name w:val="Заголовок 7 Знак"/>
    <w:basedOn w:val="DefaultParagraphFont"/>
    <w:link w:val="7"/>
    <w:qFormat/>
    <w:rsid w:val="0000234e"/>
    <w:rPr>
      <w:rFonts w:ascii="Times New Roman" w:hAnsi="Times New Roman" w:eastAsia="Times New Roman" w:cs="Times New Roman"/>
      <w:bCs/>
      <w:sz w:val="24"/>
      <w:szCs w:val="20"/>
      <w:lang w:eastAsia="ru-RU"/>
    </w:rPr>
  </w:style>
  <w:style w:type="character" w:styleId="81" w:customStyle="1">
    <w:name w:val="Заголовок 8 Знак"/>
    <w:basedOn w:val="DefaultParagraphFont"/>
    <w:link w:val="8"/>
    <w:qFormat/>
    <w:rsid w:val="0000234e"/>
    <w:rPr>
      <w:rFonts w:ascii="Times New Roman" w:hAnsi="Times New Roman" w:eastAsia="Times New Roman" w:cs="Times New Roman"/>
      <w:i/>
      <w:iCs/>
      <w:sz w:val="26"/>
      <w:szCs w:val="20"/>
      <w:lang w:eastAsia="ru-RU"/>
    </w:rPr>
  </w:style>
  <w:style w:type="character" w:styleId="91" w:customStyle="1">
    <w:name w:val="Заголовок 9 Знак"/>
    <w:basedOn w:val="DefaultParagraphFont"/>
    <w:link w:val="9"/>
    <w:qFormat/>
    <w:rsid w:val="0000234e"/>
    <w:rPr>
      <w:rFonts w:ascii="Times New Roman" w:hAnsi="Times New Roman" w:eastAsia="Times New Roman" w:cs="Times New Roman"/>
      <w:b/>
      <w:bCs/>
      <w:i/>
      <w:iCs/>
      <w:sz w:val="26"/>
      <w:szCs w:val="20"/>
      <w:lang w:eastAsia="ru-RU"/>
    </w:rPr>
  </w:style>
  <w:style w:type="character" w:styleId="Style5" w:customStyle="1">
    <w:name w:val="Основной текст Знак"/>
    <w:basedOn w:val="DefaultParagraphFont"/>
    <w:link w:val="a3"/>
    <w:qFormat/>
    <w:rsid w:val="0000234e"/>
    <w:rPr>
      <w:rFonts w:ascii="Arial" w:hAnsi="Arial" w:eastAsia="Times New Roman" w:cs="Times New Roman"/>
      <w:sz w:val="24"/>
      <w:szCs w:val="20"/>
      <w:lang w:eastAsia="ru-RU"/>
    </w:rPr>
  </w:style>
  <w:style w:type="character" w:styleId="22" w:customStyle="1">
    <w:name w:val="Основной текст 2 Знак"/>
    <w:basedOn w:val="DefaultParagraphFont"/>
    <w:link w:val="21"/>
    <w:qFormat/>
    <w:rsid w:val="0000234e"/>
    <w:rPr>
      <w:rFonts w:ascii="Times New Roman" w:hAnsi="Times New Roman" w:eastAsia="Times New Roman" w:cs="Times New Roman"/>
      <w:szCs w:val="20"/>
      <w:lang w:eastAsia="ru-RU"/>
    </w:rPr>
  </w:style>
  <w:style w:type="character" w:styleId="Style6" w:customStyle="1">
    <w:name w:val="Нижний колонтитул Знак"/>
    <w:basedOn w:val="DefaultParagraphFont"/>
    <w:link w:val="a5"/>
    <w:uiPriority w:val="99"/>
    <w:qFormat/>
    <w:rsid w:val="0000234e"/>
    <w:rPr>
      <w:rFonts w:ascii="Arial" w:hAnsi="Arial"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qFormat/>
    <w:rsid w:val="0000234e"/>
    <w:rPr/>
  </w:style>
  <w:style w:type="character" w:styleId="32" w:customStyle="1">
    <w:name w:val="Основной текст 3 Знак"/>
    <w:basedOn w:val="DefaultParagraphFont"/>
    <w:link w:val="31"/>
    <w:qFormat/>
    <w:rsid w:val="0000234e"/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Style7" w:customStyle="1">
    <w:name w:val="Заголовок Знак"/>
    <w:basedOn w:val="DefaultParagraphFont"/>
    <w:link w:val="a8"/>
    <w:qFormat/>
    <w:rsid w:val="0000234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8" w:customStyle="1">
    <w:name w:val="Верхний колонтитул Знак"/>
    <w:basedOn w:val="DefaultParagraphFont"/>
    <w:link w:val="ab"/>
    <w:qFormat/>
    <w:rsid w:val="0000234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Основной текст с отступом Знак"/>
    <w:basedOn w:val="DefaultParagraphFont"/>
    <w:link w:val="ad"/>
    <w:qFormat/>
    <w:rsid w:val="0000234e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0">
    <w:name w:val="Интернет-ссылка"/>
    <w:rsid w:val="0000234e"/>
    <w:rPr>
      <w:color w:val="0000FF"/>
      <w:u w:val="single"/>
    </w:rPr>
  </w:style>
  <w:style w:type="character" w:styleId="Style11" w:customStyle="1">
    <w:name w:val="Шапка Знак"/>
    <w:basedOn w:val="DefaultParagraphFont"/>
    <w:link w:val="af0"/>
    <w:qFormat/>
    <w:rsid w:val="0000234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af3"/>
    <w:qFormat/>
    <w:rsid w:val="0000234e"/>
    <w:rPr>
      <w:rFonts w:ascii="Tahoma" w:hAnsi="Tahoma" w:eastAsia="Times New Roman" w:cs="Times New Roman"/>
      <w:sz w:val="16"/>
      <w:szCs w:val="16"/>
      <w:lang w:eastAsia="ru-RU"/>
    </w:rPr>
  </w:style>
  <w:style w:type="character" w:styleId="Style13" w:customStyle="1">
    <w:name w:val="Заголовок сообщения (текст)"/>
    <w:qFormat/>
    <w:rsid w:val="0000234e"/>
    <w:rPr>
      <w:rFonts w:ascii="Arial" w:hAnsi="Arial" w:cs="Arial"/>
      <w:b/>
      <w:bCs w:val="false"/>
      <w:spacing w:val="-4"/>
      <w:position w:val="0"/>
      <w:sz w:val="18"/>
      <w:sz w:val="18"/>
      <w:vertAlign w:val="baseline"/>
    </w:rPr>
  </w:style>
  <w:style w:type="character" w:styleId="13" w:customStyle="1">
    <w:name w:val="ТР_13_обычный Знак"/>
    <w:link w:val="13"/>
    <w:qFormat/>
    <w:rsid w:val="0000234e"/>
    <w:rPr>
      <w:rFonts w:ascii="Times New Roman" w:hAnsi="Times New Roman" w:eastAsia="Times New Roman" w:cs="Times New Roman"/>
      <w:color w:val="421CE2"/>
      <w:sz w:val="26"/>
      <w:szCs w:val="26"/>
      <w:lang w:eastAsia="ru-RU"/>
    </w:rPr>
  </w:style>
  <w:style w:type="character" w:styleId="131" w:customStyle="1">
    <w:name w:val="ТР_13_жирный Знак"/>
    <w:link w:val="131"/>
    <w:qFormat/>
    <w:rsid w:val="0000234e"/>
    <w:rPr>
      <w:rFonts w:ascii="Times New Roman" w:hAnsi="Times New Roman" w:eastAsia="Times New Roman" w:cs="Times New Roman"/>
      <w:b/>
      <w:color w:val="421CE2"/>
      <w:sz w:val="26"/>
      <w:szCs w:val="20"/>
      <w:lang w:eastAsia="ru-RU"/>
    </w:rPr>
  </w:style>
  <w:style w:type="character" w:styleId="12" w:customStyle="1">
    <w:name w:val="ТР_12_жир Знак"/>
    <w:link w:val="12"/>
    <w:qFormat/>
    <w:rsid w:val="0000234e"/>
    <w:rPr>
      <w:rFonts w:ascii="Times New Roman" w:hAnsi="Times New Roman" w:eastAsia="Times New Roman" w:cs="Times New Roman"/>
      <w:b/>
      <w:color w:val="421CE2"/>
      <w:sz w:val="24"/>
      <w:szCs w:val="24"/>
      <w:lang w:val="en-US" w:eastAsia="ru-RU"/>
    </w:rPr>
  </w:style>
  <w:style w:type="character" w:styleId="115" w:customStyle="1">
    <w:name w:val="Тр115_обычн Знак"/>
    <w:link w:val="115"/>
    <w:qFormat/>
    <w:rsid w:val="0000234e"/>
    <w:rPr>
      <w:rFonts w:ascii="Times New Roman" w:hAnsi="Times New Roman" w:eastAsia="Times New Roman" w:cs="Times New Roman"/>
      <w:color w:val="421CE2"/>
      <w:sz w:val="24"/>
      <w:szCs w:val="20"/>
      <w:lang w:eastAsia="ru-RU"/>
    </w:rPr>
  </w:style>
  <w:style w:type="character" w:styleId="125" w:customStyle="1">
    <w:name w:val="Обычный125Жир Знак"/>
    <w:link w:val="125"/>
    <w:qFormat/>
    <w:rsid w:val="0000234e"/>
    <w:rPr>
      <w:rFonts w:ascii="Times New Roman" w:hAnsi="Times New Roman" w:eastAsia="Times New Roman" w:cs="Times New Roman"/>
      <w:b/>
      <w:bCs/>
      <w:color w:val="0000FF"/>
      <w:sz w:val="25"/>
      <w:szCs w:val="25"/>
      <w:lang w:eastAsia="ru-RU"/>
    </w:rPr>
  </w:style>
  <w:style w:type="character" w:styleId="121" w:customStyle="1">
    <w:name w:val="Об12жир Знак"/>
    <w:link w:val="122"/>
    <w:qFormat/>
    <w:locked/>
    <w:rsid w:val="0000234e"/>
    <w:rPr>
      <w:b/>
      <w:bCs/>
      <w:color w:val="0000FF"/>
      <w:sz w:val="24"/>
      <w:szCs w:val="24"/>
    </w:rPr>
  </w:style>
  <w:style w:type="character" w:styleId="132" w:customStyle="1">
    <w:name w:val="Об_13_Жир Знак"/>
    <w:link w:val="133"/>
    <w:qFormat/>
    <w:rsid w:val="0000234e"/>
    <w:rPr>
      <w:rFonts w:ascii="Times New Roman" w:hAnsi="Times New Roman" w:eastAsia="Times New Roman" w:cs="Times New Roman"/>
      <w:b/>
      <w:color w:val="0000FF"/>
      <w:sz w:val="26"/>
      <w:szCs w:val="26"/>
      <w:lang w:eastAsia="ru-RU"/>
    </w:rPr>
  </w:style>
  <w:style w:type="character" w:styleId="23" w:customStyle="1">
    <w:name w:val="Основной текст с отступом 2 Знак"/>
    <w:basedOn w:val="DefaultParagraphFont"/>
    <w:link w:val="23"/>
    <w:qFormat/>
    <w:rsid w:val="0000234e"/>
    <w:rPr>
      <w:rFonts w:ascii="Arial" w:hAnsi="Arial" w:eastAsia="Times New Roman" w:cs="Times New Roman"/>
      <w:sz w:val="20"/>
      <w:szCs w:val="20"/>
      <w:lang w:eastAsia="ru-RU"/>
    </w:rPr>
  </w:style>
  <w:style w:type="character" w:styleId="Style14" w:customStyle="1">
    <w:name w:val="Текст Знак"/>
    <w:basedOn w:val="DefaultParagraphFont"/>
    <w:link w:val="afb"/>
    <w:qFormat/>
    <w:rsid w:val="0000234e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14" w:customStyle="1">
    <w:name w:val="Стиль1_св-ва документа Знак"/>
    <w:link w:val="1-"/>
    <w:qFormat/>
    <w:rsid w:val="0000234e"/>
    <w:rPr>
      <w:rFonts w:ascii="Times New Roman" w:hAnsi="Times New Roman" w:eastAsia="Times New Roman" w:cs="Times New Roman"/>
      <w:b/>
      <w:bCs/>
      <w:sz w:val="25"/>
      <w:szCs w:val="25"/>
      <w:lang w:val="en-US" w:eastAsia="ru-RU"/>
    </w:rPr>
  </w:style>
  <w:style w:type="character" w:styleId="10" w:customStyle="1">
    <w:name w:val="ТР_10_Жир Знак"/>
    <w:link w:val="100"/>
    <w:qFormat/>
    <w:rsid w:val="0000234e"/>
    <w:rPr>
      <w:rFonts w:ascii="Times New Roman" w:hAnsi="Times New Roman" w:eastAsia="Times New Roman" w:cs="Times New Roman"/>
      <w:b/>
      <w:color w:val="0000FF"/>
      <w:sz w:val="20"/>
      <w:szCs w:val="20"/>
      <w:lang w:eastAsia="ru-RU"/>
    </w:rPr>
  </w:style>
  <w:style w:type="character" w:styleId="101" w:customStyle="1">
    <w:name w:val="ТР_10 Знак"/>
    <w:link w:val="102"/>
    <w:qFormat/>
    <w:rsid w:val="0000234e"/>
    <w:rPr>
      <w:rFonts w:ascii="Times New Roman" w:hAnsi="Times New Roman" w:eastAsia="Times New Roman" w:cs="Times New Roman"/>
      <w:color w:val="0000FF"/>
      <w:sz w:val="20"/>
      <w:szCs w:val="20"/>
      <w:lang w:eastAsia="ru-RU"/>
    </w:rPr>
  </w:style>
  <w:style w:type="character" w:styleId="102" w:customStyle="1">
    <w:name w:val="Тр_10_Жир Знак"/>
    <w:link w:val="104"/>
    <w:qFormat/>
    <w:rsid w:val="0000234e"/>
    <w:rPr>
      <w:rFonts w:ascii="Times New Roman" w:hAnsi="Times New Roman" w:eastAsia="Times New Roman" w:cs="Times New Roman"/>
      <w:b/>
      <w:color w:val="3333FF"/>
      <w:sz w:val="20"/>
      <w:szCs w:val="20"/>
      <w:lang w:eastAsia="ru-RU"/>
    </w:rPr>
  </w:style>
  <w:style w:type="character" w:styleId="Annotationreference">
    <w:name w:val="annotation reference"/>
    <w:qFormat/>
    <w:rsid w:val="0000234e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fe"/>
    <w:qFormat/>
    <w:rsid w:val="0000234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link w:val="aff0"/>
    <w:qFormat/>
    <w:rsid w:val="0000234e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7" w:customStyle="1">
    <w:name w:val="Основной текст_"/>
    <w:basedOn w:val="DefaultParagraphFont"/>
    <w:link w:val="14"/>
    <w:qFormat/>
    <w:rsid w:val="0000234e"/>
    <w:rPr>
      <w:spacing w:val="-2"/>
      <w:sz w:val="18"/>
      <w:szCs w:val="18"/>
      <w:shd w:fill="FFFFFF" w:val="clear"/>
    </w:rPr>
  </w:style>
  <w:style w:type="character" w:styleId="FollowedHyperlink">
    <w:name w:val="FollowedHyperlink"/>
    <w:basedOn w:val="DefaultParagraphFont"/>
    <w:semiHidden/>
    <w:unhideWhenUsed/>
    <w:qFormat/>
    <w:rsid w:val="0000234e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00234e"/>
    <w:rPr>
      <w:b/>
      <w:bCs/>
    </w:rPr>
  </w:style>
  <w:style w:type="character" w:styleId="ListLabel1">
    <w:name w:val="ListLabel 1"/>
    <w:qFormat/>
    <w:rPr>
      <w:b/>
    </w:rPr>
  </w:style>
  <w:style w:type="character" w:styleId="ListLabel2">
    <w:name w:val="ListLabel 2"/>
    <w:qFormat/>
    <w:rPr>
      <w:b/>
      <w:i w:val="false"/>
    </w:rPr>
  </w:style>
  <w:style w:type="character" w:styleId="ListLabel3">
    <w:name w:val="ListLabel 3"/>
    <w:qFormat/>
    <w:rPr>
      <w:b/>
    </w:rPr>
  </w:style>
  <w:style w:type="character" w:styleId="ListLabel4">
    <w:name w:val="ListLabel 4"/>
    <w:qFormat/>
    <w:rPr>
      <w:b/>
      <w:i w:val="false"/>
    </w:rPr>
  </w:style>
  <w:style w:type="character" w:styleId="ListLabel5">
    <w:name w:val="ListLabel 5"/>
    <w:qFormat/>
    <w:rPr>
      <w:b/>
    </w:rPr>
  </w:style>
  <w:style w:type="character" w:styleId="ListLabel6">
    <w:name w:val="ListLabel 6"/>
    <w:qFormat/>
    <w:rPr>
      <w:b/>
    </w:rPr>
  </w:style>
  <w:style w:type="character" w:styleId="ListLabel7">
    <w:name w:val="ListLabel 7"/>
    <w:qFormat/>
    <w:rPr>
      <w:rFonts w:eastAsia="Times New Roman" w:cs="Times New Roman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b/>
    </w:rPr>
  </w:style>
  <w:style w:type="character" w:styleId="ListLabel12">
    <w:name w:val="ListLabel 12"/>
    <w:qFormat/>
    <w:rPr>
      <w:b/>
      <w:i w:val="false"/>
    </w:rPr>
  </w:style>
  <w:style w:type="character" w:styleId="ListLabel13">
    <w:name w:val="ListLabel 13"/>
    <w:qFormat/>
    <w:rPr>
      <w:b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b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b/>
      <w:i w:val="false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i w:val="false"/>
    </w:rPr>
  </w:style>
  <w:style w:type="character" w:styleId="ListLabel35">
    <w:name w:val="ListLabel 35"/>
    <w:qFormat/>
    <w:rPr>
      <w:b/>
      <w:i w:val="false"/>
    </w:rPr>
  </w:style>
  <w:style w:type="character" w:styleId="ListLabel36">
    <w:name w:val="ListLabel 36"/>
    <w:qFormat/>
    <w:rPr>
      <w:b w:val="false"/>
      <w:i w:val="false"/>
    </w:rPr>
  </w:style>
  <w:style w:type="character" w:styleId="ListLabel37">
    <w:name w:val="ListLabel 37"/>
    <w:qFormat/>
    <w:rPr>
      <w:i w:val="false"/>
    </w:rPr>
  </w:style>
  <w:style w:type="character" w:styleId="ListLabel38">
    <w:name w:val="ListLabel 38"/>
    <w:qFormat/>
    <w:rPr>
      <w:i w:val="false"/>
    </w:rPr>
  </w:style>
  <w:style w:type="character" w:styleId="ListLabel39">
    <w:name w:val="ListLabel 39"/>
    <w:qFormat/>
    <w:rPr>
      <w:i w:val="false"/>
    </w:rPr>
  </w:style>
  <w:style w:type="character" w:styleId="ListLabel40">
    <w:name w:val="ListLabel 40"/>
    <w:qFormat/>
    <w:rPr>
      <w:i w:val="false"/>
    </w:rPr>
  </w:style>
  <w:style w:type="character" w:styleId="ListLabel41">
    <w:name w:val="ListLabel 41"/>
    <w:qFormat/>
    <w:rPr>
      <w:i w:val="false"/>
    </w:rPr>
  </w:style>
  <w:style w:type="character" w:styleId="ListLabel42">
    <w:name w:val="ListLabel 42"/>
    <w:qFormat/>
    <w:rPr>
      <w:i w:val="false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b/>
    </w:rPr>
  </w:style>
  <w:style w:type="character" w:styleId="ListLabel47">
    <w:name w:val="ListLabel 47"/>
    <w:qFormat/>
    <w:rPr>
      <w:b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ascii="Times New Roman" w:hAnsi="Times New Roman"/>
      <w:b/>
      <w:sz w:val="22"/>
      <w:szCs w:val="20"/>
    </w:rPr>
  </w:style>
  <w:style w:type="character" w:styleId="ListLabel55">
    <w:name w:val="ListLabel 55"/>
    <w:qFormat/>
    <w:rPr>
      <w:b w:val="false"/>
    </w:rPr>
  </w:style>
  <w:style w:type="character" w:styleId="ListLabel56">
    <w:name w:val="ListLabel 56"/>
    <w:qFormat/>
    <w:rPr>
      <w:b/>
    </w:rPr>
  </w:style>
  <w:style w:type="character" w:styleId="ListLabel57">
    <w:name w:val="ListLabel 57"/>
    <w:qFormat/>
    <w:rPr>
      <w:rFonts w:ascii="Times New Roman" w:hAnsi="Times New Roman"/>
      <w:b/>
      <w:sz w:val="22"/>
    </w:rPr>
  </w:style>
  <w:style w:type="character" w:styleId="ListLabel58">
    <w:name w:val="ListLabel 58"/>
    <w:qFormat/>
    <w:rPr>
      <w:rFonts w:ascii="Times New Roman" w:hAnsi="Times New Roman"/>
      <w:b/>
      <w:color w:val="00000A"/>
      <w:sz w:val="22"/>
    </w:rPr>
  </w:style>
  <w:style w:type="character" w:styleId="ListLabel59">
    <w:name w:val="ListLabel 59"/>
    <w:qFormat/>
    <w:rPr>
      <w:rFonts w:ascii="Times New Roman" w:hAnsi="Times New Roman"/>
      <w:b/>
      <w:sz w:val="22"/>
    </w:rPr>
  </w:style>
  <w:style w:type="character" w:styleId="ListLabel60">
    <w:name w:val="ListLabel 60"/>
    <w:qFormat/>
    <w:rPr>
      <w:rFonts w:ascii="Times New Roman" w:hAnsi="Times New Roman" w:cs="Times New Roman"/>
      <w:b/>
      <w:sz w:val="22"/>
    </w:rPr>
  </w:style>
  <w:style w:type="character" w:styleId="ListLabel61">
    <w:name w:val="ListLabel 61"/>
    <w:qFormat/>
    <w:rPr>
      <w:rFonts w:ascii="Times New Roman" w:hAnsi="Times New Roman"/>
      <w:b/>
      <w:color w:val="00000A"/>
      <w:sz w:val="22"/>
    </w:rPr>
  </w:style>
  <w:style w:type="character" w:styleId="ListLabel62">
    <w:name w:val="ListLabel 62"/>
    <w:qFormat/>
    <w:rPr>
      <w:rFonts w:ascii="Times New Roman" w:hAnsi="Times New Roman"/>
      <w:b/>
      <w:sz w:val="22"/>
    </w:rPr>
  </w:style>
  <w:style w:type="character" w:styleId="ListLabel63">
    <w:name w:val="ListLabel 63"/>
    <w:qFormat/>
    <w:rPr>
      <w:b/>
    </w:rPr>
  </w:style>
  <w:style w:type="character" w:styleId="ListLabel64">
    <w:name w:val="ListLabel 64"/>
    <w:qFormat/>
    <w:rPr>
      <w:rFonts w:eastAsia="Times New Roman" w:cs="Times New Roman"/>
      <w:b/>
      <w:color w:val="000000"/>
    </w:rPr>
  </w:style>
  <w:style w:type="character" w:styleId="ListLabel65">
    <w:name w:val="ListLabel 65"/>
    <w:qFormat/>
    <w:rPr>
      <w:rFonts w:ascii="Times New Roman" w:hAnsi="Times New Roman"/>
      <w:b/>
      <w:sz w:val="20"/>
      <w:szCs w:val="20"/>
    </w:rPr>
  </w:style>
  <w:style w:type="character" w:styleId="ListLabel66">
    <w:name w:val="ListLabel 66"/>
    <w:qFormat/>
    <w:rPr>
      <w:rFonts w:ascii="Times New Roman" w:hAnsi="Times New Roman"/>
      <w:b/>
      <w:position w:val="0"/>
      <w:sz w:val="20"/>
      <w:vertAlign w:val="baseline"/>
    </w:rPr>
  </w:style>
  <w:style w:type="character" w:styleId="ListLabel67">
    <w:name w:val="ListLabel 67"/>
    <w:qFormat/>
    <w:rPr>
      <w:rFonts w:ascii="Times New Roman" w:hAnsi="Times New Roman"/>
      <w:b/>
      <w:sz w:val="22"/>
    </w:rPr>
  </w:style>
  <w:style w:type="character" w:styleId="ListLabel68">
    <w:name w:val="ListLabel 68"/>
    <w:qFormat/>
    <w:rPr>
      <w:rFonts w:ascii="Times New Roman" w:hAnsi="Times New Roman"/>
      <w:b/>
      <w:sz w:val="22"/>
    </w:rPr>
  </w:style>
  <w:style w:type="character" w:styleId="ListLabel69">
    <w:name w:val="ListLabel 69"/>
    <w:qFormat/>
    <w:rPr>
      <w:rFonts w:ascii="Times New Roman" w:hAnsi="Times New Roman"/>
      <w:b/>
      <w:sz w:val="22"/>
    </w:rPr>
  </w:style>
  <w:style w:type="character" w:styleId="Style18">
    <w:name w:val="Посещённая гиперссылка"/>
    <w:rPr>
      <w:color w:val="800000"/>
      <w:u w:val="single"/>
      <w:lang w:val="zxx" w:eastAsia="zxx" w:bidi="zxx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20">
    <w:name w:val="Body Text"/>
    <w:basedOn w:val="Normal"/>
    <w:link w:val="a4"/>
    <w:rsid w:val="0000234e"/>
    <w:pPr>
      <w:spacing w:lineRule="auto" w:line="360"/>
      <w:jc w:val="both"/>
    </w:pPr>
    <w:rPr>
      <w:sz w:val="24"/>
    </w:rPr>
  </w:style>
  <w:style w:type="paragraph" w:styleId="Style21">
    <w:name w:val="List"/>
    <w:basedOn w:val="Style20"/>
    <w:pPr/>
    <w:rPr>
      <w:rFonts w:cs="Lohit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Lohit Devanagari"/>
    </w:rPr>
  </w:style>
  <w:style w:type="paragraph" w:styleId="BodyText2">
    <w:name w:val="Body Text 2"/>
    <w:basedOn w:val="Normal"/>
    <w:link w:val="22"/>
    <w:qFormat/>
    <w:rsid w:val="0000234e"/>
    <w:pPr/>
    <w:rPr>
      <w:rFonts w:ascii="Times New Roman" w:hAnsi="Times New Roman"/>
      <w:sz w:val="22"/>
    </w:rPr>
  </w:style>
  <w:style w:type="paragraph" w:styleId="Style24">
    <w:name w:val="Footer"/>
    <w:basedOn w:val="Normal"/>
    <w:link w:val="a6"/>
    <w:uiPriority w:val="99"/>
    <w:rsid w:val="0000234e"/>
    <w:pPr>
      <w:tabs>
        <w:tab w:val="center" w:pos="4153" w:leader="none"/>
        <w:tab w:val="right" w:pos="8306" w:leader="none"/>
      </w:tabs>
    </w:pPr>
    <w:rPr/>
  </w:style>
  <w:style w:type="paragraph" w:styleId="BodyText3">
    <w:name w:val="Body Text 3"/>
    <w:basedOn w:val="Normal"/>
    <w:link w:val="32"/>
    <w:qFormat/>
    <w:rsid w:val="0000234e"/>
    <w:pPr/>
    <w:rPr>
      <w:b/>
      <w:sz w:val="24"/>
    </w:rPr>
  </w:style>
  <w:style w:type="paragraph" w:styleId="Style25">
    <w:name w:val="Title"/>
    <w:basedOn w:val="Normal"/>
    <w:link w:val="a9"/>
    <w:qFormat/>
    <w:rsid w:val="0000234e"/>
    <w:pPr>
      <w:jc w:val="center"/>
    </w:pPr>
    <w:rPr>
      <w:rFonts w:ascii="Times New Roman" w:hAnsi="Times New Roman"/>
      <w:b/>
      <w:sz w:val="28"/>
    </w:rPr>
  </w:style>
  <w:style w:type="paragraph" w:styleId="BlockText">
    <w:name w:val="Block Text"/>
    <w:basedOn w:val="Normal"/>
    <w:qFormat/>
    <w:rsid w:val="0000234e"/>
    <w:pPr>
      <w:ind w:left="284" w:right="254" w:firstLine="567"/>
      <w:jc w:val="both"/>
    </w:pPr>
    <w:rPr>
      <w:rFonts w:ascii="Times New Roman" w:hAnsi="Times New Roman"/>
      <w:sz w:val="24"/>
    </w:rPr>
  </w:style>
  <w:style w:type="paragraph" w:styleId="Style26">
    <w:name w:val="Header"/>
    <w:basedOn w:val="Normal"/>
    <w:link w:val="ac"/>
    <w:rsid w:val="0000234e"/>
    <w:pPr>
      <w:tabs>
        <w:tab w:val="center" w:pos="4153" w:leader="none"/>
        <w:tab w:val="right" w:pos="8306" w:leader="none"/>
      </w:tabs>
    </w:pPr>
    <w:rPr>
      <w:rFonts w:ascii="Times New Roman" w:hAnsi="Times New Roman"/>
    </w:rPr>
  </w:style>
  <w:style w:type="paragraph" w:styleId="Style27">
    <w:name w:val="Body Text Indent"/>
    <w:basedOn w:val="Normal"/>
    <w:link w:val="ae"/>
    <w:rsid w:val="0000234e"/>
    <w:pPr>
      <w:spacing w:lineRule="auto" w:line="360"/>
      <w:ind w:firstLine="1134"/>
      <w:jc w:val="both"/>
    </w:pPr>
    <w:rPr>
      <w:rFonts w:ascii="Times New Roman" w:hAnsi="Times New Roman"/>
      <w:sz w:val="24"/>
    </w:rPr>
  </w:style>
  <w:style w:type="paragraph" w:styleId="MessageHeader">
    <w:name w:val="Message Header"/>
    <w:basedOn w:val="Style20"/>
    <w:link w:val="af1"/>
    <w:qFormat/>
    <w:rsid w:val="0000234e"/>
    <w:pPr>
      <w:keepLines/>
      <w:spacing w:lineRule="atLeast" w:line="415"/>
      <w:ind w:left="1985" w:right="-360" w:hanging="1145"/>
      <w:jc w:val="left"/>
    </w:pPr>
    <w:rPr>
      <w:rFonts w:ascii="Times New Roman" w:hAnsi="Times New Roman"/>
      <w:sz w:val="20"/>
    </w:rPr>
  </w:style>
  <w:style w:type="paragraph" w:styleId="BalloonText">
    <w:name w:val="Balloon Text"/>
    <w:basedOn w:val="Normal"/>
    <w:link w:val="af4"/>
    <w:qFormat/>
    <w:rsid w:val="0000234e"/>
    <w:pPr/>
    <w:rPr>
      <w:rFonts w:ascii="Tahoma" w:hAnsi="Tahoma"/>
      <w:sz w:val="16"/>
      <w:szCs w:val="16"/>
    </w:rPr>
  </w:style>
  <w:style w:type="paragraph" w:styleId="Style28" w:customStyle="1">
    <w:name w:val="Название документа"/>
    <w:qFormat/>
    <w:rsid w:val="0000234e"/>
    <w:pPr>
      <w:widowControl/>
      <w:bidi w:val="0"/>
      <w:spacing w:lineRule="atLeast" w:line="600" w:before="140" w:after="540"/>
      <w:ind w:left="840" w:hanging="0"/>
      <w:jc w:val="left"/>
    </w:pPr>
    <w:rPr>
      <w:rFonts w:ascii="Times New Roman" w:hAnsi="Times New Roman" w:eastAsia="Times New Roman" w:cs="Times New Roman"/>
      <w:color w:val="auto"/>
      <w:spacing w:val="-38"/>
      <w:sz w:val="60"/>
      <w:szCs w:val="20"/>
      <w:lang w:eastAsia="ru-RU" w:val="ru-RU" w:bidi="ar-SA"/>
    </w:rPr>
  </w:style>
  <w:style w:type="paragraph" w:styleId="Style29" w:customStyle="1">
    <w:name w:val="Заголовок сообщения (первый)"/>
    <w:qFormat/>
    <w:rsid w:val="0000234e"/>
    <w:pPr>
      <w:keepLines/>
      <w:widowControl/>
      <w:bidi w:val="0"/>
      <w:spacing w:lineRule="atLeast" w:line="415" w:before="0" w:after="0"/>
      <w:ind w:left="1985" w:right="-360" w:hanging="1145"/>
      <w:jc w:val="left"/>
    </w:pPr>
    <w:rPr>
      <w:rFonts w:ascii="Times New Roman" w:hAnsi="Times New Roman" w:eastAsia="Times New Roman" w:cs="Times New Roman"/>
      <w:color w:val="auto"/>
      <w:sz w:val="20"/>
      <w:szCs w:val="20"/>
      <w:lang w:eastAsia="ru-RU" w:val="ru-RU" w:bidi="ar-SA"/>
    </w:rPr>
  </w:style>
  <w:style w:type="paragraph" w:styleId="133" w:customStyle="1">
    <w:name w:val="ТР_13_обычный"/>
    <w:basedOn w:val="Style25"/>
    <w:link w:val="130"/>
    <w:qFormat/>
    <w:rsid w:val="0000234e"/>
    <w:pPr>
      <w:ind w:left="33" w:hanging="0"/>
      <w:jc w:val="left"/>
    </w:pPr>
    <w:rPr>
      <w:b w:val="false"/>
      <w:color w:val="421CE2"/>
      <w:sz w:val="26"/>
      <w:szCs w:val="26"/>
    </w:rPr>
  </w:style>
  <w:style w:type="paragraph" w:styleId="134" w:customStyle="1">
    <w:name w:val="ТР_13_жирный"/>
    <w:basedOn w:val="Style25"/>
    <w:link w:val="132"/>
    <w:qFormat/>
    <w:rsid w:val="0000234e"/>
    <w:pPr/>
    <w:rPr>
      <w:color w:val="421CE2"/>
      <w:sz w:val="26"/>
    </w:rPr>
  </w:style>
  <w:style w:type="paragraph" w:styleId="122" w:customStyle="1">
    <w:name w:val="ТР_12_жир"/>
    <w:basedOn w:val="Normal"/>
    <w:link w:val="120"/>
    <w:qFormat/>
    <w:rsid w:val="0000234e"/>
    <w:pPr>
      <w:jc w:val="center"/>
    </w:pPr>
    <w:rPr>
      <w:rFonts w:ascii="Times New Roman" w:hAnsi="Times New Roman"/>
      <w:b/>
      <w:color w:val="421CE2"/>
      <w:sz w:val="24"/>
      <w:szCs w:val="24"/>
      <w:lang w:val="en-US"/>
    </w:rPr>
  </w:style>
  <w:style w:type="paragraph" w:styleId="1151" w:customStyle="1">
    <w:name w:val="Тр115_обычн"/>
    <w:basedOn w:val="Style27"/>
    <w:link w:val="1150"/>
    <w:qFormat/>
    <w:rsid w:val="0000234e"/>
    <w:pPr>
      <w:spacing w:lineRule="exact" w:line="240"/>
      <w:ind w:firstLine="1080"/>
    </w:pPr>
    <w:rPr>
      <w:color w:val="421CE2"/>
    </w:rPr>
  </w:style>
  <w:style w:type="paragraph" w:styleId="ListParagraph">
    <w:name w:val="List Paragraph"/>
    <w:basedOn w:val="Normal"/>
    <w:uiPriority w:val="34"/>
    <w:qFormat/>
    <w:rsid w:val="0000234e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00234e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sz w:val="20"/>
      <w:szCs w:val="22"/>
      <w:lang w:val="ru-RU" w:eastAsia="en-US" w:bidi="ar-SA"/>
    </w:rPr>
  </w:style>
  <w:style w:type="paragraph" w:styleId="1251" w:customStyle="1">
    <w:name w:val="Обычный125Жир"/>
    <w:basedOn w:val="Normal"/>
    <w:link w:val="1250"/>
    <w:qFormat/>
    <w:rsid w:val="0000234e"/>
    <w:pPr>
      <w:keepNext w:val="true"/>
      <w:ind w:left="-13" w:hanging="0"/>
      <w:outlineLvl w:val="3"/>
    </w:pPr>
    <w:rPr>
      <w:rFonts w:ascii="Times New Roman" w:hAnsi="Times New Roman"/>
      <w:b/>
      <w:bCs/>
      <w:color w:val="0000FF"/>
      <w:sz w:val="25"/>
      <w:szCs w:val="25"/>
    </w:rPr>
  </w:style>
  <w:style w:type="paragraph" w:styleId="123" w:customStyle="1">
    <w:name w:val="Об12жир"/>
    <w:basedOn w:val="Normal"/>
    <w:link w:val="121"/>
    <w:qFormat/>
    <w:rsid w:val="0000234e"/>
    <w:pPr>
      <w:jc w:val="both"/>
    </w:pPr>
    <w:rPr>
      <w:rFonts w:ascii="Calibri" w:hAnsi="Calibri" w:eastAsia="Calibri" w:cs="" w:asciiTheme="minorHAnsi" w:cstheme="minorBidi" w:eastAsiaTheme="minorHAnsi" w:hAnsiTheme="minorHAnsi"/>
      <w:b/>
      <w:bCs/>
      <w:color w:val="0000FF"/>
      <w:sz w:val="24"/>
      <w:szCs w:val="24"/>
      <w:lang w:eastAsia="en-US"/>
    </w:rPr>
  </w:style>
  <w:style w:type="paragraph" w:styleId="135" w:customStyle="1">
    <w:name w:val="Об_13_Жир"/>
    <w:basedOn w:val="Normal"/>
    <w:link w:val="134"/>
    <w:qFormat/>
    <w:rsid w:val="0000234e"/>
    <w:pPr>
      <w:spacing w:before="120" w:after="120"/>
      <w:ind w:firstLine="357"/>
      <w:jc w:val="both"/>
    </w:pPr>
    <w:rPr>
      <w:rFonts w:ascii="Times New Roman" w:hAnsi="Times New Roman"/>
      <w:b/>
      <w:color w:val="0000FF"/>
      <w:sz w:val="26"/>
      <w:szCs w:val="26"/>
    </w:rPr>
  </w:style>
  <w:style w:type="paragraph" w:styleId="ConsPlusTitle" w:customStyle="1">
    <w:name w:val="ConsPlusTitle"/>
    <w:uiPriority w:val="99"/>
    <w:qFormat/>
    <w:rsid w:val="0000234e"/>
    <w:pPr>
      <w:widowControl w:val="false"/>
      <w:bidi w:val="0"/>
      <w:spacing w:lineRule="auto" w:line="240" w:before="0" w:after="0"/>
      <w:jc w:val="left"/>
    </w:pPr>
    <w:rPr>
      <w:rFonts w:ascii="Calibri" w:hAnsi="Calibri" w:eastAsia="" w:cs="Calibri" w:eastAsiaTheme="minorEastAsia"/>
      <w:b/>
      <w:bCs/>
      <w:color w:val="auto"/>
      <w:sz w:val="20"/>
      <w:szCs w:val="22"/>
      <w:lang w:eastAsia="ru-RU" w:val="ru-RU" w:bidi="ar-SA"/>
    </w:rPr>
  </w:style>
  <w:style w:type="paragraph" w:styleId="BodyTextIndent2">
    <w:name w:val="Body Text Indent 2"/>
    <w:basedOn w:val="Normal"/>
    <w:link w:val="24"/>
    <w:unhideWhenUsed/>
    <w:qFormat/>
    <w:rsid w:val="0000234e"/>
    <w:pPr>
      <w:spacing w:lineRule="auto" w:line="480" w:before="0" w:after="120"/>
      <w:ind w:left="283" w:hanging="0"/>
    </w:pPr>
    <w:rPr/>
  </w:style>
  <w:style w:type="paragraph" w:styleId="Caption">
    <w:name w:val="caption"/>
    <w:basedOn w:val="Normal"/>
    <w:qFormat/>
    <w:rsid w:val="0000234e"/>
    <w:pPr>
      <w:ind w:left="357" w:firstLine="357"/>
      <w:jc w:val="both"/>
    </w:pPr>
    <w:rPr>
      <w:rFonts w:ascii="Times New Roman" w:hAnsi="Times New Roman"/>
      <w:b/>
      <w:bCs/>
    </w:rPr>
  </w:style>
  <w:style w:type="paragraph" w:styleId="PlainText">
    <w:name w:val="Plain Text"/>
    <w:basedOn w:val="Normal"/>
    <w:link w:val="afc"/>
    <w:qFormat/>
    <w:rsid w:val="0000234e"/>
    <w:pPr>
      <w:ind w:left="357" w:firstLine="357"/>
      <w:jc w:val="both"/>
    </w:pPr>
    <w:rPr>
      <w:rFonts w:ascii="Courier New" w:hAnsi="Courier New" w:cs="Courier New"/>
    </w:rPr>
  </w:style>
  <w:style w:type="paragraph" w:styleId="15" w:customStyle="1">
    <w:name w:val="Стиль1_св-ва документа"/>
    <w:basedOn w:val="4"/>
    <w:link w:val="1-0"/>
    <w:qFormat/>
    <w:rsid w:val="0000234e"/>
    <w:pPr>
      <w:ind w:left="-13" w:hanging="0"/>
      <w:jc w:val="both"/>
    </w:pPr>
    <w:rPr>
      <w:bCs/>
      <w:sz w:val="25"/>
      <w:szCs w:val="25"/>
      <w:lang w:val="en-US"/>
    </w:rPr>
  </w:style>
  <w:style w:type="paragraph" w:styleId="103" w:customStyle="1">
    <w:name w:val="ТР_10_Жир"/>
    <w:basedOn w:val="Normal"/>
    <w:link w:val="101"/>
    <w:qFormat/>
    <w:rsid w:val="0000234e"/>
    <w:pPr/>
    <w:rPr>
      <w:rFonts w:ascii="Times New Roman" w:hAnsi="Times New Roman"/>
      <w:b/>
      <w:color w:val="0000FF"/>
    </w:rPr>
  </w:style>
  <w:style w:type="paragraph" w:styleId="104" w:customStyle="1">
    <w:name w:val="ТР_10"/>
    <w:basedOn w:val="Normal"/>
    <w:link w:val="103"/>
    <w:qFormat/>
    <w:rsid w:val="0000234e"/>
    <w:pPr/>
    <w:rPr>
      <w:rFonts w:ascii="Times New Roman" w:hAnsi="Times New Roman"/>
      <w:color w:val="0000FF"/>
    </w:rPr>
  </w:style>
  <w:style w:type="paragraph" w:styleId="105" w:customStyle="1">
    <w:name w:val="Тр_10_Жир"/>
    <w:basedOn w:val="BodyTextIndent2"/>
    <w:link w:val="105"/>
    <w:qFormat/>
    <w:rsid w:val="0000234e"/>
    <w:pPr>
      <w:spacing w:lineRule="auto" w:line="240" w:before="120" w:after="120"/>
      <w:ind w:left="0" w:hanging="0"/>
      <w:jc w:val="center"/>
    </w:pPr>
    <w:rPr>
      <w:rFonts w:ascii="Times New Roman" w:hAnsi="Times New Roman"/>
      <w:b/>
      <w:color w:val="3333FF"/>
    </w:rPr>
  </w:style>
  <w:style w:type="paragraph" w:styleId="Annotationtext">
    <w:name w:val="annotation text"/>
    <w:basedOn w:val="Normal"/>
    <w:link w:val="aff"/>
    <w:qFormat/>
    <w:rsid w:val="0000234e"/>
    <w:pPr>
      <w:ind w:left="357" w:firstLine="357"/>
      <w:jc w:val="both"/>
    </w:pPr>
    <w:rPr>
      <w:rFonts w:ascii="Times New Roman" w:hAnsi="Times New Roman"/>
    </w:rPr>
  </w:style>
  <w:style w:type="paragraph" w:styleId="Annotationsubject">
    <w:name w:val="annotation subject"/>
    <w:basedOn w:val="Annotationtext"/>
    <w:link w:val="aff1"/>
    <w:qFormat/>
    <w:rsid w:val="0000234e"/>
    <w:pPr/>
    <w:rPr>
      <w:b/>
      <w:bCs/>
    </w:rPr>
  </w:style>
  <w:style w:type="paragraph" w:styleId="16" w:customStyle="1">
    <w:name w:val="Стиль1"/>
    <w:basedOn w:val="Normal"/>
    <w:qFormat/>
    <w:rsid w:val="0000234e"/>
    <w:pPr>
      <w:widowControl w:val="false"/>
      <w:suppressAutoHyphens w:val="true"/>
      <w:ind w:firstLine="709"/>
      <w:jc w:val="both"/>
    </w:pPr>
    <w:rPr>
      <w:rFonts w:ascii="Times New Roman" w:hAnsi="Times New Roman"/>
      <w:sz w:val="28"/>
      <w:szCs w:val="28"/>
    </w:rPr>
  </w:style>
  <w:style w:type="paragraph" w:styleId="17" w:customStyle="1">
    <w:name w:val="Основной текст1"/>
    <w:basedOn w:val="Normal"/>
    <w:link w:val="aff2"/>
    <w:qFormat/>
    <w:rsid w:val="0000234e"/>
    <w:pPr>
      <w:widowControl w:val="false"/>
      <w:shd w:val="clear" w:color="auto" w:fill="FFFFFF"/>
      <w:spacing w:lineRule="auto" w:before="0" w:after="120"/>
    </w:pPr>
    <w:rPr>
      <w:rFonts w:ascii="Calibri" w:hAnsi="Calibri" w:eastAsia="Calibri" w:cs="" w:asciiTheme="minorHAnsi" w:cstheme="minorBidi" w:eastAsiaTheme="minorHAnsi" w:hAnsiTheme="minorHAnsi"/>
      <w:spacing w:val="-2"/>
      <w:sz w:val="18"/>
      <w:szCs w:val="18"/>
      <w:lang w:eastAsia="en-US"/>
    </w:rPr>
  </w:style>
  <w:style w:type="paragraph" w:styleId="Style3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rsid w:val="0000234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ref=376DA00A4A2B58C618693F50FE34346DED310CC413F483D98C22E3577C474177B0118598C80B819D35JDF" TargetMode="External"/><Relationship Id="rId4" Type="http://schemas.openxmlformats.org/officeDocument/2006/relationships/hyperlink" Target="http://www.kamenergo.ru/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https://rsosiluet.ru/" TargetMode="External"/><Relationship Id="rId9" Type="http://schemas.openxmlformats.org/officeDocument/2006/relationships/hyperlink" Target="https://teskpk.ru/" TargetMode="External"/><Relationship Id="rId10" Type="http://schemas.openxmlformats.org/officeDocument/2006/relationships/hyperlink" Target="https://teskpk.ru/" TargetMode="External"/><Relationship Id="rId11" Type="http://schemas.openxmlformats.org/officeDocument/2006/relationships/hyperlink" Target="https://teskpk.ru/" TargetMode="External"/><Relationship Id="rId12" Type="http://schemas.openxmlformats.org/officeDocument/2006/relationships/hyperlink" Target="https://41-es.ru/" TargetMode="External"/><Relationship Id="rId13" Type="http://schemas.openxmlformats.org/officeDocument/2006/relationships/hyperlink" Target="https://aleir-kamchatka.ru/" TargetMode="External"/><Relationship Id="rId14" Type="http://schemas.openxmlformats.org/officeDocument/2006/relationships/hyperlink" Target="http://port.kamchatka.ru/" TargetMode="External"/><Relationship Id="rId15" Type="http://schemas.openxmlformats.org/officeDocument/2006/relationships/hyperlink" Target="http://28elset.ru/about" TargetMode="External"/><Relationship Id="rId16" Type="http://schemas.openxmlformats.org/officeDocument/2006/relationships/hyperlink" Target="tel:+74152466682" TargetMode="External"/><Relationship Id="rId17" Type="http://schemas.openxmlformats.org/officeDocument/2006/relationships/hyperlink" Target="http://seroglazka.com/" TargetMode="External"/><Relationship Id="rId18" Type="http://schemas.openxmlformats.org/officeDocument/2006/relationships/hyperlink" Target="https://mktranskam.ru/" TargetMode="External"/><Relationship Id="rId19" Type="http://schemas.openxmlformats.org/officeDocument/2006/relationships/hyperlink" Target="https://kek41.ru/" TargetMode="External"/><Relationship Id="rId20" Type="http://schemas.openxmlformats.org/officeDocument/2006/relationships/hyperlink" Target="https://oceangas.ru/" TargetMode="External"/><Relationship Id="rId21" Type="http://schemas.openxmlformats.org/officeDocument/2006/relationships/hyperlink" Target="http://intarsia.nethouse.ru/" TargetMode="External"/><Relationship Id="rId22" Type="http://schemas.openxmlformats.org/officeDocument/2006/relationships/hyperlink" Target="http://protoktp.ru/" TargetMode="External"/><Relationship Id="rId23" Type="http://schemas.openxmlformats.org/officeDocument/2006/relationships/footer" Target="footer4.xml"/><Relationship Id="rId24" Type="http://schemas.openxmlformats.org/officeDocument/2006/relationships/numbering" Target="numbering.xm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LibreOffice/5.3.6.1$Linux_X86_64 LibreOffice_project/30$Build-1</Application>
  <Pages>22</Pages>
  <Words>8781</Words>
  <Characters>67583</Characters>
  <CharactersWithSpaces>77257</CharactersWithSpaces>
  <Paragraphs>544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2023-02-09T03:29:00Z</dcterms:created>
  <dc:creator>Залесова Виктория Владимировна</dc:creator>
  <dc:description/>
  <dc:language>ru-RU</dc:language>
  <cp:lastModifiedBy/>
  <dcterms:modified xsi:type="dcterms:W3CDTF">2025-07-11T12:16:07Z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