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media/image1.jpeg" ContentType="image/jpeg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tabs>
          <w:tab w:val="left" w:pos="16" w:leader="none"/>
        </w:tabs>
        <w:ind w:left="-13" w:hanging="0"/>
        <w:jc w:val="center"/>
        <w:outlineLvl w:val="3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center"/>
        <w:rPr>
          <w:rFonts w:ascii="Times New Roman" w:hAnsi="Times New Roman"/>
          <w:b/>
          <w:b/>
          <w:iCs/>
          <w:color w:val="0000FF"/>
        </w:rPr>
      </w:pPr>
      <w:r>
        <w:rPr/>
        <w:drawing>
          <wp:inline distT="0" distB="0" distL="0" distR="9525">
            <wp:extent cx="2695575" cy="438150"/>
            <wp:effectExtent l="0" t="0" r="0" b="0"/>
            <wp:docPr id="1" name="Рисунок 1" descr="Камчатскэнерго-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0"/>
        <w:spacing w:lineRule="auto" w:line="240"/>
        <w:jc w:val="center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p>
      <w:pPr>
        <w:pStyle w:val="Style20"/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ГОСУДАРСТВЕННЫЙ КОНТРАКТ ЭНЕРГОСНАБЖЕНИЯ </w:t>
      </w:r>
      <w:r>
        <w:rPr>
          <w:rFonts w:ascii="Times New Roman" w:hAnsi="Times New Roman"/>
          <w:b/>
          <w:iCs/>
          <w:color w:val="0000FF"/>
          <w:sz w:val="22"/>
          <w:szCs w:val="22"/>
        </w:rPr>
        <w:t xml:space="preserve">№ </w:t>
      </w:r>
      <w:r>
        <w:rPr>
          <w:rFonts w:ascii="Times New Roman" w:hAnsi="Times New Roman"/>
          <w:b/>
          <w:bCs/>
          <w:iCs/>
          <w:color w:val="0000FF"/>
          <w:sz w:val="22"/>
          <w:szCs w:val="22"/>
        </w:rPr>
        <w:t>___________</w:t>
      </w:r>
    </w:p>
    <w:p>
      <w:pPr>
        <w:pStyle w:val="Style20"/>
        <w:spacing w:lineRule="auto" w:line="24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20"/>
        <w:spacing w:lineRule="auto" w:line="240"/>
        <w:jc w:val="lef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iCs/>
          <w:sz w:val="22"/>
          <w:szCs w:val="22"/>
        </w:rPr>
        <w:t>г. Петропавловск-Камчатский                                                                  «    » ______________ ____</w:t>
      </w:r>
    </w:p>
    <w:p>
      <w:pPr>
        <w:pStyle w:val="Style20"/>
        <w:spacing w:lineRule="auto" w:line="240"/>
        <w:jc w:val="lef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20"/>
        <w:spacing w:lineRule="auto" w:line="240"/>
        <w:ind w:firstLine="85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Публичное акционерное общество энергетики и электрификации «Камчатскэнерго»</w:t>
      </w:r>
      <w:r>
        <w:rPr>
          <w:rFonts w:ascii="Times New Roman" w:hAnsi="Times New Roman"/>
          <w:sz w:val="22"/>
          <w:szCs w:val="22"/>
        </w:rPr>
        <w:t xml:space="preserve">, именуемое в дальнейшем </w:t>
      </w:r>
      <w:r>
        <w:rPr>
          <w:rFonts w:ascii="Times New Roman" w:hAnsi="Times New Roman"/>
          <w:b/>
          <w:sz w:val="22"/>
          <w:szCs w:val="22"/>
        </w:rPr>
        <w:t>«Гарантирующий поставщик»</w:t>
      </w:r>
      <w:r>
        <w:rPr>
          <w:rFonts w:ascii="Times New Roman" w:hAnsi="Times New Roman"/>
          <w:sz w:val="22"/>
          <w:szCs w:val="22"/>
        </w:rPr>
        <w:t xml:space="preserve">, в лице </w:t>
      </w:r>
      <w:r>
        <w:rPr>
          <w:rFonts w:ascii="Times New Roman" w:hAnsi="Times New Roman"/>
          <w:color w:val="000000" w:themeColor="text1"/>
          <w:sz w:val="22"/>
          <w:szCs w:val="22"/>
        </w:rPr>
        <w:t>в лице __________________________________________________________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филиала ПАО «Дальневосточная энергетическая компания» «Камчатскэнергосбыт» </w:t>
      </w: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действующей на основании </w:t>
      </w:r>
      <w:r>
        <w:rPr>
          <w:rFonts w:ascii="Times New Roman" w:hAnsi="Times New Roman"/>
          <w:b/>
          <w:bCs/>
          <w:i/>
          <w:iCs/>
          <w:color w:val="000000" w:themeColor="text1"/>
          <w:sz w:val="22"/>
          <w:szCs w:val="22"/>
        </w:rPr>
        <w:t>_______________________________</w:t>
      </w:r>
      <w:r>
        <w:rPr>
          <w:rFonts w:ascii="Times New Roman" w:hAnsi="Times New Roman"/>
          <w:sz w:val="22"/>
          <w:szCs w:val="22"/>
        </w:rPr>
        <w:t>, с одной стороны, и</w:t>
      </w:r>
    </w:p>
    <w:p>
      <w:pPr>
        <w:pStyle w:val="Style20"/>
        <w:spacing w:lineRule="auto" w:line="240"/>
        <w:ind w:firstLine="85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iCs/>
          <w:color w:val="0000FF"/>
          <w:sz w:val="22"/>
          <w:szCs w:val="22"/>
        </w:rPr>
        <w:t>______________________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, </w:t>
      </w:r>
      <w:r>
        <w:rPr>
          <w:rFonts w:ascii="Times New Roman" w:hAnsi="Times New Roman"/>
          <w:iCs/>
          <w:sz w:val="22"/>
          <w:szCs w:val="22"/>
        </w:rPr>
        <w:t xml:space="preserve">именуемое в дальнейшем </w:t>
      </w:r>
      <w:r>
        <w:rPr>
          <w:rFonts w:ascii="Times New Roman" w:hAnsi="Times New Roman"/>
          <w:b/>
          <w:iCs/>
          <w:sz w:val="22"/>
          <w:szCs w:val="22"/>
        </w:rPr>
        <w:t>«Государственный  заказчик</w:t>
      </w:r>
      <w:r>
        <w:rPr>
          <w:rFonts w:ascii="Times New Roman" w:hAnsi="Times New Roman"/>
          <w:iCs/>
          <w:sz w:val="22"/>
          <w:szCs w:val="22"/>
        </w:rPr>
        <w:t xml:space="preserve"> (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Потребитель)», </w:t>
      </w:r>
      <w:r>
        <w:rPr>
          <w:rFonts w:ascii="Times New Roman" w:hAnsi="Times New Roman"/>
          <w:iCs/>
          <w:sz w:val="22"/>
          <w:szCs w:val="22"/>
        </w:rPr>
        <w:t xml:space="preserve">в лице </w:t>
      </w:r>
      <w:r>
        <w:rPr>
          <w:rFonts w:ascii="Times New Roman" w:hAnsi="Times New Roman"/>
          <w:b/>
          <w:iCs/>
          <w:color w:val="0000FF"/>
          <w:sz w:val="22"/>
          <w:szCs w:val="22"/>
        </w:rPr>
        <w:t>___________________________________</w:t>
      </w:r>
      <w:r>
        <w:rPr>
          <w:rFonts w:ascii="Times New Roman" w:hAnsi="Times New Roman"/>
          <w:b/>
          <w:iCs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действующего (-ей) на основании </w:t>
      </w:r>
      <w:r>
        <w:rPr>
          <w:rFonts w:ascii="Times New Roman" w:hAnsi="Times New Roman"/>
          <w:color w:val="0000FF"/>
          <w:sz w:val="22"/>
          <w:szCs w:val="22"/>
        </w:rPr>
        <w:t>____________________________________</w:t>
      </w:r>
      <w:r>
        <w:rPr>
          <w:rFonts w:ascii="Times New Roman" w:hAnsi="Times New Roman"/>
          <w:sz w:val="22"/>
          <w:szCs w:val="22"/>
        </w:rPr>
        <w:t xml:space="preserve">, с другой стороны, а вместе именуемые </w:t>
      </w:r>
      <w:r>
        <w:rPr>
          <w:rFonts w:ascii="Times New Roman" w:hAnsi="Times New Roman"/>
          <w:b/>
          <w:sz w:val="22"/>
          <w:szCs w:val="22"/>
        </w:rPr>
        <w:t>«Стороны»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iCs/>
          <w:sz w:val="22"/>
          <w:szCs w:val="22"/>
        </w:rPr>
        <w:t xml:space="preserve">на основании пункта 29 части 1 статьи 93 Федерального закона от 5 апреля 2013 № 44-ФЗ «О контрактной системе в сфере закупок товаров, работ, услуг для обеспечения государственных и муниципальных нужд», </w:t>
      </w:r>
      <w:r>
        <w:rPr>
          <w:rFonts w:ascii="Times New Roman" w:hAnsi="Times New Roman"/>
          <w:sz w:val="22"/>
          <w:szCs w:val="22"/>
        </w:rPr>
        <w:t>заключили настоящий контракт о нижеследующем:</w:t>
      </w:r>
    </w:p>
    <w:p>
      <w:pPr>
        <w:pStyle w:val="Style20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left" w:pos="0" w:leader="none"/>
        </w:tabs>
        <w:suppressAutoHyphens w:val="true"/>
        <w:spacing w:before="60" w:after="60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ПРЕДМЕТ КОНТРАКТА.</w:t>
      </w:r>
    </w:p>
    <w:p>
      <w:pPr>
        <w:pStyle w:val="Normal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Гарантирующий поставщик обязуется осуществлять продажу электрической энергии (мощности), а также самостоятельно или через привлеченных третьих лиц (в дальнейшем – Сетевая организация) оказывать услуги по передаче электрической энергии и услуги, оказание которых является неотъемлемой частью процесса поставки электрической энергии Государственному заказчику (Потребителю), а Государственный заказчик (Потребитель) обязуется оплачивать приобретаемую электрическую энергию (мощность) и оказанные услуги.</w:t>
      </w:r>
    </w:p>
    <w:p>
      <w:pPr>
        <w:pStyle w:val="Normal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Точкой поставки по настоящему контракту является место исполнения обязательств, используемое для определения объема взаимных обязательств сторон по контракту, расположенное на границе балансовой принадлежности энергопринимающих устройств, определенной в Акте об осуществлении технологического присоединения и (или) Акте разграничения балансовой принадлежности электросетей (Приложение № 3), а до составления в установленном порядке Акта об осуществлении технологического присоединения и (или) Акта разграничения балансовой принадлежности электросетей - в точке присоединения энергопринимающего устройства (объекта электроэнергетики).</w:t>
      </w:r>
    </w:p>
    <w:p>
      <w:pPr>
        <w:pStyle w:val="Normal"/>
        <w:numPr>
          <w:ilvl w:val="1"/>
          <w:numId w:val="2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Учет электрической энергии (мощности) по настоящему контракту определяется на основании данных, полученных с использованием приборов учета в том числе входящих в состав измерительного комплекса (совокупности приборов учета и измерительных трансформаторов), систем учета и приборов учета электрической энергии, присоединенных к интеллектуальным системам учета электрической энергии (мощности) и иного оборудования, предназначенных для измерения объемов электрической энергии (мощности) в одной точке поставки (далее – ПУ) электрической энергии (Приложение № 1). В случаях, указанных в разделе 5 настоящего контракта, определение объема электрической энергии определяется путем применения расчетных способов.</w:t>
      </w:r>
    </w:p>
    <w:p>
      <w:pPr>
        <w:pStyle w:val="Normal"/>
        <w:widowControl w:val="false"/>
        <w:numPr>
          <w:ilvl w:val="1"/>
          <w:numId w:val="2"/>
        </w:numPr>
        <w:ind w:left="0" w:hanging="0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>Данные, содержащиеся в Приложении № 1, могут быть изменены в течение действия настоящего контракта. Изменение данных отражается в актах допуска ПУ в эксплуатацию и становится обязательным для Сторон с даты введения ПУ в эксплуатацию.</w:t>
      </w:r>
    </w:p>
    <w:p>
      <w:pPr>
        <w:pStyle w:val="ListParagraph"/>
        <w:numPr>
          <w:ilvl w:val="1"/>
          <w:numId w:val="2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При исполнении настоящего контракта Стороны обязуются руководствоваться Гражданским кодексом РФ, федеральными законами и подзаконными нормативно-правовыми актами, регулирующими правоотношения в сфере энергоснабжения. В случае принятия нормативно-правовых актов, устанавливающих иной по сравнению с настоящим контрактом порядок организации отношений Сторон и (или) субъектов электроэнергетики, подлежат применению нормативно-правовые акты с даты их вступления в законную силу. </w:t>
      </w:r>
    </w:p>
    <w:p>
      <w:pPr>
        <w:pStyle w:val="ListParagraph"/>
        <w:numPr>
          <w:ilvl w:val="1"/>
          <w:numId w:val="2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При заключении и исполнении контракта допускается изменение существенных условий в соответствии с действующим законодательством РФ.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jc w:val="center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ЦЕНА КОНТРАКТА</w:t>
      </w:r>
    </w:p>
    <w:p>
      <w:pPr>
        <w:pStyle w:val="Style20"/>
        <w:numPr>
          <w:ilvl w:val="1"/>
          <w:numId w:val="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Расчеты за </w:t>
      </w:r>
      <w:r>
        <w:rPr>
          <w:rFonts w:ascii="Times New Roman" w:hAnsi="Times New Roman"/>
          <w:sz w:val="22"/>
          <w:szCs w:val="22"/>
        </w:rPr>
        <w:t>электрическую энергию (мощность)</w:t>
      </w:r>
      <w:r>
        <w:rPr>
          <w:rFonts w:ascii="Times New Roman" w:hAnsi="Times New Roman"/>
          <w:iCs/>
          <w:sz w:val="22"/>
          <w:szCs w:val="22"/>
        </w:rPr>
        <w:t xml:space="preserve">, производятся по тарифам, установленным для Гарантирующего поставщика в порядке, определенном действующим законодательством Российской Федерации о государственном регулировании цен (тарифов), </w:t>
      </w:r>
    </w:p>
    <w:p>
      <w:pPr>
        <w:pStyle w:val="Style20"/>
        <w:numPr>
          <w:ilvl w:val="1"/>
          <w:numId w:val="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Изменение тарифов в период действия настоящего контракта не требует его</w:t>
      </w:r>
      <w:r>
        <w:rPr>
          <w:rFonts w:ascii="Times New Roman" w:hAnsi="Times New Roman"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iCs/>
          <w:sz w:val="22"/>
          <w:szCs w:val="22"/>
        </w:rPr>
        <w:t>переоформления. Величины тарифов доводятся до Государственного заказчика (Потребителя) специальным сообщением в средствах массовой информации и подлежат применению с даты, установленной постановлениями уполномоченного органа исполнительной власти в области государственного регулирования цен (тарифов).</w:t>
      </w:r>
    </w:p>
    <w:p>
      <w:pPr>
        <w:pStyle w:val="Style20"/>
        <w:numPr>
          <w:ilvl w:val="1"/>
          <w:numId w:val="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Цена настоящего контракта определяется </w:t>
      </w:r>
      <w:r>
        <w:rPr>
          <w:rFonts w:ascii="Times New Roman" w:hAnsi="Times New Roman"/>
          <w:sz w:val="22"/>
          <w:szCs w:val="22"/>
        </w:rPr>
        <w:t xml:space="preserve">исходя из доведенных лимитов бюджетных обязательств </w:t>
      </w:r>
      <w:r>
        <w:rPr>
          <w:rFonts w:ascii="Times New Roman" w:hAnsi="Times New Roman"/>
          <w:iCs/>
          <w:sz w:val="22"/>
          <w:szCs w:val="22"/>
        </w:rPr>
        <w:t>на соответствующий финансовый год. Цена настоящего контракта указана в</w:t>
      </w:r>
      <w:r>
        <w:rPr>
          <w:rFonts w:ascii="Times New Roman" w:hAnsi="Times New Roman"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iCs/>
          <w:sz w:val="22"/>
          <w:szCs w:val="22"/>
        </w:rPr>
        <w:t>Приложении № 2 «Цена контракта», которое является неотъемлемой частью настоящего контракта и может корректироваться в период всего срока действия настоящего контракта на</w:t>
      </w:r>
      <w:r>
        <w:rPr>
          <w:rFonts w:ascii="Times New Roman" w:hAnsi="Times New Roman"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iCs/>
          <w:sz w:val="22"/>
          <w:szCs w:val="22"/>
        </w:rPr>
        <w:t xml:space="preserve">основании письменного заявления Потребителя с подтверждением скорректированных лимитов бюджетных обязательств. </w:t>
      </w:r>
    </w:p>
    <w:p>
      <w:pPr>
        <w:pStyle w:val="Style2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left" w:pos="0" w:leader="none"/>
        </w:tabs>
        <w:suppressAutoHyphens w:val="true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ОБЯЗАННОСТИ И ПРАВА ГАРАНТИРУЮЩЕГО ПОСТАВЩИКА.</w:t>
      </w:r>
    </w:p>
    <w:p>
      <w:pPr>
        <w:pStyle w:val="ListParagraph"/>
        <w:numPr>
          <w:ilvl w:val="1"/>
          <w:numId w:val="3"/>
        </w:numPr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Гарантирующий поставщик обязуется:</w:t>
      </w:r>
    </w:p>
    <w:p>
      <w:pPr>
        <w:pStyle w:val="ListParagraph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Осуществлять продажу электрической энергии (мощности) в объеме и порядке, установленным настоящим контрактом, качество и параметры которой должны соответствовать техническим регламентам и иным обязательным требованиям. </w:t>
      </w:r>
    </w:p>
    <w:p>
      <w:pPr>
        <w:pStyle w:val="ListParagraph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надлежащего исполнения настоящего контракта урегулировать отношения, связанные с передачей электрической энергии, путем заключения контракта оказания услуг по передаче электрической энергии с Сетевой организацией.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передачу электрической энергии (мощности) в соответствии с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согласованной категорией надежности энергопринимающих устройств Государственного заказчика (Потребителя).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/>
      </w:pPr>
      <w:r>
        <w:rPr>
          <w:rFonts w:ascii="Times New Roman" w:hAnsi="Times New Roman"/>
          <w:sz w:val="22"/>
          <w:szCs w:val="22"/>
        </w:rPr>
        <w:t xml:space="preserve">Определять в </w:t>
      </w:r>
      <w:hyperlink r:id="rId3">
        <w:r>
          <w:rPr>
            <w:rStyle w:val="Style10"/>
            <w:rFonts w:ascii="Times New Roman" w:hAnsi="Times New Roman"/>
            <w:sz w:val="22"/>
            <w:szCs w:val="22"/>
          </w:rPr>
          <w:t>порядке</w:t>
        </w:r>
      </w:hyperlink>
      <w:r>
        <w:rPr>
          <w:rFonts w:ascii="Times New Roman" w:hAnsi="Times New Roman"/>
          <w:sz w:val="22"/>
          <w:szCs w:val="22"/>
        </w:rPr>
        <w:t>, установленном Министерством энергетики РФ, значения соотношения потребления активной и реактивной мощности для отдельных энергопринимающих устройств (групп энергопринимающих устройств) Государственного заказчика (Потребителя).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отношении энергопринимающих устройств Государственного заказчика (Потребителя), непосредственно или опосредованно присоединенных к принадлежащим на праве собственности или ином законном основании объектам электросетевого хозяйства ПАО «Камчатскэнерго»: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Обеспечивать на безвозмездной основе коммерческий учет электрической энергии (мощности), путем приобретения, установки, замены, допуска в эксплуатацию ПУ, в случаях отсутствия, выхода из строя, утраты, истечения срока эксплуатации или истечении интервала между поверками ПУ, используемого для коммерческого учета Государственного заказчика (Потребителя), кроме случаев, предусмотренных действующим законодательством РФ, не позднее 6 месяцев с даты наступления указанных событий.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на безвозмездной основе эксплуатацию установленных ПУ, оборудования, используемых для коммерческого учета Государственного заказчика (Потребителя) со дня допуска их в эксплуатацию до момента выхода из строя путем проведения осмотров, технического обслуживания, своевременной поверки.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Направлять </w:t>
      </w:r>
      <w:r>
        <w:rPr>
          <w:rFonts w:ascii="Times New Roman" w:hAnsi="Times New Roman"/>
          <w:sz w:val="22"/>
          <w:szCs w:val="22"/>
        </w:rPr>
        <w:t xml:space="preserve">Государственному заказчику (Потребителю) </w:t>
      </w:r>
      <w:r>
        <w:rPr>
          <w:rFonts w:ascii="Times New Roman" w:hAnsi="Times New Roman"/>
          <w:iCs/>
          <w:sz w:val="22"/>
          <w:szCs w:val="22"/>
        </w:rPr>
        <w:t>запрос на установку (замену) ПУ способом, позволяющим подтвердить факт получения с учетом требований, предусмотренных законодательством РФ.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Устанавливать ПУ </w:t>
      </w:r>
      <w:r>
        <w:rPr>
          <w:rFonts w:ascii="Times New Roman" w:hAnsi="Times New Roman"/>
          <w:sz w:val="22"/>
          <w:szCs w:val="22"/>
        </w:rPr>
        <w:t xml:space="preserve">Государственного заказчика (Потребителя) </w:t>
      </w:r>
      <w:r>
        <w:rPr>
          <w:rFonts w:ascii="Times New Roman" w:hAnsi="Times New Roman"/>
          <w:iCs/>
          <w:sz w:val="22"/>
          <w:szCs w:val="22"/>
        </w:rPr>
        <w:t xml:space="preserve">в месте максимально приближенном к границе балансовой принадлежности в случае отсутствия ответа </w:t>
      </w:r>
      <w:r>
        <w:rPr>
          <w:rFonts w:ascii="Times New Roman" w:hAnsi="Times New Roman"/>
          <w:sz w:val="22"/>
          <w:szCs w:val="22"/>
        </w:rPr>
        <w:t>Государственного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 на направленный Гарантирующим поставщиком запрос на установку (замену) ПУ в установленный срок (10 рабочих дней со дня получения запроса) или получения отказа </w:t>
      </w:r>
      <w:r>
        <w:rPr>
          <w:rFonts w:ascii="Times New Roman" w:hAnsi="Times New Roman"/>
          <w:sz w:val="22"/>
          <w:szCs w:val="22"/>
        </w:rPr>
        <w:t>Государственного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 в установке ПУ при наличии технической возможности установки или при двукратном недопуске к месту установки ПУ, но не ранее 4 месяцев с момента первого недопуска.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Производить установку ПУ и иного оборудования, используемого для коммерческого учета, соответствующих требованиям Законодательства РФ.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Устанавливать ПУ Государственного заказчика (Потребителя) в случаях и в местах, соответствующих требованиям Законодательства РФ.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Направлять Государственному заказчику (Потребителю) приглашение на участие в процедуре допуска ПУ в эксплуатацию за 3 календарных дня до проведения. Направлять Государственному заказчику (Потребителю) копию акта допуска ПУ в эксплуатацию в течение 2 рабочих дней со дня проведения процедуры допуска ПУ в эксплуатацию в случае неявки Государственного заказчика (Потребителя) или его уполномоченного представителя в назначенную в приглашении дату и время.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Направлять Государственному заказчику (Потребителю) уведомление о планируемом проведении демонтажа ПУ или иного оборудования, используемого для коммерческого учета, в связи с проведением капитального ремонта или реконструкции объектов в местах установки ПУ, принадлежащих на праве собственности или ином законном праве ПАО «Камчатскэнерго» за 7 рабочих дней до планируемой даты проведения процедуры с указанием даты и времени демонтажа ПУ, а также причин. Перед проведением демонтажа ПУ, производить снятие показаний ПУ, проверку ПУ с фиксацией данных в акте демонтажа ПУ. Направлять Государственному заказчику (Потребителю) копию акта демонтажа в течение 3 рабочих дней со дня составления акта в случае отсутствия Государственного заказчика (Потребителя) при проведении процедуры демонтажа.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Направлять </w:t>
      </w:r>
      <w:r>
        <w:rPr>
          <w:rFonts w:ascii="Times New Roman" w:hAnsi="Times New Roman"/>
          <w:sz w:val="22"/>
          <w:szCs w:val="22"/>
        </w:rPr>
        <w:t>Государственному заказчику (Потребителю)</w:t>
      </w:r>
      <w:r>
        <w:rPr>
          <w:rFonts w:ascii="Times New Roman" w:hAnsi="Times New Roman"/>
          <w:iCs/>
          <w:sz w:val="22"/>
          <w:szCs w:val="22"/>
        </w:rPr>
        <w:t xml:space="preserve"> уведомление о проведении проверки ПУ за 5 рабочих дней до даты проведения с указанием последствий недопуска к ПУ </w:t>
      </w:r>
      <w:r>
        <w:rPr>
          <w:rFonts w:ascii="Times New Roman" w:hAnsi="Times New Roman"/>
          <w:sz w:val="22"/>
          <w:szCs w:val="22"/>
        </w:rPr>
        <w:t>Государственного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, в случаях, когда для проведения проверки требуется допуск к энергопринимающим устройствам (объектам по производству электрической энергии) </w:t>
      </w:r>
      <w:r>
        <w:rPr>
          <w:rFonts w:ascii="Times New Roman" w:hAnsi="Times New Roman"/>
          <w:sz w:val="22"/>
          <w:szCs w:val="22"/>
        </w:rPr>
        <w:t>Государственного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Производить снятие показаний ПУ </w:t>
      </w:r>
      <w:r>
        <w:rPr>
          <w:rFonts w:ascii="Times New Roman" w:hAnsi="Times New Roman"/>
          <w:sz w:val="22"/>
          <w:szCs w:val="22"/>
        </w:rPr>
        <w:t>Государственного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, присоединенных к интеллектуальным система учета электрической энергии (мощности) Гарантирующего поставщика, или расположенных в границах его объектов электросетевого хозяйства.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Предоставлять </w:t>
      </w:r>
      <w:r>
        <w:rPr>
          <w:rFonts w:ascii="Times New Roman" w:hAnsi="Times New Roman"/>
          <w:sz w:val="22"/>
          <w:szCs w:val="22"/>
        </w:rPr>
        <w:t>Государственному заказчику (Потребителю)</w:t>
      </w:r>
      <w:r>
        <w:rPr>
          <w:rFonts w:ascii="Times New Roman" w:hAnsi="Times New Roman"/>
          <w:iCs/>
          <w:sz w:val="22"/>
          <w:szCs w:val="22"/>
        </w:rPr>
        <w:t xml:space="preserve"> показания ПУ, подключенных к интеллектуальной системе учета Гарантирующего поставщика, в порядке и на условиях, определенных правилами предоставления доступа к минимальному набору функций интеллектуальных систем учета электрической энергии.</w:t>
      </w:r>
    </w:p>
    <w:p>
      <w:pPr>
        <w:pStyle w:val="Normal"/>
        <w:widowControl w:val="false"/>
        <w:numPr>
          <w:ilvl w:val="3"/>
          <w:numId w:val="3"/>
        </w:numPr>
        <w:shd w:val="clear" w:color="auto" w:fill="FFFFFF"/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Проводить плановую проверку ПУ Государственного заказчика (Потребителя), не присоединенных к интеллектуальной системе учета Гарантирующего поставщика, не реже 1 раза в год.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действия по обеспечению оборудования точек поставки ПУ, в случае если точки поставки на день заключения контракта не оборудованы ПУ.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контроль соблюдения требований законодательства Российской Федерации об обеспечении единства измерений, в том числе к месту установки, классу точности, наличия неповрежденных контрольных пломб и (или) знаков визуального контроля допущенных в эксплуатацию расчетных ПУ, а также подлежащих к установке ПУ, которые могут быть присоединены к интеллектуальной системе учета электрической энергии (мощности), в соответствии с правилами предоставления доступа к минимальному набору функций интеллектуальных систем учета электрической энергии (мощности), а также извещать заинтересованных субъектов электроэнергетики, потребителей электрической энергии (мощности) и иных владельцев ПУ электрической энергии об их нарушении.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информационный обмен данными, получаемыми в ходе обеспечения коммерческого учета электрической энергии (мощности) на розничных рынках, необходимыми для взаиморасчетов за поставки электрической энергии и мощности, а также за связанные с указанными поставками услуги, на безвозмездной основе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иные действия, необходимые для реализации прав Государственного заказчика (Потребителя), предусмотренные действующим законодательством РФ.</w:t>
      </w:r>
    </w:p>
    <w:p>
      <w:pPr>
        <w:pStyle w:val="Normal"/>
        <w:tabs>
          <w:tab w:val="left" w:pos="1134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3.2. Гарантирующий поставщик имеет право:</w:t>
      </w:r>
    </w:p>
    <w:p>
      <w:pPr>
        <w:pStyle w:val="ListParagraph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Требовать своевременной оплаты за потребленную электрическую энергию (мощность), услуги по передаче электрической энергии</w:t>
      </w:r>
      <w:r>
        <w:rPr>
          <w:rFonts w:ascii="Times New Roman" w:hAnsi="Times New Roman"/>
          <w:sz w:val="22"/>
          <w:szCs w:val="22"/>
        </w:rPr>
        <w:t xml:space="preserve"> и услуги, оказание которых является неотъемлемой частью процесса поставки электрической энергии Государственному заказчику (Потребителю) </w:t>
      </w:r>
      <w:r>
        <w:rPr>
          <w:rFonts w:ascii="Times New Roman" w:hAnsi="Times New Roman"/>
          <w:iCs/>
          <w:sz w:val="22"/>
          <w:szCs w:val="22"/>
        </w:rPr>
        <w:t>в</w:t>
      </w:r>
      <w:r>
        <w:rPr>
          <w:rFonts w:ascii="Times New Roman" w:hAnsi="Times New Roman"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iCs/>
          <w:sz w:val="22"/>
          <w:szCs w:val="22"/>
        </w:rPr>
        <w:t>соответствии с условиями настоящего контракта.</w:t>
      </w:r>
    </w:p>
    <w:p>
      <w:pPr>
        <w:pStyle w:val="Normal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Инициировать введение полного и (или) частичного ограничения режима потребления в установленном порядке при наступлении любого из обстоятельств, указанных в разделе 7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настоящего контракта.</w:t>
      </w:r>
    </w:p>
    <w:p>
      <w:pPr>
        <w:pStyle w:val="Normal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Периодического (не чаще 1 раза в месяц) доступа к ПУ Государственного заказчика (Потребителя) для цели проверки условий их эксплуатации и сохранности, снятия контрольных показаний</w:t>
      </w:r>
      <w:r>
        <w:rPr>
          <w:rFonts w:ascii="Times New Roman" w:hAnsi="Times New Roman"/>
          <w:i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проведения проверок (замеров). </w:t>
      </w:r>
    </w:p>
    <w:p>
      <w:pPr>
        <w:pStyle w:val="Normal"/>
        <w:widowControl w:val="false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Требовать возмещения убытков, причиненных </w:t>
      </w:r>
      <w:r>
        <w:rPr>
          <w:rFonts w:ascii="Times New Roman" w:hAnsi="Times New Roman"/>
          <w:sz w:val="22"/>
          <w:szCs w:val="22"/>
        </w:rPr>
        <w:t>Государственным заказчиком (Потребителем)</w:t>
      </w:r>
      <w:r>
        <w:rPr>
          <w:rFonts w:ascii="Times New Roman" w:hAnsi="Times New Roman"/>
          <w:iCs/>
          <w:sz w:val="22"/>
          <w:szCs w:val="22"/>
        </w:rPr>
        <w:t xml:space="preserve"> вследствие неисполнения или ненадлежащего исполнения обязанностей по обеспечению сохранности и целостности приборов учета, иного оборудования, используемых для коммерческого учета </w:t>
      </w:r>
      <w:r>
        <w:rPr>
          <w:rFonts w:ascii="Times New Roman" w:hAnsi="Times New Roman"/>
          <w:sz w:val="22"/>
          <w:szCs w:val="22"/>
        </w:rPr>
        <w:t>Государственного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, принадлежащих на праве собственности или ином законном праве ПАО «Камчатскэнерго». </w:t>
      </w:r>
    </w:p>
    <w:p>
      <w:pPr>
        <w:pStyle w:val="Normal"/>
        <w:widowControl w:val="false"/>
        <w:numPr>
          <w:ilvl w:val="2"/>
          <w:numId w:val="4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процедуру допуска в эксплуатацию ПУ в случае неявки потребителя или его уполномоченного представителя в дату и время, указанные в приглашении на участие в процедуре допуска ПУ. Допускать ПУ в эксплуатацию при неявке Государственного заказчика (Потребителя) или его уполномоченного представителя, либо отказе от подписания акта допуска ПУ в эксплуатацию (с указанием в акте допуска ПУ в эксплуатацию соответствующей отметки).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Выбирать расчетный ПУ </w:t>
      </w:r>
      <w:r>
        <w:rPr>
          <w:rFonts w:ascii="Times New Roman" w:hAnsi="Times New Roman"/>
          <w:sz w:val="22"/>
          <w:szCs w:val="22"/>
        </w:rPr>
        <w:t>Государственного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 в случае наличия нескольких ПУ, расположенных по обе стороны границы балансовой принадлежности, в соответствии с критериями, определенными законодательством РФ. </w:t>
      </w:r>
    </w:p>
    <w:p>
      <w:pPr>
        <w:pStyle w:val="Normal"/>
        <w:widowControl w:val="false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Проводить внеплановую проверку ПУ </w:t>
      </w:r>
      <w:r>
        <w:rPr>
          <w:rFonts w:ascii="Times New Roman" w:hAnsi="Times New Roman"/>
          <w:sz w:val="22"/>
          <w:szCs w:val="22"/>
        </w:rPr>
        <w:t>Государственного заказчика (Потребителя) в случаях, предусмотренных Законодательством РФ.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за отдельную плату установку, замену ПУ до истечения их срока поверки или эксплуатации в случаях, не связанных с утратой, выходом из строя или неисправностью ПУ, при обращении потребителя, а также предоставлять услуги, не включенные в минимальный набор функций интеллектуальных систем учета электрической энергии (мощности), с использованием ПУ и результатов измерений таких ПУ.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0"/>
          <w:numId w:val="3"/>
        </w:numPr>
        <w:spacing w:before="0" w:after="0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ОБЯЗАННОСТИ И ПРАВА ГОСУДАРСТВЕННОГО ЗАКАЗЧИКА (ПОТРЕБИТЕЛЯ).</w:t>
      </w:r>
    </w:p>
    <w:p>
      <w:pPr>
        <w:pStyle w:val="ListParagraph"/>
        <w:numPr>
          <w:ilvl w:val="1"/>
          <w:numId w:val="3"/>
        </w:numPr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Государственный заказчик (Потребитель) обязуется: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Оплачивать приобретаемую электрическую энергию (мощность) и оказанные услуги по передаче электрической энергии в сроки и на условиях, предусмотренных настоящим контрактом. Введение полного и (или) частичного ограничения режима потребления электрической энергии (мощности) в отношении Потребителя по настоящему контракту не освобождает Государственного заказчика (Потребителя) от обязанности оплатить Гарантирующему поставщику в полном размере стоимость электрической энергии (мощности), поставленной до его введения.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spacing w:before="0" w:after="0"/>
        <w:ind w:left="0" w:hanging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Соблюдать предусмотренный настоящим контрактом и документами о технологическом присоединении режим потребления электрической энергии (мощности).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suppressAutoHyphens w:val="true"/>
        <w:spacing w:before="0" w:after="0"/>
        <w:ind w:left="0" w:hanging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Предоставить подтверждение наличия установленного лимита в рамках бюджетных обязательств; при несвоевременном поступлении средств на его лицевой счет, открытый в органе федерального казначейства, информировать главного распорядителя бюджета о необходимости исполнения поставленных в установленном порядке на учет в органе федерального казначейства обязательств по оплате электрической энергии (мощности).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Обеспечивать в течение всего срока действия настоящего контракта сохранность и целостность ПУ, а также пломб и (или) знаков визуального контроля; снятие и хранение показаний ПУ, своевременное предоставление показаний ПУ, не подключенных к интеллектуальной системе учета сетевой организации и расположенных в границах балансовой принадлежности Государственного заказчика (Потребителя).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Возместить сетевой организации (гарантирующему поставщику) убытки, причиненные неисполнением или ненадлежащим исполнением обязанностей по обеспечению сохранности и целостности установленных сетевой организацией (гарантирующим поставщиком) ПУ и (или) иного оборудования, которые используются для обеспечения коммерческого учета электрической энергии (мощности).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выявлении фактов неисправности или утраты расчетного ПУ в течение одних суток сообщить об этом Гарантирующему поставщику.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эксплуатацию принадлежащих Государственному заказчику (Потребителю) энергопринимающих устройств в соответствии с правилами технической эксплуатации, техники безопасности и оперативно-диспетчерского управления.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Уведомлять Гарантирующего поставщика путем направления письменной заявки о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намерении демонтировать ПУ в целях проведения капитального ремонта или реконструкции объектов Потребителя в местах установки ПУ не менее чем за 7 рабочих дней до планируемой даты проведения демонтажа ПУ. Обеспечить окончание работ по капитальному ремонту или реконструкции объектов в местах установки ПУ Государственного заказчика (Потребителя) или предоставление других мест для установки ПУ не позднее 6 месяцев с момента демонтажа ПУ.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Обеспечить функционирование и реализацию управляющих воздействий устройств релейной защиты, противоаварийной и режимной автоматики, средств регулирования напряжения и компенсации реактивной мощности, установленных в границах его балансовой принадлежности. 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Незамедлительно (в течение суток) уведомлять Гарантирующего поставщика и Сетевую организацию об аварийных ситуациях на энергетических объектах, плановом, текущем и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капитальном ремонте на них.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Обеспечить проведение замеров мощности на энергопринимающих устройствах (объектах электроэнергетики), в отношении которых заключен настоящий контракт, (за исключением энергопринимающих устройств (объектов электроэнергетики), в отношении которых установлены и введены в эксплуатацию ПУ после 1 июля 2020 года) и представлять Гарантирующему поставщику и Сетевой организации информацию о результатах проведенных замеров в течение 3 рабочих дней с даты проведения соответствующего замера. при получении от Сетевой организации требования о проведении замеров.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Поддерживать на границе балансовой принадлежности значения показателей качества электрической энергии, обусловленные работой энергопринимающих устройств Государственного заказчика (Потребителя), соответствующие техническим регламентам и иным обязательным требованиям, в том числе соблюдать установленные контрактом значения соотношения потребления активной и реактивной мощности, определяемые для отдельных энергопринимающих устройств (групп энергопринимающих устройств). В случае несоблюдения установленного коэффициента мощности оплачивать услуги по компенсации реактивной мощности в соответствии с Приложением № 5 к настоящему контракту.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Обеспечить доступ представителей Гарантирующего поставщика и (или) Сетевой организации к энергопринимающим устройствам, находящимся в границах балансовой принадлежности Государственного заказчика (Потребителя), для осуществления проверок (замеров).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 запросу Гарантирующего поставщика или Сетевой организации предоставлять технологическую информацию (главные электрические схемы, характеристики оборудования, схемы устройств релейной защиты и противоаварийной автоматики, оперативные данные о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технологических режимах работы оборудования).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Обеспечить своевременное выполнение диспетчерских команд (распоряжений) Гарантирующего поставщика и соответствующих требований Сетевой организации. 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Соблюдать заданные в установленном порядке Сетевой организацией требования к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установке устройств релейной защиты и автоматики, а также поддерживать схему электроснабжения с выделением ответственных нагрузок на резервируемые внешние питающие линии, обеспечивающие отпуск электрической энергии для покрытия технологической и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аварийной брони.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Выполнять требования Гарантирующего поставщика об ограничении режима потребления в соответствии с утвержденными графиками аварийного ограничения режима потребления электрической энергии при возникновении (угрозе возникновения) дефицита электрической энергии и мощности, а также в иных случаях, предусмотренных законодательством РФ в качестве основания для введения полного или частичного ограничения режима потребления.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Информировать Гарантирующего поставщика и Сетевую организацию об объеме участия в автоматическом либо оперативном противоаварийном управлении мощностью, в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нормированном первичном регулировании частоты и во вторичном регулировании мощности (для электростанций), а также о перечне и мощности токоприемников, которые могут быть отключены устройствами противоаварийной автоматики.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Подтвердить в течение 10 рабочих дней со дня получения запроса сетевой организации с намерением установить (заменить) ПУ дату и время допуска к местам установки ПУ для совершения действий сетевой организации по установке (замене) и допуску в эксплуатацию ПУ, либо согласовать иные дату и (или) время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Обеспечить доступ к месту установки ПУ представителей организаций, уполномоченных на совершение действий по установке, вводу в эксплуатацию и демонтажу ПУ, а также для проверки и снятия показаний, в том числе контрольного снятия показаний, в согласованную дату и время.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>Предоставить список лиц, ответственных за электрохозяйство, за эксплуатацию ПУ, лиц, имеющих право ведения оперативных переговоров, подписания заявок, принятия претензий, отчетов, актов снятия показаний расчетных приборов учета, актов о неучтенном потреблении электрической энергии и иных актов (Приложение № 9). Список должен содержать должности и фамилии уполномоченных лиц, номер их телефона, факса для оперативной связи. Государственный заказчик (Потребитель) обязуется незамедлительно извещать Гарантирующего поставщика об изменении данных, указанных в настоящем пункте.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>В течение 3-х дней с момента соответствующего изменения письменно сообщать Гарантирующему поставщику об изменениях юридического адреса, места нахождения, банковских реквизитов, наименования, ведомственной принадлежности и/или формы собственности, перечне обслуживаемых объектов и других обстоятельствах, влияющих на</w:t>
      </w:r>
      <w:r>
        <w:rPr>
          <w:rFonts w:eastAsia="Calibri" w:ascii="Times New Roman" w:hAnsi="Times New Roman"/>
          <w:sz w:val="22"/>
          <w:szCs w:val="22"/>
          <w:lang w:val="en-US" w:eastAsia="en-US"/>
        </w:rPr>
        <w:t> </w:t>
      </w:r>
      <w:r>
        <w:rPr>
          <w:rFonts w:eastAsia="Calibri" w:ascii="Times New Roman" w:hAnsi="Times New Roman"/>
          <w:sz w:val="22"/>
          <w:szCs w:val="22"/>
          <w:lang w:eastAsia="en-US"/>
        </w:rPr>
        <w:t>надлежащее исполнение настоящего контракта, с приложением соответствующих изменениям документов.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 xml:space="preserve">В случае отказа </w:t>
      </w:r>
      <w:r>
        <w:rPr>
          <w:rFonts w:ascii="Times New Roman" w:hAnsi="Times New Roman"/>
          <w:sz w:val="22"/>
          <w:szCs w:val="22"/>
        </w:rPr>
        <w:t>Государственного заказчика (</w:t>
      </w:r>
      <w:r>
        <w:rPr>
          <w:rFonts w:eastAsia="Calibri" w:ascii="Times New Roman" w:hAnsi="Times New Roman"/>
          <w:sz w:val="22"/>
          <w:szCs w:val="22"/>
          <w:lang w:eastAsia="en-US"/>
        </w:rPr>
        <w:t>Потребителя) от исполнения настоящего контракта в одностороннем порядке, не позднее чем за 20 рабочих дней с даты принятия указанного решения, направить письменное уведомление Гарантирующему поставщику способом, позволяющим подтвердить факт и дачу получения уведомления.</w:t>
      </w:r>
      <w:r>
        <w:rPr>
          <w:rFonts w:ascii="Times New Roman" w:hAnsi="Times New Roman"/>
          <w:sz w:val="22"/>
          <w:szCs w:val="22"/>
        </w:rPr>
        <w:t xml:space="preserve"> 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ab/>
      </w:r>
      <w:r>
        <w:rPr>
          <w:rFonts w:ascii="Times New Roman" w:hAnsi="Times New Roman"/>
          <w:bCs/>
          <w:sz w:val="22"/>
          <w:szCs w:val="22"/>
        </w:rPr>
        <w:t xml:space="preserve">При этом Государственный заказчик (Потребитель) обязан оплатить Гарантирующему поставщику стоимость потребленной электрической энергии (мощности), что должно быть подтверждено оплатой счета. 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851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изменении настоящего контракта направить Гарантирующему поставщику письменное уведомление об этом не позднее чем за 20 рабочих дней до заявляемой даты изменения настоящего контракта способом, позволяющим подтвердить факт и дату получения указанного уведомления.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851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Обеспечить предоставление Гарантирующему поставщику показаний ПУ, используемых для расчетов по контракту, на дату расторжения или изменения контракта, для осуществления окончательных расчетов за электрическую энергию (мощность).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851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соответствия Государственного заказчика (Потребителя) критериям, установленным Правительством РФ, при которых у Государственного заказчика (Потребителя) возникает обязанность предоставления обеспечения исполнения обязательств по оплате электрической энергии (мощности), предоставить указанное обеспечение в установленные уведомлением Гарантирующего поставщика сроки.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851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Потребитель, ограничение режима потребления электрической энергии (мощности) которого может привести к экономическим, экологическим или социальным последствиям, и категории которых определены в приложении к «Правилам полного и (или) частичного ограничения режима потребления электрической энергии», утвержденным постановлением Правительства РФ от 4 мая 2012 г. №442, - обязан: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  составить и согласовать с Сетевой организацией акт согласования технологической и (или) аварийной брони (форма Приложения № 6). Согласованный акт согласования технологической и (или) аварийной брони предоставить при подписании настоящего контракта; 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</w:t>
      </w:r>
      <w:r>
        <w:rPr>
          <w:rFonts w:ascii="Times New Roman" w:hAnsi="Times New Roman"/>
          <w:bCs/>
          <w:sz w:val="22"/>
          <w:szCs w:val="22"/>
        </w:rPr>
        <w:t>выделить электроприемники аварийной брони электроснабжения на отдельные питающие линии, по которым подача электрической энергии (мощности) не подлежит временному отключению, либо путем использования потребителем автономных резервных источников питания;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  обеспечить поддержание автономного резервного источника питания в состоянии готовности к его использованию при возникновении внерегламентных отключений, введении аварийного ограничения режима потребления электрической энергии или использования противоаварийной автоматики;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 обеспечивать соблюдение установленного актом согласования технологической и (или) аварийной брони режима потребления электрической энергии, а также уровня нагрузки технологической и (или) аварийной брони и сроков завершения технологического процесса при введении ограничения режима потребления электрической энергии;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 не позднее трех дней после получения уведомления о введении ограничения режима потребления электрической энергии устранить причины, являющиеся основанием для введения ограничения режима потребления, либо представить Гарантирующему поставщику план мероприятий по обеспечению готовности к введению в отношении его энергопринимающих устройств и (или) объектов электроэнергетики полного ограничения режима потребления, включающий в себя мероприятия, необходимые для безаварийного прекращения технологического процесса, обеспечения безопасности людей и сохранности оборудования, и (или) мероприятия по установке за свой счет автономных источников питания, обеспечивающих снабжение электрической энергией его энергопринимающих устройств и (или) объектов электроэнергетики;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567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 после выполнения мероприятий направить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Гарантирующему поставщику уведомление о готовности к введению полного ограничения режима потребления электрической энергии;</w:t>
      </w:r>
    </w:p>
    <w:p>
      <w:pPr>
        <w:pStyle w:val="Normal"/>
        <w:widowControl w:val="false"/>
        <w:tabs>
          <w:tab w:val="left" w:pos="0" w:leader="none"/>
        </w:tabs>
        <w:ind w:firstLine="567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 направить высшему должностному лицу субъекта Российской Федерации информацию о принадлежащих им на праве собственности или на ином законном основании энергопринимающих устройствах и (или) объектах электроэнергетики, ограничение режима потребления которыми может привести к экономическим, экологическим или социальным последствиям, и о наличии либо об отсутствии соответствующих актов согласования технологической и (или) аварийной брони.</w:t>
      </w:r>
    </w:p>
    <w:p>
      <w:pPr>
        <w:pStyle w:val="ListParagraph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Оплатить объем бездоговорного потребления электрической энергии по счету в течение 10 дней со дня получения счета.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Потребитель не вправе по своему усмотрению демонтировать ПУ</w:t>
      </w:r>
      <w:r>
        <w:rPr>
          <w:rStyle w:val="Annotationreference"/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ограничивать к ним доступ</w:t>
      </w:r>
      <w:r>
        <w:rPr>
          <w:rFonts w:ascii="Times New Roman" w:hAnsi="Times New Roman"/>
          <w:sz w:val="22"/>
          <w:szCs w:val="22"/>
          <w:shd w:fill="C0C0C0" w:val="clear"/>
        </w:rPr>
        <w:t xml:space="preserve">, </w:t>
      </w:r>
      <w:r>
        <w:rPr>
          <w:rFonts w:ascii="Times New Roman" w:hAnsi="Times New Roman"/>
          <w:sz w:val="22"/>
          <w:szCs w:val="22"/>
        </w:rPr>
        <w:t>вмешиваться в процесс удаленного сбора, обработки и передачи показаний ПУ (измерительных трансформаторов), в любой иной форме препятствовать их использованию для обеспечения и осуществления контроля коммерческого учета электрической энергии (мощности), в том числе препятствовать проведению проверок целостности и корректности их работы, использованию для этих целей данных, получаемых с принадлежащих им ПУ электрической энергии</w:t>
      </w:r>
      <w:r>
        <w:rPr>
          <w:rFonts w:ascii="Times New Roman" w:hAnsi="Times New Roman"/>
          <w:sz w:val="22"/>
          <w:szCs w:val="22"/>
          <w:shd w:fill="C0C0C0" w:val="clear"/>
        </w:rPr>
        <w:t>.</w:t>
      </w:r>
    </w:p>
    <w:p>
      <w:pPr>
        <w:pStyle w:val="ListParagraph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Выполнять иные обязанности и требования, установленные отраслевым законодательством в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сфере энергоснабжения.</w:t>
      </w:r>
    </w:p>
    <w:p>
      <w:pPr>
        <w:pStyle w:val="ListParagraph"/>
        <w:tabs>
          <w:tab w:val="left" w:pos="709" w:leader="none"/>
          <w:tab w:val="left" w:pos="1134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1"/>
          <w:numId w:val="3"/>
        </w:numPr>
        <w:tabs>
          <w:tab w:val="left" w:pos="709" w:leader="none"/>
          <w:tab w:val="left" w:pos="1134" w:leader="none"/>
        </w:tabs>
        <w:suppressAutoHyphens w:val="true"/>
        <w:ind w:left="0" w:hanging="0"/>
        <w:jc w:val="both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Государственный заказчик (Потребитель) имеет право: 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Требовать поддержания на границе балансовой принадлежности электросетей показателей качества электроэнергии в соответствии с действующими нормативными документами.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Требовать обеспечения надежности энергоснабжения в соответствии с условиями настоящего контракта и фактической схемой электроснабжения.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Использовать действующие расчетные ПУ вплоть до истечения установленного для них межповерочного интервала, срока эксплуатации, либо до момента выхода таких ПУ из строя или их утраты.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ab/>
        <w:t>Отказать Гарантирующему поставщику в установке ПУ при отсутствии технической возможности установки ПУ в месте, указанном Гарантирующим поставщиком в запросе на установку (замену) ПУ.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Требовать с сетевой организации выплату неустойки в случае неисполнения или ненадлежащего исполнения обязанностей по установке, замене и допуску в эксплуатацию ПУ по истечении 6 месяцев с момента наступления одного из событий, повлекших необходимость установки или замены ПУ и ввода его в эксплуатацию (выход ПУ из строя, истечение межповерочного интервала, срока эксплуатации, утрата ПУ) в размере, предусмотренном законодательством РФ, кроме случаев, когда неисполнение или ненадлежащее исполнение таких обязанностей возникло по причине недопуска </w:t>
      </w:r>
      <w:r>
        <w:rPr>
          <w:rFonts w:ascii="Times New Roman" w:hAnsi="Times New Roman"/>
          <w:sz w:val="22"/>
          <w:szCs w:val="22"/>
        </w:rPr>
        <w:t xml:space="preserve">Государственным заказчиком (Потребителем) </w:t>
      </w:r>
      <w:r>
        <w:rPr>
          <w:rFonts w:ascii="Times New Roman" w:hAnsi="Times New Roman"/>
          <w:bCs/>
          <w:sz w:val="22"/>
          <w:szCs w:val="22"/>
        </w:rPr>
        <w:t xml:space="preserve"> представителя Гарантирующего поставщика к местам установки ПУ, в то время как техническая возможность установки ПУ в ином месте, максимально приближенном к границе балансовой принадлежности, отсутствует. </w:t>
      </w:r>
      <w:r>
        <w:rPr>
          <w:rFonts w:ascii="Times New Roman" w:hAnsi="Times New Roman"/>
          <w:sz w:val="22"/>
          <w:szCs w:val="22"/>
        </w:rPr>
        <w:t>Проводить проверки соблюдения сетевой организацией или гарантирующим поставщиком требований законодательства Российской Федерации об обеспечении единства измерений, в том числе к месту установки, классу точности, наличия неповрежденных контрольных пломб и (или) знаков визуального контроля допущенных в эксплуатацию расчетных ПУ, а также подлежащих к установке ПУ. которые могут быть присоединены к интеллектуальной системе учета электрической энергии (мощности), в соответствии с правилами предоставления доступа к минимальному набору функций интеллектуальных систем учета электрической энергии (мощности) в том числе с привлечением аккредитованных в установленном порядке в области обеспечения единства измерений юридических лиц (индивидуальных предпринимателей)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С даты утраты Гарантирующим поставщиком его статуса перейти на обслуживание к</w:t>
      </w:r>
      <w:r>
        <w:rPr>
          <w:rFonts w:ascii="Times New Roman" w:hAnsi="Times New Roman"/>
          <w:bCs/>
          <w:sz w:val="22"/>
          <w:szCs w:val="22"/>
          <w:lang w:val="en-US"/>
        </w:rPr>
        <w:t> </w:t>
      </w:r>
      <w:r>
        <w:rPr>
          <w:rFonts w:ascii="Times New Roman" w:hAnsi="Times New Roman"/>
          <w:bCs/>
          <w:sz w:val="22"/>
          <w:szCs w:val="22"/>
        </w:rPr>
        <w:t>организации, которой присвоен статус Гарантирующего поставщика или к энергосбытовой (энергоснабжающей) организации или производителю электрической энергии (мощности) на</w:t>
      </w:r>
      <w:r>
        <w:rPr>
          <w:rFonts w:ascii="Times New Roman" w:hAnsi="Times New Roman"/>
          <w:bCs/>
          <w:sz w:val="22"/>
          <w:szCs w:val="22"/>
          <w:lang w:val="en-US"/>
        </w:rPr>
        <w:t> </w:t>
      </w:r>
      <w:r>
        <w:rPr>
          <w:rFonts w:ascii="Times New Roman" w:hAnsi="Times New Roman"/>
          <w:bCs/>
          <w:sz w:val="22"/>
          <w:szCs w:val="22"/>
        </w:rPr>
        <w:t xml:space="preserve">розничном рынке, при условии соблюдения установленных законодательством условий заключения контрактов с указанными субъектами. 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426" w:leader="none"/>
        </w:tabs>
        <w:suppressAutoHyphens w:val="true"/>
        <w:spacing w:before="0" w:after="0"/>
        <w:ind w:left="426" w:hanging="426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ПОРЯДОК УЧЕТА ЭЛЕКТРИЧЕСКОЙ ЭНЕРГИИ (МОЩНОСТИ) С ИСПОЛЬЗОВАНИЕМ ПУ И ПОРЯДОК ВЗАИМОДЕЙСТВИЯ СТОРОН В ПРОЦЕССЕ ТАКОГО УЧЕТА.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учета электрической энергии (мощности), потребляемой Государственным заказчиком (Потребителем), подлежат использованию ПУ, соответствующие требованиям законодательства Российской Федерации об обеспечении единства измерений, а также нормативно-правовыми актами, регулирующими правоотношения в сфере энергоснабжения, в том числе по их классу точности, быть допущенными в эксплуатацию в установленном порядке, иметь неповрежденные контрольные пломбы и (или) знаки визуального контроля.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Сетевые организации обеспечивают коммерческий учет электрической энергии (мощности) энергопринимающих устройств потребителей электрической энергии (мощности), в том числе путем приобретения, установки, замены, допуска в эксплуатацию ПУ электрической энергии и (или) иного оборудования, а также нематериальных активов, которые необходимы для обеспечения коммерческого учета электрической энергии (мощности), и последующей их эксплуатации, том числе посредством интеллектуальных систем учета электрической энергии (мощности):</w:t>
      </w:r>
    </w:p>
    <w:p>
      <w:pPr>
        <w:pStyle w:val="Normal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при отсутствии, выходе из строя, утрате, истечении срока эксплуатации или истечении интервала между поверками ПУ электрической энергии и (или) иного оборудования, которые используются для коммерческого учета электрической энергии (мощности), в том числе не принадлежащих сетевой организации (гарантирующему поставщику);</w:t>
      </w:r>
    </w:p>
    <w:p>
      <w:pPr>
        <w:pStyle w:val="Normal"/>
        <w:tabs>
          <w:tab w:val="left" w:pos="0" w:leader="none"/>
          <w:tab w:val="left" w:pos="709" w:leader="none"/>
        </w:tabs>
        <w:ind w:firstLine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в процессе технологического присоединения энергопринимающих устройств. </w:t>
      </w:r>
    </w:p>
    <w:p>
      <w:pPr>
        <w:pStyle w:val="ListParagraph"/>
        <w:widowControl w:val="false"/>
        <w:numPr>
          <w:ilvl w:val="2"/>
          <w:numId w:val="3"/>
        </w:numPr>
        <w:tabs>
          <w:tab w:val="left" w:pos="0" w:leader="none"/>
          <w:tab w:val="left" w:pos="426" w:leader="none"/>
        </w:tabs>
        <w:suppressAutoHyphens w:val="tru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ПУ подлежат установке (в порядке убывания приоритета):</w:t>
      </w:r>
    </w:p>
    <w:p>
      <w:pPr>
        <w:pStyle w:val="Normal"/>
        <w:widowControl w:val="false"/>
        <w:tabs>
          <w:tab w:val="left" w:pos="0" w:leader="none"/>
          <w:tab w:val="left" w:pos="426" w:leader="none"/>
        </w:tabs>
        <w:suppressAutoHyphens w:val="true"/>
        <w:spacing w:before="0" w:after="0"/>
        <w:ind w:firstLine="851"/>
        <w:contextualSpacing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в местах, указанных в документах о технологическом присоединении и (или) актах допуска в эксплуатацию ПУ электрической </w:t>
      </w:r>
      <w:r>
        <w:rPr>
          <w:rFonts w:ascii="Times New Roman" w:hAnsi="Times New Roman"/>
          <w:bCs/>
          <w:sz w:val="22"/>
          <w:szCs w:val="22"/>
        </w:rPr>
        <w:t xml:space="preserve">энергии. </w:t>
      </w:r>
    </w:p>
    <w:p>
      <w:pPr>
        <w:pStyle w:val="Normal"/>
        <w:widowControl w:val="false"/>
        <w:tabs>
          <w:tab w:val="left" w:pos="0" w:leader="none"/>
          <w:tab w:val="left" w:pos="426" w:leader="none"/>
        </w:tabs>
        <w:suppressAutoHyphens w:val="true"/>
        <w:spacing w:before="0" w:after="0"/>
        <w:ind w:firstLine="851"/>
        <w:contextualSpacing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на границе балансовой принадлежности объектов энергопринимающих устройств смежных субъектов. При этом ПУ может быть установлен в границах объектов электроэнергетики (энергопринимающих устройств) смежного субъекта.</w:t>
      </w:r>
    </w:p>
    <w:p>
      <w:pPr>
        <w:pStyle w:val="Normal"/>
        <w:widowControl w:val="false"/>
        <w:tabs>
          <w:tab w:val="left" w:pos="0" w:leader="none"/>
          <w:tab w:val="left" w:pos="426" w:leader="none"/>
        </w:tabs>
        <w:suppressAutoHyphens w:val="true"/>
        <w:spacing w:before="0" w:after="0"/>
        <w:ind w:firstLine="851"/>
        <w:contextualSpacing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в месте, максимально приближенном к границе балансовой принадлежности, в котором имеется техническая возможность его установки</w:t>
      </w:r>
      <w:r>
        <w:rPr>
          <w:rFonts w:ascii="Times New Roman" w:hAnsi="Times New Roman"/>
          <w:b/>
          <w:bCs/>
          <w:sz w:val="22"/>
          <w:szCs w:val="22"/>
        </w:rPr>
        <w:t>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uppressAutoHyphens w:val="true"/>
        <w:ind w:left="0" w:hanging="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Установка (замена) ПУ и допуск в эксплуатацию ПУ электрической энергии должны быть осуществлены не позднее 6 месяцев:</w:t>
      </w:r>
    </w:p>
    <w:p>
      <w:pPr>
        <w:pStyle w:val="ListParagraph"/>
        <w:widowControl w:val="false"/>
        <w:tabs>
          <w:tab w:val="left" w:pos="0" w:leader="none"/>
          <w:tab w:val="left" w:pos="426" w:leader="none"/>
        </w:tabs>
        <w:suppressAutoHyphens w:val="true"/>
        <w:ind w:left="0" w:firstLine="851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с даты истечения интервала между поверками или срока эксплуатации ПУ, если соответствующая дата (срок) установлена в контракте энергоснабжения (Приложение № 1);</w:t>
      </w:r>
    </w:p>
    <w:p>
      <w:pPr>
        <w:pStyle w:val="ListParagraph"/>
        <w:widowControl w:val="false"/>
        <w:tabs>
          <w:tab w:val="left" w:pos="0" w:leader="none"/>
          <w:tab w:val="left" w:pos="426" w:leader="none"/>
        </w:tabs>
        <w:suppressAutoHyphens w:val="true"/>
        <w:ind w:left="0" w:firstLine="851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 xml:space="preserve">в иных случаях при нахождении ПУ в границах балансовой принадлежности энергопринимающих устройств (объектов электросетевого хозяйства) - с даты получения обращения </w:t>
      </w:r>
      <w:r>
        <w:rPr>
          <w:rFonts w:ascii="Times New Roman" w:hAnsi="Times New Roman"/>
          <w:sz w:val="22"/>
          <w:szCs w:val="22"/>
        </w:rPr>
        <w:t>Государственного заказчика (Потребителя)</w:t>
      </w:r>
      <w:r>
        <w:rPr>
          <w:rFonts w:ascii="Times New Roman" w:hAnsi="Times New Roman"/>
          <w:bCs/>
          <w:sz w:val="22"/>
          <w:szCs w:val="22"/>
        </w:rPr>
        <w:t xml:space="preserve"> электрической энергии об истечении интервала между поверками, срока эксплуатации, а также об утрате, о выходе ПУ из строя и (или) его неисправности. </w:t>
      </w:r>
    </w:p>
    <w:p>
      <w:pPr>
        <w:pStyle w:val="ListParagraph"/>
        <w:widowControl w:val="false"/>
        <w:tabs>
          <w:tab w:val="left" w:pos="0" w:leader="none"/>
        </w:tabs>
        <w:suppressAutoHyphens w:val="true"/>
        <w:ind w:left="0" w:firstLine="851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с даты выявления истечения срока поверки, срока эксплуатации, неисправности ПУ в ходе проведения его проверки в установленном настоящим документом порядке;</w:t>
      </w:r>
    </w:p>
    <w:p>
      <w:pPr>
        <w:pStyle w:val="ListParagraph"/>
        <w:widowControl w:val="false"/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с даты признания ПУ утраченным.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Сетевая организация, имеющая намерение установить либо заменить ПУ, направляет в адрес гарантирующего поставщика и потребителя запрос на установку (замену) ПУ способом, позволяющим подтвердить факт его получения.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uppressAutoHyphens w:val="true"/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В подтвержденные дату и время сетевая организация осуществляют действия по установке (замене) ПУ.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uppressAutoHyphens w:val="true"/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При ненаправлении потребителем сетевой организации в установленный срок ответа на запрос на установку (замену) ПУ, при получении ответа об отказе в установке ПУ или при двукратном недопуске к месту установки ПУ, но не ранее 4 месяцев с момента первого недопуска, ПУ подлежит установке в ином месте, максимально приближенном к границе балансовой принадлежности, с уведомлением лиц, которым направлялся запрос на установку (замену) ПУ, о смене места установки с указанием адреса такого места иных лиц, которые принимают участие в процедуре допуска ПУ в эксплуатацию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</w:tabs>
        <w:spacing w:before="0" w:after="0"/>
        <w:ind w:left="0" w:hanging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Установленный ПУ должен быть допущен в эксплуатацию. Под допуском ПУ в эксплуатацию понимается процедура, в ходе которой сетевой организацией проверяется и определяется готовность ПУ, в том числе входящего в состав измерительного комплекса или системы учета, к его использованию при осуществлении расчетов за электрическую энергию (мощность) и которая завершается документальным оформлением результатов допуска.</w:t>
      </w:r>
    </w:p>
    <w:p>
      <w:pPr>
        <w:pStyle w:val="Normal"/>
        <w:widowControl w:val="false"/>
        <w:tabs>
          <w:tab w:val="left" w:pos="0" w:leader="none"/>
        </w:tabs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Допуск в эксплуатацию ПУ осуществляется при участии уполномоченных представителей лиц, которым направлялся запрос на установку (замену) ПУ или приглашение для участия в процедуре допуска.</w:t>
      </w:r>
    </w:p>
    <w:p>
      <w:pPr>
        <w:pStyle w:val="Normal"/>
        <w:widowControl w:val="false"/>
        <w:tabs>
          <w:tab w:val="left" w:pos="0" w:leader="none"/>
        </w:tabs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 окончании допуска в эксплуатацию ПУ организацией, осуществляющей допуск в эксплуатацию ПУ, в местах и способом, которые определены в соответствии с законодательством Российской Федерации об обеспечении единства измерений и о техническом регулировании, подлежит установке контрольная одноразовая номерная пломба (далее - контрольная пломба) и (или) знаки визуального контроля.</w:t>
      </w:r>
    </w:p>
    <w:p>
      <w:pPr>
        <w:pStyle w:val="Normal"/>
        <w:tabs>
          <w:tab w:val="left" w:pos="0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неявки потребителя для участия в процедуре допуска ПУ в эксплуатацию такая процедура проводится без его участия.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качестве расчетного ПУ принимается ПУ (в порядке убывания приоритета):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установленный и допущенный в эксплуатацию сетевой организацией. Такой ПУ становится расчетным с даты допуска его в эксплуатацию;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обеспечивающий проведение измерений с минимальной величиной потерь электрической энергии от места его установки до точки поставки (при номинальных токах и напряжениях); 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обеспечивающий минимальную величину погрешности измерительного канала. Погрешность измерительного канала определяется в соответствии с нормативным правовым актом уполномоченного федерального органа, регламентирующим расчет нормативов технологических потерь электрической энергии при ее передаче;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позволяющий измерять почасовые объемы потребления (производства) электрической энергии, в том числе входящий в измерительный комплекс;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входящий в состав автоматизированной информационно-измерительной системы учета.</w:t>
      </w:r>
    </w:p>
    <w:p>
      <w:pPr>
        <w:pStyle w:val="Normal"/>
        <w:widowControl w:val="false"/>
        <w:tabs>
          <w:tab w:val="left" w:pos="0" w:leader="none"/>
          <w:tab w:val="left" w:pos="709" w:leader="none"/>
          <w:tab w:val="left" w:pos="851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При этом ПУ, расположенные по иную сторону границы балансовой принадлежности от расчетных ПУ могут быть определены как контрольные ПУ. 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</w:tabs>
        <w:spacing w:before="0" w:after="0"/>
        <w:ind w:left="0" w:hanging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случае, если ПУ расположен не на границе балансовой принадлежности объектов электроэнергетики (энергопринимающих устройств), то объем потребления (производства, передачи) электрической энергии (мощности), определенный на основании показаний такого ПУ, в целях осуществления расчетов по настоящему контракту подлежит корректировке на величину потерь электрической энергии, возникающих на участке сети от границы балансовой принадлежности объектов электроэнергетики (энергопринимающих устройств) до места установки ПУ.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Лицами, ответственными за снятие показаний расчетного ПУ, являются:</w:t>
      </w:r>
    </w:p>
    <w:p>
      <w:pPr>
        <w:pStyle w:val="Normal"/>
        <w:tabs>
          <w:tab w:val="left" w:pos="0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сетевые организации в отношении ПУ, присоединенных к интеллектуальным системам учета электрической энергии (мощности) соответствующей сетевой организации, а также иных расчетных ПУ, расположенных в границах объектов электросетевого хозяйства сетевых организаций или в границах бесхозяйных объектов электросетевого хозяйства;</w:t>
      </w:r>
    </w:p>
    <w:p>
      <w:pPr>
        <w:pStyle w:val="Normal"/>
        <w:tabs>
          <w:tab w:val="left" w:pos="0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потребители, собственники (владельцы) объектов электросетевого хозяйства в отношении расчетных ПУ, установленных в границах объектов таких лиц и не присоединенных к интеллектуальным системам учета электрической энергии (мощности).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Снятие показаний расчетных ПУ осуществляется по состоянию на 00 часов 00 минут первого дня месяца, следующего за расчетным периодом, а в отношении ПУ, установленных в многоквартирных жилых домах, - до окончания 25-го дня расчетного месяца, а также по состоянию на 00 часов 00 минут дня расторжения (заключения) контракта энергоснабжения.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Снятие показаний расчетного ПУ, не присоединенного к интеллектуальной системе учета электрической энергии (мощности), оформляется актом снятия показаний расчетного ПУ (Приложение №7) и подписывается лицом, ответственным за снятие показаний ПУ, а также представителями сетевой организации и (или) Гарантирующего поставщика в случае, если ими осуществляется совместное снятие показаний расчетного ПУ.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Лицо, ответственное за снятие показаний ПУ, обеспечивает представление показаний расчетного ПУ Гарантирующему поставщику до окончания первого дня месяца, следующего за расчетным периодом, а ПУ, установленных в многоквартирных жилых домах, - до окончания 26-го дня расчетного месяца, а также в течение суток, следующих за датой расторжения (заключения) настоящего контракта.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В отношении расчетных ПУ, не присоединенных к интеллектуальным системам учета электрической энергии (мощности), показания представляются с использованием телефонной связи, электронной почты или иным способом, позволяющим подтвердить факт их получения, а также при необходимости в письменной форме или в виде электронного документа, подписанного электронной подписью - Акта снятия показаний расчетных ПУ (Приложение № 7).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В отношении расчетных ПУ, присоединенных к интеллектуальным системам учета электрической энергии (мощности), показания представляются с использованием интеллектуальной системы учета электрической энергии (мощности) в соответствии с требованиями правил предоставления доступа к минимальному набору функций интеллектуальных систем учета электрической энергии (мощности).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Проверка правильности снятия показаний расчетных ПУ (далее - контрольное снятие показаний), не включенных в интеллектуальную систему учета гарантирующего поставщика или сетевой организации осуществляется не чаще одного раза в месяц.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 факту выявленного безучетного потребления расчетный прибор учета признается вышедшим из строя.</w:t>
      </w:r>
    </w:p>
    <w:p>
      <w:pPr>
        <w:pStyle w:val="ListParagraph"/>
        <w:tabs>
          <w:tab w:val="left" w:pos="709" w:leader="none"/>
        </w:tabs>
        <w:ind w:left="36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ListParagraph"/>
        <w:widowControl w:val="false"/>
        <w:numPr>
          <w:ilvl w:val="0"/>
          <w:numId w:val="3"/>
        </w:numPr>
        <w:tabs>
          <w:tab w:val="left" w:pos="709" w:leader="none"/>
        </w:tabs>
        <w:suppressAutoHyphens w:val="true"/>
        <w:ind w:left="0" w:hanging="0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ПОРЯДОК ОПРЕДЕЛЕНИЯ СТОИМОСТИ И ОБЪЕМА ПОКУПКИ ЭЛЕКТРИЧЕСКОЙ ЭНЕРГИИ (МОЩНОСТИ) ЗА РАСЧЕТНЫЙ ПЕРИОД.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Определение объема покупки электрической энергии (мощности), поставленной в точках поставки по настоящему контракту за расчетный период, осуществляется на основании данных об объемах потребления электрической энергии (мощности), определенных в соответствии с использованием ПУ, указанных в Приложении № 1, а в случаях, указанных в п. 6.2 настоящего раздела, на основании расчетных способов.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Стоимость фактически потребленной электрической энергии (мощности), поставленной в точках поставки по настоящему контракту за расчетный период, определяется исходя из фактического объема потребления электрической энергии (мощности) и регулируемой цены на электрическую энергию (мощность), установленной органом исполнительной власти субъекта Российской Федерации в области государственного регулирования тарифов.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Снятые показания ПУ сообщаются Гарантирующему поставщику с использованием телефонной связи, электронной почты, факсимильной связи или иным способом, позволяющим подтвердить факт получения, а также в письменной форме в виде Акта снятия показаний расчетного ПУ за расчетный период (Приложение № 7) в течение 2-х рабочих дней с момента снятия за подписью уполномоченного лица, заверенной печатью.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Определение объема потребленной электрической энергии (мощности)</w:t>
      </w:r>
      <w:r>
        <w:rPr>
          <w:rFonts w:ascii="Times New Roman" w:hAnsi="Times New Roman"/>
          <w:color w:val="0070C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осуществляется в соответствии с расчетными способами, определенными Основными положениями функционирования розничных рынков электрической энергии, утвержденными Постановлением Правительства Российской Федерации от 4 мая 2012г. № 442 (далее – Основные положения), и в случаях, определенных Основными положениями, в том числе: после двукратного недопуска к месту установки ПУ Сетевой организации или Гарантирующего поставщика к расчетному ПУ, установленному в границах энергопринимающих устройств Потребителя, для проведения контрольного снятия показаний или проведения проверки ПУ</w:t>
      </w:r>
      <w:r>
        <w:rPr>
          <w:rFonts w:ascii="Times New Roman" w:hAnsi="Times New Roman"/>
          <w:sz w:val="22"/>
          <w:szCs w:val="22"/>
          <w:shd w:fill="C0C0C0" w:val="clear"/>
        </w:rPr>
        <w:t>;</w:t>
      </w:r>
      <w:r>
        <w:rPr>
          <w:rFonts w:ascii="Times New Roman" w:hAnsi="Times New Roman"/>
          <w:sz w:val="22"/>
          <w:szCs w:val="22"/>
        </w:rPr>
        <w:t xml:space="preserve"> в случаях отсутствия, неисправности, утраты или истечения интервала между поверками, истечения срока эксплуатации расчетного ПУ, непредставления показаний расчетного ПУ в установленные сроки, а также отсутствия контрольного ПУ.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Расчет объема потребления электрической энергии (мощности)</w:t>
      </w:r>
      <w:r>
        <w:rPr>
          <w:rFonts w:ascii="Times New Roman" w:hAnsi="Times New Roman"/>
          <w:color w:val="0070C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Потребителю осуществляется с применением расчетного способа, предусмотренного Приложением № 3 к Основным положениям в случае потребления Потребителем электрической энергии (мощности) с нарушением установленного настоящим контрактом и (или) соответствующими нормативно-правовыми актами порядка учета электрической энергии (безучетное потребление), выразившимся во вмешательство в работу ПУ в случаях нарушения целостности (повреждения) прибора учета, измерительного комплекса, измерительных трансформаторов, нарушения (повреждения) пломб и (или) знаков визуального контроля, нанесенных на прибор учета, измерительный комплекс, измерительные трансформаторы, систему учета, компоненты интеллектуальной системы электрической энергии (мощности), на приспособления, препятствующие доступу к ним, расположенные до места установки ПУ электрической энергии (точки измерения прибором учета), когда ПУ установлены в границах балансовой принадлежности потребителя и (или) в границах земельного участка, принадлежащего потребителю на праве собственности или ином законном основании, на котором расположены энергопринимающие устройства потребителя или, если обязанность по обеспечению целостности и сохранности ПУ возложена на потребителя, а также с нарушением указанного порядка, обнаруженным в границах балансовой принадлежности потребителя подключения энергопринимающих устройств до точки измерения прибором учета или в границах земельного участка потребителя подключения до точки измерения прибором учета энергопринимающих устройств, расположенных в границах этого земельного участка.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0" w:leader="none"/>
        </w:tabs>
        <w:suppressAutoHyphens w:val="true"/>
        <w:spacing w:before="0" w:after="0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РАСЧЕТЫ ЗА ЭЛЕКТРИЧЕСКУЮ ЭНЕРГИЮ (МОЩНОСТЬ).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</w:tabs>
        <w:suppressAutoHyphens w:val="tru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Расчетным периодом по настоящему контракту является один календарный месяц.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Государственный заказчик (Потребитель) оплачивает электрическую энергию (мощность) </w:t>
      </w:r>
      <w:r>
        <w:rPr>
          <w:rFonts w:ascii="Times New Roman" w:hAnsi="Times New Roman"/>
          <w:b/>
          <w:sz w:val="22"/>
          <w:szCs w:val="22"/>
        </w:rPr>
        <w:t>в следующем порядке: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</w:r>
      <w:r>
        <w:rPr>
          <w:rFonts w:ascii="Times New Roman" w:hAnsi="Times New Roman"/>
          <w:b/>
          <w:sz w:val="22"/>
          <w:szCs w:val="22"/>
        </w:rPr>
        <w:t>30 процентов</w:t>
      </w:r>
      <w:r>
        <w:rPr>
          <w:rFonts w:ascii="Times New Roman" w:hAnsi="Times New Roman"/>
          <w:sz w:val="22"/>
          <w:szCs w:val="22"/>
        </w:rPr>
        <w:t xml:space="preserve"> стоимости электрической энергии (мощности) в подлежащем оплате объеме покупки в месяце, за который осуществляется оплата, вносится </w:t>
      </w:r>
      <w:r>
        <w:rPr>
          <w:rFonts w:ascii="Times New Roman" w:hAnsi="Times New Roman"/>
          <w:b/>
          <w:sz w:val="22"/>
          <w:szCs w:val="22"/>
        </w:rPr>
        <w:t>до 10-го</w:t>
      </w:r>
      <w:r>
        <w:rPr>
          <w:rFonts w:ascii="Times New Roman" w:hAnsi="Times New Roman"/>
          <w:sz w:val="22"/>
          <w:szCs w:val="22"/>
        </w:rPr>
        <w:t xml:space="preserve"> числа этого месяца;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</w:r>
      <w:r>
        <w:rPr>
          <w:rFonts w:ascii="Times New Roman" w:hAnsi="Times New Roman"/>
          <w:b/>
          <w:sz w:val="22"/>
          <w:szCs w:val="22"/>
        </w:rPr>
        <w:t>40 процентов</w:t>
      </w:r>
      <w:r>
        <w:rPr>
          <w:rFonts w:ascii="Times New Roman" w:hAnsi="Times New Roman"/>
          <w:sz w:val="22"/>
          <w:szCs w:val="22"/>
        </w:rPr>
        <w:t xml:space="preserve"> стоимости электрической энергии (мощности) в подлежащем оплате объеме покупки в месяце, за который осуществляется оплата, вносится </w:t>
      </w:r>
      <w:r>
        <w:rPr>
          <w:rFonts w:ascii="Times New Roman" w:hAnsi="Times New Roman"/>
          <w:b/>
          <w:sz w:val="22"/>
          <w:szCs w:val="22"/>
        </w:rPr>
        <w:t>до 25-го</w:t>
      </w:r>
      <w:r>
        <w:rPr>
          <w:rFonts w:ascii="Times New Roman" w:hAnsi="Times New Roman"/>
          <w:sz w:val="22"/>
          <w:szCs w:val="22"/>
        </w:rPr>
        <w:t xml:space="preserve"> числа этого месяца;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стоимость объема покупки электрической энергии (мощности) в месяце, за который осуществляется оплата, за вычетом средств, внесенных Государственным заказчиком (Потребителем) в качестве оплаты электрической энергии (мощности) в течение этого месяца, оплачивается </w:t>
      </w:r>
      <w:r>
        <w:rPr>
          <w:rFonts w:ascii="Times New Roman" w:hAnsi="Times New Roman"/>
          <w:b/>
          <w:sz w:val="22"/>
          <w:szCs w:val="22"/>
        </w:rPr>
        <w:t>до 18-го</w:t>
      </w:r>
      <w:r>
        <w:rPr>
          <w:rFonts w:ascii="Times New Roman" w:hAnsi="Times New Roman"/>
          <w:sz w:val="22"/>
          <w:szCs w:val="22"/>
        </w:rPr>
        <w:t xml:space="preserve"> числа месяца, следующего за месяцем, за который осуществляется оплата. В случае если размер предварительной оплаты превысит стоимость объема покупки электрической энергии (мощности) в месяце, за который осуществляется оплата, излишне уплаченная сумма засчитывается в счет платежа за месяц, следующий за месяцем, в котором была осуществлена такая оплата.</w:t>
      </w:r>
    </w:p>
    <w:p>
      <w:pPr>
        <w:pStyle w:val="Normal"/>
        <w:tabs>
          <w:tab w:val="left" w:pos="709" w:leader="none"/>
          <w:tab w:val="left" w:pos="1134" w:leader="none"/>
          <w:tab w:val="left" w:pos="9781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7.3.</w:t>
        <w:tab/>
      </w:r>
      <w:r>
        <w:rPr>
          <w:rFonts w:ascii="Times New Roman" w:hAnsi="Times New Roman"/>
          <w:sz w:val="22"/>
          <w:szCs w:val="22"/>
        </w:rPr>
        <w:t>При получении сумм оплаты, частичной оплаты в счет предстоящих поставок электрической энергии (мощности) Гарантирующий поставщик выставляет счета-фактуры в порядке и сроки, предусмотренные законодательством РФ.</w:t>
      </w:r>
    </w:p>
    <w:p>
      <w:pPr>
        <w:pStyle w:val="Normal"/>
        <w:tabs>
          <w:tab w:val="left" w:pos="709" w:leader="none"/>
        </w:tabs>
        <w:suppressAutoHyphens w:val="true"/>
        <w:jc w:val="both"/>
        <w:rPr>
          <w:rFonts w:ascii="Times New Roman" w:hAnsi="Times New Roman"/>
          <w:color w:val="000000"/>
          <w:sz w:val="22"/>
          <w:szCs w:val="22"/>
          <w:lang w:eastAsia="en-US"/>
        </w:rPr>
      </w:pPr>
      <w:r>
        <w:rPr>
          <w:rFonts w:ascii="Times New Roman" w:hAnsi="Times New Roman"/>
          <w:b/>
          <w:sz w:val="22"/>
          <w:szCs w:val="22"/>
        </w:rPr>
        <w:t>7.4.</w:t>
      </w:r>
      <w:r>
        <w:rPr>
          <w:rFonts w:ascii="Times New Roman" w:hAnsi="Times New Roman"/>
          <w:sz w:val="22"/>
          <w:szCs w:val="22"/>
        </w:rPr>
        <w:tab/>
        <w:t xml:space="preserve">По окончании расчетного периода Гарантирующий поставщик предъявляет Государственному заказчику (Потребителю) счет-фактуру, счет и Акт выполненных работ (приема-передачи) в 2-х экземплярах. Государственный заказчик (Потребитель) возвращает один экземпляр Акта выполненных работ (приема-передачи), подписанный руководителем и скрепленный печатью, </w:t>
      </w:r>
      <w:r>
        <w:rPr>
          <w:rFonts w:ascii="Times New Roman" w:hAnsi="Times New Roman"/>
          <w:sz w:val="22"/>
          <w:szCs w:val="22"/>
          <w:lang w:eastAsia="en-US"/>
        </w:rPr>
        <w:t xml:space="preserve">в адрес </w:t>
      </w:r>
      <w:r>
        <w:rPr>
          <w:rFonts w:ascii="Times New Roman" w:hAnsi="Times New Roman"/>
          <w:sz w:val="22"/>
          <w:szCs w:val="22"/>
        </w:rPr>
        <w:t>Гарантирующего поставщика</w:t>
      </w:r>
      <w:r>
        <w:rPr>
          <w:rFonts w:ascii="Times New Roman" w:hAnsi="Times New Roman"/>
          <w:sz w:val="22"/>
          <w:szCs w:val="22"/>
          <w:lang w:eastAsia="en-US"/>
        </w:rPr>
        <w:t xml:space="preserve"> не позднее 5-ти рабочих дней с момента получения</w:t>
      </w:r>
      <w:r>
        <w:rPr>
          <w:rFonts w:ascii="Times New Roman" w:hAnsi="Times New Roman"/>
          <w:color w:val="000000"/>
          <w:sz w:val="22"/>
          <w:szCs w:val="22"/>
          <w:lang w:eastAsia="en-US"/>
        </w:rPr>
        <w:t>. В случае н</w:t>
      </w:r>
      <w:r>
        <w:rPr>
          <w:rFonts w:eastAsia="Calibri" w:ascii="Times New Roman" w:hAnsi="Times New Roman"/>
          <w:color w:val="000000"/>
          <w:sz w:val="22"/>
          <w:szCs w:val="22"/>
          <w:lang w:eastAsia="en-US"/>
        </w:rPr>
        <w:t xml:space="preserve">евозврата </w:t>
      </w:r>
      <w:r>
        <w:rPr>
          <w:rFonts w:ascii="Times New Roman" w:hAnsi="Times New Roman"/>
          <w:sz w:val="22"/>
          <w:szCs w:val="22"/>
        </w:rPr>
        <w:t>Государственным заказчиком (</w:t>
      </w:r>
      <w:r>
        <w:rPr>
          <w:rFonts w:ascii="Times New Roman" w:hAnsi="Times New Roman"/>
          <w:color w:val="000000"/>
          <w:sz w:val="22"/>
          <w:szCs w:val="22"/>
        </w:rPr>
        <w:t>Потребителем)</w:t>
      </w:r>
      <w:r>
        <w:rPr>
          <w:rFonts w:eastAsia="Calibri" w:ascii="Times New Roman" w:hAnsi="Times New Roman"/>
          <w:color w:val="000000"/>
          <w:sz w:val="22"/>
          <w:szCs w:val="22"/>
          <w:lang w:eastAsia="en-US"/>
        </w:rPr>
        <w:t xml:space="preserve"> подписанного Акта </w:t>
      </w:r>
      <w:r>
        <w:rPr>
          <w:rFonts w:ascii="Times New Roman" w:hAnsi="Times New Roman"/>
          <w:color w:val="000000"/>
          <w:sz w:val="22"/>
          <w:szCs w:val="22"/>
        </w:rPr>
        <w:t xml:space="preserve">выполненных работ (приема-передачи) </w:t>
      </w:r>
      <w:r>
        <w:rPr>
          <w:rFonts w:eastAsia="Calibri" w:ascii="Times New Roman" w:hAnsi="Times New Roman"/>
          <w:color w:val="000000"/>
          <w:sz w:val="22"/>
          <w:szCs w:val="22"/>
          <w:lang w:eastAsia="en-US"/>
        </w:rPr>
        <w:t xml:space="preserve">по истечении установленного выше срока указанный </w:t>
      </w:r>
      <w:r>
        <w:rPr>
          <w:rFonts w:ascii="Times New Roman" w:hAnsi="Times New Roman"/>
          <w:color w:val="000000"/>
          <w:sz w:val="22"/>
          <w:szCs w:val="22"/>
        </w:rPr>
        <w:t>Акт считается принятым, объемы согласованными.</w:t>
      </w:r>
    </w:p>
    <w:p>
      <w:pPr>
        <w:pStyle w:val="Normal"/>
        <w:tabs>
          <w:tab w:val="left" w:pos="709" w:leader="none"/>
        </w:tabs>
        <w:suppressAutoHyphens w:val="true"/>
        <w:ind w:firstLine="709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В случае частичного отказа от объема потребления </w:t>
      </w:r>
      <w:r>
        <w:rPr>
          <w:rFonts w:ascii="Times New Roman" w:hAnsi="Times New Roman"/>
          <w:sz w:val="22"/>
          <w:szCs w:val="22"/>
        </w:rPr>
        <w:t>электрической энергии (мощности)</w:t>
      </w:r>
      <w:r>
        <w:rPr>
          <w:rFonts w:ascii="Times New Roman" w:hAnsi="Times New Roman"/>
          <w:sz w:val="22"/>
          <w:szCs w:val="22"/>
          <w:lang w:eastAsia="en-US"/>
        </w:rPr>
        <w:t xml:space="preserve">, указанного в Акте </w:t>
      </w:r>
      <w:r>
        <w:rPr>
          <w:rFonts w:ascii="Times New Roman" w:hAnsi="Times New Roman"/>
          <w:sz w:val="22"/>
          <w:szCs w:val="22"/>
        </w:rPr>
        <w:t>выполненных работ (приема-передачи)</w:t>
      </w:r>
      <w:r>
        <w:rPr>
          <w:rFonts w:ascii="Times New Roman" w:hAnsi="Times New Roman"/>
          <w:sz w:val="22"/>
          <w:szCs w:val="22"/>
          <w:lang w:eastAsia="en-US"/>
        </w:rPr>
        <w:t xml:space="preserve">, Государственный заказчик (Потребитель) обязан оплатить стоимость неоспариваемой части потребления в срок, установленный настоящим контрактом и направить Гарантирующему поставщику мотивированный отказ от оплаты оспариваемой части объема потребления. </w:t>
      </w:r>
    </w:p>
    <w:p>
      <w:pPr>
        <w:pStyle w:val="Normal"/>
        <w:tabs>
          <w:tab w:val="left" w:pos="709" w:leader="none"/>
        </w:tabs>
        <w:suppressAutoHyphens w:val="true"/>
        <w:ind w:firstLine="709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В случае если Государственный заказчик (Потребитель) не направил в адрес Гарантирующего поставщика мотивированного отказа в течение 5-ти рабочих дней с момента получения Акта </w:t>
      </w:r>
      <w:r>
        <w:rPr>
          <w:rFonts w:ascii="Times New Roman" w:hAnsi="Times New Roman"/>
          <w:sz w:val="22"/>
          <w:szCs w:val="22"/>
        </w:rPr>
        <w:t>выполненных работ (приема-передачи)</w:t>
      </w:r>
      <w:r>
        <w:rPr>
          <w:rFonts w:ascii="Times New Roman" w:hAnsi="Times New Roman"/>
          <w:sz w:val="22"/>
          <w:szCs w:val="22"/>
          <w:lang w:eastAsia="en-US"/>
        </w:rPr>
        <w:t xml:space="preserve">, претензии по объему и качеству не принимаются. </w:t>
      </w:r>
    </w:p>
    <w:p>
      <w:pPr>
        <w:pStyle w:val="Normal"/>
        <w:tabs>
          <w:tab w:val="left" w:pos="709" w:leader="none"/>
        </w:tabs>
        <w:suppressAutoHyphens w:val="true"/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Размер оспариваемых обязательств по оплате определяется Сторонами путём переговоров, а в случае недостижения согласия – в судебном порядке. </w:t>
      </w:r>
    </w:p>
    <w:p>
      <w:pPr>
        <w:pStyle w:val="Normal"/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7.5.</w:t>
      </w:r>
      <w:r>
        <w:rPr>
          <w:rFonts w:ascii="Times New Roman" w:hAnsi="Times New Roman"/>
          <w:sz w:val="22"/>
          <w:szCs w:val="22"/>
        </w:rPr>
        <w:t xml:space="preserve"> Обязательство по оплате считается исполненным в день поступления денежных средств на расчетный счет Гарантирующего поставщика. </w:t>
      </w:r>
    </w:p>
    <w:p>
      <w:pPr>
        <w:pStyle w:val="Normal"/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7.6.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Стороны обязуются ежеквартально проводить сверку расчетов по настоящему контракту с составлением Акта сверки. </w:t>
      </w:r>
      <w:r>
        <w:rPr>
          <w:rFonts w:ascii="Times New Roman" w:hAnsi="Times New Roman"/>
          <w:sz w:val="22"/>
          <w:szCs w:val="22"/>
        </w:rPr>
        <w:t xml:space="preserve">Гарантирующий Поставщик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в течение 10 дней по истечении квартала направляет </w:t>
      </w:r>
      <w:r>
        <w:rPr>
          <w:rFonts w:ascii="Times New Roman" w:hAnsi="Times New Roman"/>
          <w:sz w:val="22"/>
          <w:szCs w:val="22"/>
          <w:lang w:eastAsia="en-US"/>
        </w:rPr>
        <w:t xml:space="preserve">Государственному заказчику (Потребителю) </w:t>
      </w:r>
      <w:r>
        <w:rPr>
          <w:rFonts w:eastAsia="Calibri" w:ascii="Times New Roman" w:hAnsi="Times New Roman"/>
          <w:sz w:val="22"/>
          <w:szCs w:val="22"/>
          <w:lang w:eastAsia="en-US"/>
        </w:rPr>
        <w:t>оформленный со своей стороны Акт сверки, подписанный руководителем и главным бухгалтером.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suppressAutoHyphens w:val="true"/>
        <w:ind w:firstLine="709"/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Государственный заказчик (Потребитель)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обязан рассмотреть полученный от </w:t>
      </w:r>
      <w:r>
        <w:rPr>
          <w:rFonts w:ascii="Times New Roman" w:hAnsi="Times New Roman"/>
          <w:sz w:val="22"/>
          <w:szCs w:val="22"/>
        </w:rPr>
        <w:t xml:space="preserve">Гарантирующего поставщика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Акт сверки в течение 10 календарных дней с момента получения Акта сверки, подписать и направить один экземпляр </w:t>
      </w:r>
      <w:r>
        <w:rPr>
          <w:rFonts w:ascii="Times New Roman" w:hAnsi="Times New Roman"/>
          <w:sz w:val="22"/>
          <w:szCs w:val="22"/>
        </w:rPr>
        <w:t>Гарантирующему поставщику</w:t>
      </w:r>
      <w:r>
        <w:rPr>
          <w:rFonts w:eastAsia="Calibri" w:ascii="Times New Roman" w:hAnsi="Times New Roman"/>
          <w:sz w:val="22"/>
          <w:szCs w:val="22"/>
          <w:lang w:eastAsia="en-US"/>
        </w:rPr>
        <w:t>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ab/>
        <w:t xml:space="preserve">Невозврат </w:t>
      </w:r>
      <w:r>
        <w:rPr>
          <w:rFonts w:ascii="Times New Roman" w:hAnsi="Times New Roman"/>
          <w:sz w:val="22"/>
          <w:szCs w:val="22"/>
          <w:lang w:eastAsia="en-US"/>
        </w:rPr>
        <w:t xml:space="preserve">Государственным заказчиком (Потребителем)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подписанных Актов сверки по истечении установленного выше срока будет рассматриваться как согласие </w:t>
      </w:r>
      <w:r>
        <w:rPr>
          <w:rFonts w:ascii="Times New Roman" w:hAnsi="Times New Roman"/>
          <w:sz w:val="22"/>
          <w:szCs w:val="22"/>
          <w:lang w:eastAsia="en-US"/>
        </w:rPr>
        <w:t xml:space="preserve">Государственного заказчика (Потребителя)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с расчетами, указанными в Актах сверки. </w:t>
      </w:r>
      <w:r>
        <w:rPr>
          <w:rFonts w:ascii="Times New Roman" w:hAnsi="Times New Roman"/>
          <w:sz w:val="22"/>
          <w:szCs w:val="22"/>
          <w:lang w:eastAsia="en-US"/>
        </w:rPr>
        <w:t xml:space="preserve">Государственный заказчик (Потребитель)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обязуется погасить выявленную в Актах сверки задолженность в течение 10 банковских дней с момента выставления </w:t>
      </w:r>
      <w:r>
        <w:rPr>
          <w:rFonts w:ascii="Times New Roman" w:hAnsi="Times New Roman"/>
          <w:sz w:val="22"/>
          <w:szCs w:val="22"/>
        </w:rPr>
        <w:t xml:space="preserve">Гарантирующим поставщиком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соответствующего счета. </w:t>
      </w:r>
    </w:p>
    <w:p>
      <w:pPr>
        <w:pStyle w:val="Normal"/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</w:r>
    </w:p>
    <w:p>
      <w:pPr>
        <w:pStyle w:val="ListParagraph"/>
        <w:numPr>
          <w:ilvl w:val="0"/>
          <w:numId w:val="3"/>
        </w:numPr>
        <w:tabs>
          <w:tab w:val="left" w:pos="1134" w:leader="none"/>
        </w:tabs>
        <w:jc w:val="center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ПОРЯДОК ОГРАНИЧЕНИЯ РЕЖИМА ПОТРЕБЛЕНИЯ ЭЛЕКТРИЧЕСКОЙ ЭНЕРГИИ (МОЩНОСТИ).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Ограничение режима потребления электрической энергии (мощности) вводится в соответствии с действующим законодательством РФ при наступлении любого из следующих обстоятельств: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а) получение законного требования судебного пристава-исполнителя о введении ограничения режима потребления;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б) нарушение Государственным заказчиком (Потребителем) своих обязательств, выразившееся в следующих действиях: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неисполнение или ненадлежащее исполнение обязательств по оплате электрической энергии (мощности) и услуг по передаче электрической энергии, если это привело к образованию задолженности Государственного заказчика (Потребителя) перед Гарантирующим поставщиком по основному обязательству, в том числе обязательству по предварительной оплате электрической энергии (мощности);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неисполнение или ненадлежащее исполнение Государственным заказчиком (Потребителем) условий контракта, касающихся обеспечения функционирования устройств релейной защиты, противоаварийной и режимной автоматики, устройств компенсации реактивной мощности;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нарушение характеристик технологического присоединения, указанных в документах о технологическом присоединении (в том числе превышение максимальной мощности энергопринимающего устройства потребителя), вызванное подключением Государственным заказчиком (Потребителем) к принадлежащим ему энергопринимающим устройствам и (или)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в) </w:t>
        <w:tab/>
        <w:t>прекращение обязательств по поставке электрической энергии (мощности) по настоящему контракту энергоснабжения в отношении энергопринимающих устройств Государственного заказчика (Потребителя);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г) </w:t>
        <w:tab/>
        <w:t>выявление факта бездоговорного потребления электрической энергии;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д) </w:t>
        <w:tab/>
        <w:t>выявление ненадлежащего технологического присоединения энергопринимающих устройств Государственного заказчика (Потребителя) при отсутствии документов, подтверждающих технологическое присоединение и (или) разграничение балансовой принадлежности;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е) </w:t>
        <w:tab/>
        <w:t>поступление от Государственного заказчика (Потребителя) заявления о введении в отношении его энергопринимающих устройств и (или) объектов электроэнергетики ограничения режима потребления в случае, если у Государственного заказчика (Потребителя) отсутствует техническая возможность самостоятельного ограничения режима потребления;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ж) </w:t>
        <w:tab/>
        <w:t>окончание срока, на который осуществлялось технологическое присоединение с применением временной схемы электроснабжения, или возникновение основания для его досрочного прекращения;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з) </w:t>
        <w:tab/>
        <w:t>возникновение (угроза возникновения) аварийных электроэнергетических режимов;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и)  </w:t>
        <w:tab/>
        <w:t>необходимость проведения ремонтных работ на объектах электросетевого хозяйства Сетевой организации, к которым присоединены энергопринимающие устройства и (или) объекты электроэнергетики Государственного заказчика (Потребителя), или необходимость проведения ремонтных работ на объектах электросетевого хозяйства смежных сетевых организаций (объектах электросетевого хозяйства иных владельцев) либо на объектах по производству электрической энергии в случае, если проведение этих работ невозможно без ограничения режима потребления.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введения ограничения режима потребления в отношении Государственного заказчика (Потребителя), к энергопринимающим устройствам которого присоединены энергопринимающие устройства и (или) объекты электроэнергетики иных потребителей (субабонентов), то Государственный заказчик (Потребитель) обязан обеспечить переток электрической энергии таким потребителям (субабонентам) в объеме их потребления.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Ограничение режима потребления энергопринимающих устройств и (или) объектами электроэнергетики Государственного заказчика (Потребителя), в отношении которых предоставлено обеспечение исполнения обязательств по оплате электрической энергии (мощности), в связи с наступлением обстоятельств, указанных в абзаце втором подпункта "б" пункта 8.1 настоящего контракта, не вводится до прекращения действия предоставленного обеспечения исполнения обязательств по оплате электрической энергии (мощности).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Введение ограничения режима потребления осуществляется в порядке, установленным Правилами полного и (или) частичного ограничения, утверждённого постановлением Правительства Российской Федерации от 04.05.2012 № 442. 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Государственный заказчик (Потребитель), ограничение режима потребления которого может привести к экономическим, экологическим или социальным последствиям, обязан после дня уведомления его о введении частичного ограничения:</w:t>
      </w:r>
    </w:p>
    <w:p>
      <w:pPr>
        <w:pStyle w:val="ListParagraph"/>
        <w:widowControl w:val="fals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 течение 3 дней представить Гарантирующему поставщику утвержденный план мероприятий по обеспечению готовности к введению полного ограничения;</w:t>
      </w:r>
    </w:p>
    <w:p>
      <w:pPr>
        <w:pStyle w:val="ListParagraph"/>
        <w:widowControl w:val="fals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 срок, предусмотренный планом, выполнить указанные мероприятия;</w:t>
      </w:r>
    </w:p>
    <w:p>
      <w:pPr>
        <w:pStyle w:val="ListParagraph"/>
        <w:widowControl w:val="fals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 течение 2 месяцев выполнить мероприятия по установке за свой счет автономных источников питания, обеспечивающих безопасное функционирование его энергопринимающих устройств и (или) объектов электроэнергетики без необходимости потребления электрической энергии из внешней сети, - в случае если в установленный срок им не был представлен утвержденный план указанных мероприятий либо если предусмотренный планом срок проведения указанных мероприятий превышает 6 месяцев.</w:t>
      </w:r>
    </w:p>
    <w:p>
      <w:pPr>
        <w:pStyle w:val="ListParagraph"/>
        <w:widowControl w:val="false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После выполнения этих мероприятий Государственный заказчик (Потребитель) обязан направить Гарантирующему поставщику уведомление о готовности к введению полного ограничения режима потребления.</w:t>
      </w:r>
    </w:p>
    <w:p>
      <w:pPr>
        <w:pStyle w:val="ListParagraph"/>
        <w:widowControl w:val="false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Введение частичного (полного) ограничения режима потребления электрической энергии выполняется в следующем порядке: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а)</w:t>
        <w:tab/>
        <w:t>Гарантирующий поставщик уведомляет Государственного заказчика (Потребителя) о планируемом введении ограничения режима потребления за 10 дней до планируемого ограничения, в котором указывается уровень вводимого ограничения, дата планируемого ограничения (частичного и полного), требование к Государственному заказчику (Потребителю) о самостоятельном ограничении режима потребления, а также указание на последствия невыполнения указанного требования;</w:t>
      </w:r>
    </w:p>
    <w:p>
      <w:pPr>
        <w:pStyle w:val="Normal"/>
        <w:widowControl w:val="false"/>
        <w:jc w:val="both"/>
        <w:rPr>
          <w:rStyle w:val="Annotationreference"/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б)</w:t>
        <w:tab/>
        <w:t xml:space="preserve">Государственный заказчик (Потребитель) обязан самостоятельно ввести ограничение режима потребления электрической энергии в дату и до уровня, указанные в уведомлении. Гарантирующий поставщик вправе присутствовать при введении Государственным заказчиком (Потребителем) ограничения режима потребления электрической энергии.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Style w:val="Annotationreference"/>
          <w:rFonts w:ascii="Times New Roman" w:hAnsi="Times New Roman"/>
          <w:b/>
          <w:sz w:val="22"/>
          <w:szCs w:val="22"/>
        </w:rPr>
        <w:t>8.8.</w:t>
      </w:r>
      <w:r>
        <w:rPr>
          <w:rStyle w:val="Annotationreference"/>
          <w:rFonts w:ascii="Times New Roman" w:hAnsi="Times New Roman"/>
          <w:sz w:val="22"/>
          <w:szCs w:val="22"/>
        </w:rPr>
        <w:t xml:space="preserve"> У</w:t>
      </w:r>
      <w:r>
        <w:rPr>
          <w:rFonts w:ascii="Times New Roman" w:hAnsi="Times New Roman"/>
          <w:sz w:val="22"/>
          <w:szCs w:val="22"/>
        </w:rPr>
        <w:t xml:space="preserve">ведомление о введении ограничения может быть направлено Гарантирующим поставщиком одним из следующих способов: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посредством направления короткого текстового сообщения (смс-сообщение) на номер мобильного телефона Потребителя, при этом уведомление считается полученным в момент его направления;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посредством направления сообщения скан-копии уведомления на адрес электронной почты Государственного заказчика (Потребителя) с адреса электронной почты Гарантирующего Поставщика, указанного на сайте Гарантирующего Поставщика в сети Интернет www.kamenergo.ru при этом уведомление считается полученным в момент его направления;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посредством включения текста уведомления в документах на оплату потребленной электрической энергии (мощности) при этом уведомление считается полученным в момент вручения документов на оплату;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посредством опубликования в периодическом печатном издании, являющемся источником официального опубликования нормативных правовых актов органов государственной власти Камчатского края;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направлением заказного почтового отправления по адресу, который указан в настоящем контракте (Раздел 12). Уведомления, направленные по указанному адресу, считаются полученными, даже если потребитель фактически не проживает (не находится) по указанному адресу, по истечении контрольных сроков пересылки письменной корреспонденции.;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вручением представителю Государственного заказчика (Потребителя) под роспись с указанием даты вручения и расшифровкой подписи и занимаемой должности лица, получившего уведомление;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телефонограммой;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посредством факсимильной связи;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посредством направления сканированной копии уведомления на адрес электронной почты Государственного заказчика (Потребителя) однократно. В данном случае уведомление считается доставленным, а Потребитель уведомленным в день направления такого документа. </w:t>
      </w:r>
    </w:p>
    <w:p>
      <w:pPr>
        <w:pStyle w:val="ListParagraph"/>
        <w:widowControl w:val="false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Адрес электронной почты, телефон и (или) факс, на которые Гарантирующим поставщиком направляются уведомления о погашении задолженности и введении ограничения, указаны в Приложении № 9 настоящего Контракта.</w:t>
      </w:r>
    </w:p>
    <w:p>
      <w:pPr>
        <w:pStyle w:val="ListParagraph"/>
        <w:widowControl w:val="false"/>
        <w:numPr>
          <w:ilvl w:val="1"/>
          <w:numId w:val="7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случае, если до указанной даты в уведомлении о планируемом введении ограничения режима Потребителем в полном объеме исполнено требование о погашении задолженности или представлены документы, свидетельствующие об отсутствии у него задолженности, либо устранены иные причины, обусловившие введение ограничения режима потребления, то ограничение режима потребления не вводится.</w:t>
      </w:r>
    </w:p>
    <w:p>
      <w:pPr>
        <w:pStyle w:val="ListParagraph"/>
        <w:widowControl w:val="false"/>
        <w:numPr>
          <w:ilvl w:val="1"/>
          <w:numId w:val="7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Отказ Государственного заказчика (Потребителя) от признания задолженности или указанного в уведомлении о планируемом введении ограничения режима потребления размера задолженности не является препятствием для введения ограничения режима потребления.</w:t>
      </w:r>
    </w:p>
    <w:p>
      <w:pPr>
        <w:pStyle w:val="ListParagraph"/>
        <w:widowControl w:val="false"/>
        <w:numPr>
          <w:ilvl w:val="1"/>
          <w:numId w:val="7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Гарантирующий поставщик вправе потребовать с Государственного заказчика (Потребителя), в отношении которого было введено ограничение режима потребления, компенсации расходов на оплату действий Гарантирующего поставщика по введению ограничения режима потребления такого Государственного заказчика (Потребителя) и возобновлению подачи электрической энергии.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0"/>
          <w:numId w:val="7"/>
        </w:numPr>
        <w:tabs>
          <w:tab w:val="left" w:pos="0" w:leader="none"/>
        </w:tabs>
        <w:spacing w:before="0" w:after="0"/>
        <w:ind w:hanging="0"/>
        <w:contextualSpacing/>
        <w:jc w:val="center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ОТВЕТСТВЕННОСТЬ СТОРОН.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Стороны несут ответственность за неисполнение или ненадлежащее исполнение обязательств по настоящему контракту в случаях и порядке, определенном законодательством РФ и настоящим контрактом, в том числе за нарушение порядка полного и (или) частичного ограничения режима потребления электрической энергии. 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Государственный заказчик (Потребитель) несет ответственность за необеспечение допуска представителей сетевой организации (Гарантирующего поставщика) к месту установки прибора учета.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Гарантирующий Поставщик несет ответственность за нарушение условий поставки, в том числе за надежность снабжения электрической энергией и ее качество в пределах границ балансовой принадлежности объектов электросетевого хозяйства Сетевой организации. 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Стороны несут ответственность за состояние и обслуживание объектов электросетевого хозяйства, которая определяется балансовой принадлежностью Сетевой организации и Государственного заказчика (Потребителя) и фиксируется в документах о технологическом присоединении.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 случае несвоевременной и (или) неполной оплаты электрической энергии (мощности) Государственный заказчик (Потребитель) несет ответственность, предусмотренную действующим законодательством РФ.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отсутствии Акта согласования аварийной и (или) технологической брони, когда ограничение режима потребления может привести к возникновению угрозы жизни и здоровью людей, экологической безопасности либо безопасности государства, Государственный заказчик (Потребитель) несет ответственность, в том числе перед третьими лицами, за последствия, вызванные применением к нему ограничения режима потребления.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Все споры и разногласия, возникающие в связи с исполнением, заключением и расторжением настоящего контракта, подлежат разрешению в Арбитражном суде Камчатского края или судах общей юрисдикции в зависимости от подсудности</w:t>
      </w:r>
      <w:r>
        <w:rPr>
          <w:rFonts w:ascii="Times New Roman" w:hAnsi="Times New Roman"/>
          <w:iCs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Каждая из Сторон имеет право обратиться с заявлением об урегулировании разногласий, возникших при заключении, изменении настоящего контракта.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Спор, возникающий из настоящего контракта, может быть передан на разрешение Арбитражного суда после принятия Сторонами мер по досудебному урегулированию по истечении десяти календарных дней со дня направления претензии (требования)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Стороны освобождаются от всех или части взятых на себя обязательств, в случае возникновения непредвиденных и независящих от их воли обстоятельств (форс-мажорные обстоятельства).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Сторона, ссылающаяся на форс-мажорные обстоятельства, обязана незамедлительно информировать другую Сторону и Сетевую организацию о наступлении подобных обстоятельств в письменной форме. В этом случае по требованию любой из Сторон может быть создана комиссия для определения возможности (способа) дальнейшего выполнения настоящего контракта.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Надлежащим подтверждением наличия форс-мажорных обстоятельств будут служить решения (заявления) компетентных государственных органов или сообщения в официальных средствах массовой информации.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Споры между Сторонами контракта по ненадлежащему качеству электрической энергии рассматриваются с обязательным привлечением Сетевой организации, к чьим сетям присоединены энергопринимающие установки Государственного заказчика (Потребителя).</w:t>
      </w:r>
    </w:p>
    <w:p>
      <w:pPr>
        <w:pStyle w:val="Normal"/>
        <w:tabs>
          <w:tab w:val="left" w:pos="0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ListParagraph"/>
        <w:numPr>
          <w:ilvl w:val="0"/>
          <w:numId w:val="8"/>
        </w:numPr>
        <w:tabs>
          <w:tab w:val="left" w:pos="0" w:leader="none"/>
        </w:tabs>
        <w:suppressAutoHyphens w:val="true"/>
        <w:spacing w:before="60" w:after="60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СРОК ДЕЙСТВИЯ КОНТРАКТА.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контракт вступает в силу с момента подписания, распространяет свое действие на правоотношения сторон, возникшие с _________ и действует по ___________ включительно, а в части расчетов за потребленную электрическую энергию (мощность) до полного исполнения обязательств по оплате.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если контракт заключается в отношении энергопринимающих устройств до завершения процедуры их технологического присоединения, настоящий контракт считается заключенным </w:t>
      </w:r>
      <w:r>
        <w:rPr>
          <w:rFonts w:ascii="Times New Roman" w:hAnsi="Times New Roman"/>
          <w:bCs/>
          <w:sz w:val="22"/>
          <w:szCs w:val="22"/>
        </w:rPr>
        <w:t xml:space="preserve">с даты фактической подачи сетевой организацией напряжения и мощности на объекты </w:t>
      </w:r>
      <w:r>
        <w:rPr>
          <w:rFonts w:ascii="Times New Roman" w:hAnsi="Times New Roman"/>
          <w:sz w:val="22"/>
          <w:szCs w:val="22"/>
        </w:rPr>
        <w:t>Государственного заказчика (Потребителя)</w:t>
      </w:r>
      <w:r>
        <w:rPr>
          <w:rFonts w:ascii="Times New Roman" w:hAnsi="Times New Roman"/>
          <w:bCs/>
          <w:sz w:val="22"/>
          <w:szCs w:val="22"/>
        </w:rPr>
        <w:t>, соответствующей дате фактического присоединения, указанной в акте об осуществлении технологического присоединения.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ab/>
        <w:t>В случае, если контракт заключается в отношении энергопринимающих устройств по второй или третьей категории надежности, максимальная мощность которых составляет до 150 кВт, или физическим лицом в отношении энергопринимающих устройств, максимальная мощность которых составляет до 15 кВт включительно (с учетом ранее присоединенных в данной точке присоединения энергопринимающих устройств), которые используются для бытовых и иных нужд, не связанных с осуществлением предпринимательской деятельности и электроснабжение которых предусматривается по одному источнику - со дня составления и размещения в личном кабинете потребителя на официальном сайте сетевой организации акта об осуществлении технологического присоединения, подписанного со стороны сетевой организации.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Предложение об изменении, расторжении настоящего контракта, а также о заключении нового контракта может быть заявлено Стороной контракта не менее чем за двадцать дней до предлагаемой даты изменения, расторжения или заключения нового контракта.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Настоящий контракт может быть расторгнут Сторонами в одностороннем порядке в соответствии с действующим законодательством РФ.</w:t>
      </w:r>
    </w:p>
    <w:p>
      <w:pPr>
        <w:pStyle w:val="Style20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ListParagraph"/>
        <w:numPr>
          <w:ilvl w:val="0"/>
          <w:numId w:val="8"/>
        </w:numPr>
        <w:tabs>
          <w:tab w:val="left" w:pos="0" w:leader="none"/>
        </w:tabs>
        <w:suppressAutoHyphens w:val="true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ПРИЛОЖЕНИЯ К КОНТРАКТУ.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 № 1 </w:t>
        <w:tab/>
        <w:t>«Перечень объектов энергопотребления с указанием точек учета».</w:t>
      </w:r>
    </w:p>
    <w:p>
      <w:pPr>
        <w:pStyle w:val="Normal"/>
        <w:spacing w:before="60" w:after="60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 № 2 </w:t>
        <w:tab/>
      </w:r>
      <w:r>
        <w:rPr>
          <w:rFonts w:ascii="Times New Roman" w:hAnsi="Times New Roman"/>
          <w:b/>
          <w:iCs/>
          <w:sz w:val="22"/>
          <w:szCs w:val="22"/>
        </w:rPr>
        <w:t>«Цена контракта (в кВтч)».</w:t>
      </w:r>
      <w:r>
        <w:rPr>
          <w:rFonts w:ascii="Times New Roman" w:hAnsi="Times New Roman"/>
          <w:iCs/>
          <w:sz w:val="26"/>
          <w:szCs w:val="26"/>
        </w:rPr>
        <w:t xml:space="preserve"> 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 № 3 </w:t>
        <w:tab/>
        <w:t xml:space="preserve">«Акт об осуществлении технологического присоединения и (или) </w:t>
      </w:r>
      <w:r>
        <w:rPr>
          <w:rFonts w:ascii="Times New Roman" w:hAnsi="Times New Roman"/>
          <w:b/>
          <w:sz w:val="22"/>
          <w:szCs w:val="22"/>
        </w:rPr>
        <w:t>Акт разграничения балансовой принадлежности электросетей и эксплуатационной ответственности сторон</w:t>
      </w:r>
      <w:r>
        <w:rPr>
          <w:rFonts w:ascii="Times New Roman" w:hAnsi="Times New Roman"/>
          <w:b/>
          <w:bCs/>
          <w:sz w:val="22"/>
          <w:szCs w:val="22"/>
        </w:rPr>
        <w:t xml:space="preserve">» - </w:t>
      </w:r>
      <w:r>
        <w:rPr>
          <w:rFonts w:ascii="Times New Roman" w:hAnsi="Times New Roman"/>
          <w:bCs/>
          <w:sz w:val="22"/>
          <w:szCs w:val="22"/>
        </w:rPr>
        <w:t>оформляется (обновляется)</w:t>
      </w:r>
      <w:r>
        <w:rPr>
          <w:rFonts w:ascii="Times New Roman" w:hAnsi="Times New Roman"/>
          <w:sz w:val="22"/>
          <w:szCs w:val="22"/>
        </w:rPr>
        <w:t xml:space="preserve"> Государственным заказчиком</w:t>
      </w:r>
      <w:r>
        <w:rPr>
          <w:rFonts w:ascii="Times New Roman" w:hAnsi="Times New Roman"/>
          <w:bCs/>
          <w:sz w:val="22"/>
          <w:szCs w:val="22"/>
        </w:rPr>
        <w:t xml:space="preserve"> (Потребителем) в Сетевой организации.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 № 4</w:t>
        <w:tab/>
        <w:t>«</w:t>
      </w:r>
      <w:r>
        <w:rPr>
          <w:rFonts w:ascii="Times New Roman" w:hAnsi="Times New Roman"/>
          <w:b/>
          <w:sz w:val="22"/>
          <w:szCs w:val="22"/>
        </w:rPr>
        <w:t>Точки присоединения и величина максимальной мощности энергопринимающих устройств».</w:t>
      </w:r>
    </w:p>
    <w:p>
      <w:pPr>
        <w:pStyle w:val="Normal"/>
        <w:spacing w:before="60" w:after="6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 № 5</w:t>
        <w:tab/>
        <w:t>«Условия потребления и генерации реактивной электроэнергии».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 № 6</w:t>
        <w:tab/>
        <w:t xml:space="preserve">Форма «Акт согласования аварийной и технологической брони» - </w:t>
      </w:r>
      <w:r>
        <w:rPr>
          <w:rFonts w:ascii="Times New Roman" w:hAnsi="Times New Roman"/>
          <w:bCs/>
          <w:sz w:val="22"/>
          <w:szCs w:val="22"/>
        </w:rPr>
        <w:t xml:space="preserve">оформляется </w:t>
      </w:r>
      <w:r>
        <w:rPr>
          <w:rFonts w:ascii="Times New Roman" w:hAnsi="Times New Roman"/>
          <w:sz w:val="22"/>
          <w:szCs w:val="22"/>
        </w:rPr>
        <w:t>Государственным заказчиком (</w:t>
      </w:r>
      <w:r>
        <w:rPr>
          <w:rFonts w:ascii="Times New Roman" w:hAnsi="Times New Roman"/>
          <w:bCs/>
          <w:sz w:val="22"/>
          <w:szCs w:val="22"/>
        </w:rPr>
        <w:t>Потребителем) и согласовывается Гарантирующим поставщиком, ответственный – Отдел диспетчерского контроля тел. 29-62-10.</w:t>
      </w:r>
    </w:p>
    <w:p>
      <w:pPr>
        <w:pStyle w:val="Normal"/>
        <w:spacing w:before="60" w:after="6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</w:t>
      </w:r>
      <w:r>
        <w:rPr>
          <w:rFonts w:ascii="Times New Roman" w:hAnsi="Times New Roman"/>
          <w:b/>
          <w:bCs/>
          <w:sz w:val="22"/>
          <w:szCs w:val="22"/>
          <w:lang w:val="en-US"/>
        </w:rPr>
        <w:t> </w:t>
      </w:r>
      <w:r>
        <w:rPr>
          <w:rFonts w:ascii="Times New Roman" w:hAnsi="Times New Roman"/>
          <w:b/>
          <w:bCs/>
          <w:sz w:val="22"/>
          <w:szCs w:val="22"/>
        </w:rPr>
        <w:t>№ 7</w:t>
        <w:tab/>
        <w:t xml:space="preserve">Форма «Акт снятия показаний расчетных приборов учета» - </w:t>
      </w:r>
      <w:r>
        <w:rPr>
          <w:rFonts w:ascii="Times New Roman" w:hAnsi="Times New Roman"/>
          <w:bCs/>
          <w:sz w:val="22"/>
          <w:szCs w:val="22"/>
        </w:rPr>
        <w:t xml:space="preserve">заполняется </w:t>
      </w:r>
      <w:r>
        <w:rPr>
          <w:rFonts w:ascii="Times New Roman" w:hAnsi="Times New Roman"/>
          <w:sz w:val="22"/>
          <w:szCs w:val="22"/>
        </w:rPr>
        <w:t>Государственным заказчиком (</w:t>
      </w:r>
      <w:r>
        <w:rPr>
          <w:rFonts w:ascii="Times New Roman" w:hAnsi="Times New Roman"/>
          <w:bCs/>
          <w:sz w:val="22"/>
          <w:szCs w:val="22"/>
        </w:rPr>
        <w:t>Потребителем) и предоставляется Гарантирующему поставщику ежемесячно.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</w:t>
      </w:r>
      <w:r>
        <w:rPr>
          <w:rFonts w:ascii="Times New Roman" w:hAnsi="Times New Roman"/>
          <w:b/>
          <w:bCs/>
          <w:sz w:val="22"/>
          <w:szCs w:val="22"/>
          <w:lang w:val="en-US"/>
        </w:rPr>
        <w:t> </w:t>
      </w:r>
      <w:r>
        <w:rPr>
          <w:rFonts w:ascii="Times New Roman" w:hAnsi="Times New Roman"/>
          <w:b/>
          <w:bCs/>
          <w:sz w:val="22"/>
          <w:szCs w:val="22"/>
        </w:rPr>
        <w:t>№ 8</w:t>
        <w:tab/>
        <w:t xml:space="preserve">Форма «Акт выполненных работ (приема-передачи электрической энергии)» - </w:t>
      </w:r>
      <w:r>
        <w:rPr>
          <w:rFonts w:ascii="Times New Roman" w:hAnsi="Times New Roman"/>
          <w:bCs/>
          <w:sz w:val="22"/>
          <w:szCs w:val="22"/>
        </w:rPr>
        <w:t xml:space="preserve">ежемесячно оформляется Гарантирующим поставщиком и направляется </w:t>
      </w:r>
      <w:r>
        <w:rPr>
          <w:rFonts w:ascii="Times New Roman" w:hAnsi="Times New Roman"/>
          <w:sz w:val="22"/>
          <w:szCs w:val="22"/>
        </w:rPr>
        <w:t>Государственному заказчику (</w:t>
      </w:r>
      <w:r>
        <w:rPr>
          <w:rFonts w:ascii="Times New Roman" w:hAnsi="Times New Roman"/>
          <w:bCs/>
          <w:sz w:val="22"/>
          <w:szCs w:val="22"/>
        </w:rPr>
        <w:t>Потребителю).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 № 9</w:t>
        <w:tab/>
        <w:t>«</w:t>
      </w:r>
      <w:r>
        <w:rPr>
          <w:rFonts w:ascii="Times New Roman" w:hAnsi="Times New Roman"/>
          <w:b/>
          <w:sz w:val="22"/>
          <w:szCs w:val="22"/>
        </w:rPr>
        <w:t>Список ответственных лиц и иная контактная информация</w:t>
      </w:r>
      <w:r>
        <w:rPr>
          <w:rFonts w:ascii="Times New Roman" w:hAnsi="Times New Roman"/>
          <w:b/>
          <w:bCs/>
          <w:sz w:val="22"/>
          <w:szCs w:val="22"/>
        </w:rPr>
        <w:t xml:space="preserve">» - </w:t>
      </w:r>
      <w:r>
        <w:rPr>
          <w:rFonts w:ascii="Times New Roman" w:hAnsi="Times New Roman"/>
          <w:bCs/>
          <w:sz w:val="22"/>
          <w:szCs w:val="22"/>
        </w:rPr>
        <w:t xml:space="preserve">заполняется (обновляется) </w:t>
      </w:r>
      <w:r>
        <w:rPr>
          <w:rFonts w:ascii="Times New Roman" w:hAnsi="Times New Roman"/>
          <w:sz w:val="22"/>
          <w:szCs w:val="22"/>
        </w:rPr>
        <w:t>Государственным заказчиком (</w:t>
      </w:r>
      <w:r>
        <w:rPr>
          <w:rFonts w:ascii="Times New Roman" w:hAnsi="Times New Roman"/>
          <w:bCs/>
          <w:sz w:val="22"/>
          <w:szCs w:val="22"/>
        </w:rPr>
        <w:t>Потребителем) и направляется Гарантирующему поставщику вместе с подписанным контрактом.</w:t>
      </w:r>
    </w:p>
    <w:p>
      <w:pPr>
        <w:pStyle w:val="Style20"/>
        <w:spacing w:lineRule="auto" w:line="240"/>
        <w:rPr>
          <w:rFonts w:ascii="Times New Roman" w:hAnsi="Times New Roman"/>
          <w:b/>
          <w:b/>
          <w:bCs/>
          <w:iCs/>
        </w:rPr>
      </w:pPr>
      <w:r>
        <w:rPr>
          <w:rFonts w:ascii="Times New Roman" w:hAnsi="Times New Roman"/>
          <w:b/>
          <w:bCs/>
          <w:iCs/>
        </w:rPr>
      </w:r>
    </w:p>
    <w:p>
      <w:pPr>
        <w:pStyle w:val="Style20"/>
        <w:numPr>
          <w:ilvl w:val="0"/>
          <w:numId w:val="8"/>
        </w:numPr>
        <w:spacing w:lineRule="auto" w:line="240"/>
        <w:jc w:val="center"/>
        <w:rPr>
          <w:rFonts w:ascii="Times New Roman" w:hAnsi="Times New Roman"/>
          <w:b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РЕКВИЗИТЫ СТОРОН ПО КОНТРАКТУ ЭНЕРГОСНАБЖЕНИЯ</w:t>
      </w:r>
    </w:p>
    <w:p>
      <w:pPr>
        <w:pStyle w:val="Style20"/>
        <w:spacing w:lineRule="auto" w:line="240"/>
        <w:ind w:left="360" w:hanging="0"/>
        <w:jc w:val="center"/>
        <w:rPr>
          <w:rFonts w:ascii="Times New Roman" w:hAnsi="Times New Roman"/>
          <w:b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№ 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__________ </w:t>
      </w:r>
      <w:r>
        <w:rPr>
          <w:rFonts w:ascii="Times New Roman" w:hAnsi="Times New Roman"/>
          <w:b/>
          <w:iCs/>
          <w:sz w:val="22"/>
          <w:szCs w:val="22"/>
        </w:rPr>
        <w:t>от «   » __________ 20____ г.</w:t>
      </w:r>
    </w:p>
    <w:tbl>
      <w:tblPr>
        <w:tblW w:w="9356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961"/>
        <w:gridCol w:w="4394"/>
      </w:tblGrid>
      <w:tr>
        <w:trPr>
          <w:trHeight w:val="841" w:hRule="atLeast"/>
        </w:trPr>
        <w:tc>
          <w:tcPr>
            <w:tcW w:w="4961" w:type="dxa"/>
            <w:tcBorders/>
            <w:shd w:fill="auto" w:val="clear"/>
          </w:tcPr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  <w:p>
            <w:pPr>
              <w:pStyle w:val="Normal"/>
              <w:spacing w:lineRule="auto" w:line="240"/>
              <w:ind w:right="255" w:hanging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Гарантирующий поставщик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  <w:p>
            <w:pPr>
              <w:pStyle w:val="Style20"/>
              <w:spacing w:lineRule="auto" w:line="240"/>
              <w:ind w:right="310" w:hanging="0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Публичное акционерное общество энергетики и электрификации «Камчатскэнерго»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683000, Камчатский край,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г. Петропавловск-Камчатский,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ул. Набережная, д. 10 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ИНН 4100000668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КПП 410101001 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КПП 775050001 поставлено на учет в качестве крупнейшего налогоплательщика с 08.02.2019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Код ОКТМО 30701000001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ОКПО 00106106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дата постановки на учет в ИФНС: 18.01.1994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ОО «Дальневосточный» в ФИЛИАЛ «ХАБАРОВСКИЙ»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АО «АЛЬФА-БАНК»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Р/счет  40702810020020005559</w:t>
              <w:tab/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К/счет  30101810800000000770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БИК  040813770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E-mail: </w:t>
            </w:r>
            <w:r>
              <w:rPr>
                <w:rStyle w:val="Style10"/>
                <w:rFonts w:ascii="Times New Roman" w:hAnsi="Times New Roman"/>
                <w:sz w:val="22"/>
                <w:szCs w:val="22"/>
              </w:rPr>
              <w:t>kamenergo@rushydro.ru</w:t>
            </w:r>
          </w:p>
          <w:p>
            <w:pPr>
              <w:pStyle w:val="Style20"/>
              <w:spacing w:lineRule="auto" w:line="240"/>
              <w:ind w:right="310" w:hanging="0"/>
              <w:jc w:val="left"/>
              <w:rPr/>
            </w:pPr>
            <w:bookmarkStart w:id="0" w:name="__DdeLink__1218_587274678"/>
            <w:r>
              <w:rPr>
                <w:rStyle w:val="Style10"/>
                <w:rFonts w:ascii="Times New Roman" w:hAnsi="Times New Roman"/>
                <w:b/>
                <w:iCs/>
                <w:color w:val="000000"/>
                <w:sz w:val="22"/>
                <w:szCs w:val="22"/>
              </w:rPr>
              <w:t xml:space="preserve">Официальный сайт ПАО «Камчатскэнерго»: </w:t>
            </w:r>
            <w:hyperlink r:id="rId4">
              <w:bookmarkEnd w:id="0"/>
              <w:r>
                <w:rPr>
                  <w:rStyle w:val="Style10"/>
                  <w:rFonts w:ascii="Times New Roman" w:hAnsi="Times New Roman"/>
                  <w:b/>
                  <w:iCs/>
                  <w:sz w:val="22"/>
                  <w:szCs w:val="22"/>
                </w:rPr>
                <w:t>www.kamenergo.ru</w:t>
              </w:r>
            </w:hyperlink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</w:tc>
        <w:tc>
          <w:tcPr>
            <w:tcW w:w="4394" w:type="dxa"/>
            <w:tcBorders/>
            <w:shd w:fill="auto" w:val="clear"/>
          </w:tcPr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Государственный заказчик (Потребитель)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/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Телефон 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Факс 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Адрес электронной почты 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ИНН/КПП __________/____________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ОКВЭД 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ОГРН 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Банк 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Р/счет 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БИК 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Режим налогообложения 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</w:tc>
      </w:tr>
      <w:tr>
        <w:trPr>
          <w:trHeight w:val="675" w:hRule="atLeast"/>
        </w:trPr>
        <w:tc>
          <w:tcPr>
            <w:tcW w:w="4961" w:type="dxa"/>
            <w:tcBorders/>
            <w:shd w:fill="auto" w:val="clear"/>
          </w:tcPr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__________________ </w:t>
            </w: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_______________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             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м.п.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«___»______________</w:t>
            </w:r>
            <w:r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________</w:t>
            </w: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года</w:t>
            </w:r>
          </w:p>
        </w:tc>
        <w:tc>
          <w:tcPr>
            <w:tcW w:w="4394" w:type="dxa"/>
            <w:tcBorders/>
            <w:shd w:fill="auto" w:val="clear"/>
          </w:tcPr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_________________ </w:t>
            </w:r>
            <w:r>
              <w:rPr>
                <w:rFonts w:ascii="Times New Roman" w:hAnsi="Times New Roman"/>
                <w:b/>
                <w:bCs/>
                <w:iCs/>
                <w:color w:val="0000FF"/>
                <w:sz w:val="22"/>
                <w:szCs w:val="22"/>
              </w:rPr>
              <w:t>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               </w:t>
            </w: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м.п.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«___»_______________</w:t>
            </w:r>
            <w:r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____________</w:t>
            </w: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года</w:t>
            </w:r>
          </w:p>
        </w:tc>
      </w:tr>
    </w:tbl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iCs/>
          <w:color w:val="0000FF"/>
        </w:rPr>
      </w:pPr>
      <w:r>
        <w:rPr>
          <w:rFonts w:ascii="Times New Roman" w:hAnsi="Times New Roman"/>
          <w:iCs/>
          <w:color w:val="0000FF"/>
        </w:rPr>
      </w:r>
      <w:r>
        <w:br w:type="page"/>
      </w:r>
    </w:p>
    <w:p>
      <w:pPr>
        <w:pStyle w:val="Normal"/>
        <w:jc w:val="right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Приложение № 5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государственному контракту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2"/>
          <w:szCs w:val="22"/>
        </w:rPr>
        <w:t>№ 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 xml:space="preserve">___________ от </w:t>
      </w:r>
      <w:r>
        <w:rPr>
          <w:rFonts w:ascii="Times New Roman" w:hAnsi="Times New Roman"/>
          <w:b/>
          <w:color w:val="3107A9"/>
          <w:sz w:val="22"/>
          <w:szCs w:val="22"/>
        </w:rPr>
        <w:t>____________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Условия потребления и генерации реактивной электроэнергии</w:t>
      </w:r>
    </w:p>
    <w:p>
      <w:pPr>
        <w:pStyle w:val="Normal"/>
        <w:numPr>
          <w:ilvl w:val="0"/>
          <w:numId w:val="5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Установленная мощность компенсирующих устройств (КУ):</w:t>
      </w:r>
    </w:p>
    <w:p>
      <w:pPr>
        <w:pStyle w:val="Normal"/>
        <w:ind w:left="36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56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6"/>
        <w:gridCol w:w="4708"/>
        <w:gridCol w:w="1419"/>
        <w:gridCol w:w="1341"/>
        <w:gridCol w:w="1352"/>
      </w:tblGrid>
      <w:tr>
        <w:trPr>
          <w:trHeight w:val="486" w:hRule="atLeast"/>
          <w:cantSplit w:val="true"/>
        </w:trPr>
        <w:tc>
          <w:tcPr>
            <w:tcW w:w="5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№ </w:t>
            </w:r>
          </w:p>
        </w:tc>
        <w:tc>
          <w:tcPr>
            <w:tcW w:w="47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Тип компенсирующих устройств</w:t>
            </w:r>
          </w:p>
        </w:tc>
        <w:tc>
          <w:tcPr>
            <w:tcW w:w="27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Номинальное напряжение</w:t>
            </w:r>
          </w:p>
        </w:tc>
        <w:tc>
          <w:tcPr>
            <w:tcW w:w="13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Итого</w:t>
            </w:r>
          </w:p>
        </w:tc>
      </w:tr>
      <w:tr>
        <w:trPr>
          <w:trHeight w:val="243" w:hRule="atLeast"/>
        </w:trPr>
        <w:tc>
          <w:tcPr>
            <w:tcW w:w="53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До1000 В</w:t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Свыше 1000 В</w:t>
            </w:r>
          </w:p>
        </w:tc>
        <w:tc>
          <w:tcPr>
            <w:tcW w:w="13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Конденсаторные установки, квар, в том числе: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регулируемые автоматически, квар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регулируемые вручную, квар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59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Синхронные двигатели (СД) и компенсаторы (СК), кВт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</w:tbl>
    <w:p>
      <w:pPr>
        <w:pStyle w:val="Normal"/>
        <w:spacing w:before="40" w:after="4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 xml:space="preserve">Примечание: </w:t>
      </w:r>
    </w:p>
    <w:p>
      <w:pPr>
        <w:pStyle w:val="Normal"/>
        <w:tabs>
          <w:tab w:val="center" w:pos="4153" w:leader="none"/>
          <w:tab w:val="right" w:pos="8306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Государственный заказчик (Потребитель) согласовывает установку компенсирующих устройств с Сетевой организацией, сведения об установке и демонтаже компенсирующих устройств предоставляет в адрес Гарантирующего поставщика.</w:t>
      </w:r>
    </w:p>
    <w:p>
      <w:pPr>
        <w:pStyle w:val="Normal"/>
        <w:numPr>
          <w:ilvl w:val="0"/>
          <w:numId w:val="5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отклонений Государственным заказчиком</w:t>
      </w:r>
      <w:r>
        <w:rPr>
          <w:rFonts w:ascii="Times New Roman" w:hAnsi="Times New Roman"/>
          <w:sz w:val="22"/>
          <w:szCs w:val="22"/>
        </w:rPr>
        <w:t xml:space="preserve"> (</w:t>
      </w:r>
      <w:r>
        <w:rPr>
          <w:rFonts w:ascii="Times New Roman" w:hAnsi="Times New Roman"/>
        </w:rPr>
        <w:t>Потребителем) услуг от установленных контрактом значений соотношения потребления активной и реактивной мощности в часы максимальной и минимальной нагрузок Государственный заказчик (Потребитель) в соответствии с «Правилами недискриминационного доступа к услугам по передаче электрической энергии и оказания этих услуг», утвержденных постановлением Правительства РФ от 27.12.2004 №  861, оплачивает потребление (генерацию) реактивной электроэнергии с учетом коэффициента к тарифу на активную электроэнергию.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56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276"/>
        <w:gridCol w:w="2125"/>
        <w:gridCol w:w="1985"/>
        <w:gridCol w:w="1"/>
        <w:gridCol w:w="1983"/>
        <w:gridCol w:w="1"/>
        <w:gridCol w:w="1985"/>
      </w:tblGrid>
      <w:tr>
        <w:trPr>
          <w:trHeight w:val="848" w:hRule="atLeast"/>
        </w:trPr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Расчетный период</w:t>
            </w:r>
          </w:p>
        </w:tc>
        <w:tc>
          <w:tcPr>
            <w:tcW w:w="41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Технические пределы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Коэффициент к тарифу за Потребление реактивной энергии</w:t>
            </w:r>
          </w:p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Коэффициент к тарифу за генерацию реактивной энергии</w:t>
            </w:r>
          </w:p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50" w:hRule="atLeast"/>
        </w:trPr>
        <w:tc>
          <w:tcPr>
            <w:tcW w:w="12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Потребления</w:t>
            </w:r>
          </w:p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  <w:lang w:val="en-US"/>
              </w:rPr>
              <w:t>tg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φ</w:t>
            </w:r>
            <w:r>
              <w:rPr>
                <w:rFonts w:ascii="Times New Roman" w:hAnsi="Times New Roman"/>
                <w:b/>
              </w:rPr>
              <w:t xml:space="preserve"> в период максимальной нагрузки)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Генерации</w:t>
            </w:r>
          </w:p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  <w:lang w:val="en-US"/>
              </w:rPr>
              <w:t>tg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φ</w:t>
            </w:r>
            <w:r>
              <w:rPr>
                <w:rFonts w:ascii="Times New Roman" w:hAnsi="Times New Roman"/>
                <w:b/>
              </w:rPr>
              <w:t xml:space="preserve"> в период минимальной нагрузки)</w:t>
            </w:r>
          </w:p>
        </w:tc>
        <w:tc>
          <w:tcPr>
            <w:tcW w:w="1984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50" w:hRule="atLeast"/>
        </w:trPr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0,08</w:t>
            </w:r>
          </w:p>
        </w:tc>
        <w:tc>
          <w:tcPr>
            <w:tcW w:w="19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0,12</w:t>
            </w:r>
          </w:p>
        </w:tc>
      </w:tr>
    </w:tbl>
    <w:p>
      <w:pPr>
        <w:pStyle w:val="Normal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 xml:space="preserve">Примечание: </w:t>
      </w:r>
    </w:p>
    <w:p>
      <w:pPr>
        <w:pStyle w:val="Normal"/>
        <w:numPr>
          <w:ilvl w:val="0"/>
          <w:numId w:val="6"/>
        </w:numPr>
        <w:tabs>
          <w:tab w:val="left" w:pos="0" w:leader="none"/>
        </w:tabs>
        <w:spacing w:before="40" w:after="40"/>
        <w:ind w:left="0" w:hanging="0"/>
        <w:jc w:val="both"/>
        <w:rPr>
          <w:rFonts w:ascii="Times New Roman" w:hAnsi="Times New Roman"/>
          <w:vertAlign w:val="subscript"/>
        </w:rPr>
      </w:pPr>
      <w:r>
        <w:rPr>
          <w:rFonts w:ascii="Times New Roman" w:hAnsi="Times New Roman"/>
        </w:rPr>
        <w:t xml:space="preserve">Потребление реактивной энергии за расчетный период определяется по приборам учета электроэнергии, при отсутствии прибора учета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  <w:lang w:val="en-US"/>
        </w:rPr>
        <w:t>Q</w:t>
      </w:r>
      <w:r>
        <w:rPr>
          <w:rFonts w:ascii="Times New Roman" w:hAnsi="Times New Roman"/>
          <w:vertAlign w:val="subscript"/>
        </w:rPr>
        <w:t xml:space="preserve"> потр. = </w:t>
      </w:r>
      <w:r>
        <w:rPr>
          <w:rFonts w:ascii="Times New Roman" w:hAnsi="Times New Roman"/>
          <w:lang w:val="en-US"/>
        </w:rPr>
        <w:t>tg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φ</w:t>
      </w:r>
      <w:r>
        <w:rPr>
          <w:rFonts w:ascii="Times New Roman" w:hAnsi="Times New Roman"/>
          <w:vertAlign w:val="subscript"/>
        </w:rPr>
        <w:t xml:space="preserve">*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</w:rPr>
        <w:t>А</w:t>
      </w:r>
      <w:r>
        <w:rPr>
          <w:rFonts w:ascii="Times New Roman" w:hAnsi="Times New Roman"/>
        </w:rPr>
        <w:t xml:space="preserve">; генерация реактивной энергии определяется по приборам учета, при отсутствии прибора учета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  <w:lang w:val="en-US"/>
        </w:rPr>
        <w:t>Q</w:t>
      </w:r>
      <w:r>
        <w:rPr>
          <w:rFonts w:ascii="Times New Roman" w:hAnsi="Times New Roman"/>
          <w:vertAlign w:val="subscript"/>
        </w:rPr>
        <w:t xml:space="preserve"> генер. = </w:t>
      </w:r>
      <w:r>
        <w:rPr>
          <w:rFonts w:ascii="Times New Roman" w:hAnsi="Times New Roman"/>
          <w:lang w:val="en-US"/>
        </w:rPr>
        <w:t>Q</w:t>
      </w:r>
      <w:r>
        <w:rPr>
          <w:rFonts w:ascii="Times New Roman" w:hAnsi="Times New Roman"/>
          <w:vertAlign w:val="subscript"/>
        </w:rPr>
        <w:t xml:space="preserve">К * </w:t>
      </w:r>
      <w:r>
        <w:rPr>
          <w:rFonts w:ascii="Times New Roman" w:hAnsi="Times New Roman"/>
          <w:lang w:val="en-US"/>
        </w:rPr>
        <w:t>T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  <w:lang w:val="en-US"/>
        </w:rPr>
        <w:t>tg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φ</w:t>
      </w:r>
      <w:r>
        <w:rPr>
          <w:rFonts w:ascii="Times New Roman" w:hAnsi="Times New Roman"/>
          <w:vertAlign w:val="subscript"/>
        </w:rPr>
        <w:t xml:space="preserve">*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</w:rPr>
        <w:t>А,</w:t>
      </w:r>
    </w:p>
    <w:p>
      <w:pPr>
        <w:pStyle w:val="Normal"/>
        <w:tabs>
          <w:tab w:val="left" w:pos="0" w:leader="none"/>
        </w:tabs>
        <w:spacing w:before="40" w:after="40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где: </w:t>
      </w:r>
      <w:r>
        <w:rPr>
          <w:rFonts w:ascii="Times New Roman" w:hAnsi="Times New Roman"/>
          <w:lang w:val="en-US"/>
        </w:rPr>
        <w:t>Q</w:t>
      </w:r>
      <w:r>
        <w:rPr>
          <w:rFonts w:ascii="Times New Roman" w:hAnsi="Times New Roman"/>
          <w:vertAlign w:val="subscript"/>
        </w:rPr>
        <w:t xml:space="preserve">К-  </w:t>
      </w:r>
      <w:r>
        <w:rPr>
          <w:rFonts w:ascii="Times New Roman" w:hAnsi="Times New Roman"/>
        </w:rPr>
        <w:t>мощность компенсирующего устройства</w:t>
      </w:r>
      <w:r>
        <w:rPr>
          <w:rFonts w:ascii="Times New Roman" w:hAnsi="Times New Roman"/>
          <w:vertAlign w:val="subscript"/>
        </w:rPr>
        <w:t xml:space="preserve">, </w:t>
      </w:r>
      <w:r>
        <w:rPr>
          <w:rFonts w:ascii="Times New Roman" w:hAnsi="Times New Roman"/>
        </w:rPr>
        <w:t xml:space="preserve">Т- период времени, </w:t>
      </w:r>
      <w:r>
        <w:rPr>
          <w:rFonts w:ascii="Times New Roman" w:hAnsi="Times New Roman"/>
          <w:lang w:val="en-US"/>
        </w:rPr>
        <w:t>tg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φ</w:t>
      </w:r>
      <w:r>
        <w:rPr>
          <w:rFonts w:ascii="Times New Roman" w:hAnsi="Times New Roman"/>
        </w:rPr>
        <w:t xml:space="preserve"> – коэффициент мощности,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</w:rPr>
        <w:t xml:space="preserve">А-  </w:t>
      </w:r>
      <w:r>
        <w:rPr>
          <w:rFonts w:ascii="Times New Roman" w:hAnsi="Times New Roman"/>
        </w:rPr>
        <w:t>Потребление активной энергии за расчетный период времени.</w:t>
      </w:r>
    </w:p>
    <w:p>
      <w:pPr>
        <w:pStyle w:val="Normal"/>
        <w:numPr>
          <w:ilvl w:val="0"/>
          <w:numId w:val="6"/>
        </w:numPr>
        <w:tabs>
          <w:tab w:val="left" w:pos="0" w:leader="none"/>
        </w:tabs>
        <w:spacing w:before="40" w:after="40"/>
        <w:ind w:left="0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</w:rPr>
        <w:t xml:space="preserve">При отсутствии прибора учета реактивной энергии, имеющего нормированные метрологические характеристики, воспроизводящие и хранящие величину, размер которой принимается неизменным в течение определенного интервала времени (максимальных, минимальных нагрузок), отклонение выявляется на основании результата замеров мощности. </w:t>
      </w:r>
    </w:p>
    <w:p>
      <w:pPr>
        <w:pStyle w:val="Normal"/>
        <w:numPr>
          <w:ilvl w:val="0"/>
          <w:numId w:val="6"/>
        </w:numPr>
        <w:tabs>
          <w:tab w:val="left" w:pos="0" w:leader="none"/>
        </w:tabs>
        <w:spacing w:before="40" w:after="40"/>
        <w:ind w:lef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Замеры мощности выполняются на границе раздела балансовой принадлежности электросетей или по согласованию с Гарантирующим поставщиком в энергопринимающем устройстве </w:t>
      </w:r>
      <w:r>
        <w:rPr>
          <w:rFonts w:ascii="Times New Roman" w:hAnsi="Times New Roman"/>
          <w:sz w:val="22"/>
          <w:szCs w:val="22"/>
        </w:rPr>
        <w:t>Государственного заказчика (</w:t>
      </w:r>
      <w:r>
        <w:rPr>
          <w:rFonts w:ascii="Times New Roman" w:hAnsi="Times New Roman"/>
        </w:rPr>
        <w:t>Потребителя).</w:t>
      </w:r>
    </w:p>
    <w:tbl>
      <w:tblPr>
        <w:tblpPr w:bottomFromText="0" w:horzAnchor="margin" w:leftFromText="180" w:rightFromText="180" w:tblpX="0" w:tblpY="293" w:topFromText="0" w:vertAnchor="text"/>
        <w:tblW w:w="9658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29"/>
        <w:gridCol w:w="4828"/>
      </w:tblGrid>
      <w:tr>
        <w:trPr>
          <w:trHeight w:val="178" w:hRule="atLeast"/>
        </w:trPr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Гарантирующий поставщик</w:t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both"/>
              <w:outlineLvl w:val="1"/>
              <w:rPr>
                <w:rFonts w:ascii="Times New Roman" w:hAnsi="Times New Roman" w:eastAsia="Arial Unicode MS"/>
                <w:b/>
                <w:b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sz w:val="22"/>
                <w:szCs w:val="22"/>
                <w:lang w:val="en-US"/>
              </w:rPr>
              <w:t xml:space="preserve">Государственный заказчик </w:t>
            </w:r>
            <w:r>
              <w:rPr>
                <w:rFonts w:eastAsia="Arial Unicode MS" w:ascii="Times New Roman" w:hAnsi="Times New Roman"/>
                <w:b/>
                <w:sz w:val="22"/>
                <w:szCs w:val="22"/>
              </w:rPr>
              <w:t>(</w:t>
            </w:r>
            <w:r>
              <w:rPr>
                <w:rFonts w:eastAsia="Arial Unicode MS" w:ascii="Times New Roman" w:hAnsi="Times New Roman"/>
                <w:b/>
                <w:sz w:val="22"/>
                <w:szCs w:val="22"/>
                <w:lang w:val="en-US"/>
              </w:rPr>
              <w:t>Потребитель</w:t>
            </w:r>
            <w:r>
              <w:rPr>
                <w:rFonts w:eastAsia="Arial Unicode MS" w:ascii="Times New Roman" w:hAnsi="Times New Roman"/>
                <w:b/>
                <w:sz w:val="22"/>
                <w:szCs w:val="22"/>
              </w:rPr>
              <w:t>)</w:t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tabs>
                <w:tab w:val="left" w:pos="708" w:leader="none"/>
                <w:tab w:val="center" w:pos="4153" w:leader="none"/>
                <w:tab w:val="right" w:pos="8306" w:leader="none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___________________ </w:t>
            </w: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________________</w:t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  <w:r>
              <w:rPr>
                <w:rFonts w:ascii="Times New Roman" w:hAnsi="Times New Roman"/>
                <w:b/>
                <w:bCs/>
                <w:color w:val="0000FF"/>
                <w:sz w:val="22"/>
                <w:szCs w:val="22"/>
              </w:rPr>
              <w:t>_________________</w:t>
            </w:r>
          </w:p>
        </w:tc>
      </w:tr>
    </w:tbl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</w:t>
      </w:r>
      <w:r>
        <w:rPr>
          <w:rFonts w:ascii="Times New Roman" w:hAnsi="Times New Roman"/>
          <w:b/>
        </w:rPr>
        <w:t>м.п.                                                                                         м.п.</w:t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sectPr>
          <w:footerReference w:type="default" r:id="rId5"/>
          <w:type w:val="nextPage"/>
          <w:pgSz w:w="11906" w:h="16838"/>
          <w:pgMar w:left="1701" w:right="709" w:header="0" w:top="1134" w:footer="431" w:bottom="1134" w:gutter="0"/>
          <w:pgNumType w:fmt="decimal"/>
          <w:formProt w:val="false"/>
          <w:textDirection w:val="lrTb"/>
          <w:docGrid w:type="default" w:linePitch="272" w:charSpace="2047"/>
        </w:sect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Приложение № 6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государственному контракту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3107A9"/>
          <w:sz w:val="22"/>
          <w:szCs w:val="22"/>
        </w:rPr>
      </w:pPr>
      <w:r>
        <w:rPr>
          <w:rFonts w:ascii="Times New Roman" w:hAnsi="Times New Roman"/>
          <w:b/>
          <w:bCs/>
          <w:color w:val="0000FF"/>
          <w:sz w:val="22"/>
          <w:szCs w:val="22"/>
        </w:rPr>
        <w:t>№ 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 xml:space="preserve">_____________ от </w:t>
      </w:r>
      <w:r>
        <w:rPr>
          <w:rFonts w:ascii="Times New Roman" w:hAnsi="Times New Roman"/>
          <w:b/>
          <w:color w:val="3107A9"/>
          <w:sz w:val="22"/>
          <w:szCs w:val="22"/>
        </w:rPr>
        <w:t>_____________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«Акт согласования технологической и (или) аварийной брони электроснабжения</w:t>
      </w:r>
    </w:p>
    <w:p>
      <w:pPr>
        <w:pStyle w:val="Normal"/>
        <w:tabs>
          <w:tab w:val="left" w:pos="9180" w:leader="none"/>
          <w:tab w:val="left" w:pos="9540" w:leader="none"/>
        </w:tabs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Государственного заказчика (Потребителя) электрической энергии (мощности)»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20" w:after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Раздел I. ОБЩИЕ СВЕДЕНИЯ</w:t>
      </w:r>
    </w:p>
    <w:tbl>
      <w:tblPr>
        <w:tblW w:w="15309" w:type="dxa"/>
        <w:jc w:val="left"/>
        <w:tblInd w:w="70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top w:w="0" w:type="dxa"/>
          <w:left w:w="62" w:type="dxa"/>
          <w:bottom w:w="0" w:type="dxa"/>
          <w:right w:w="70" w:type="dxa"/>
        </w:tblCellMar>
        <w:tblLook w:val="0000" w:noVBand="0" w:noHBand="0" w:lastColumn="0" w:firstColumn="0" w:lastRow="0" w:firstRow="0"/>
      </w:tblPr>
      <w:tblGrid>
        <w:gridCol w:w="708"/>
        <w:gridCol w:w="6690"/>
        <w:gridCol w:w="7911"/>
      </w:tblGrid>
      <w:tr>
        <w:trPr>
          <w:trHeight w:val="271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Наименование и местонахождение организации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71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Перечень энергопринимающих устройств, подключенных к токоприемникам технологической брони, с указанием адресов места расположения соответствующих энергопринимающих устройств и наименованием питающих их линий электропередачи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48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Перечень энергопринимающих устройств, подключенных к токоприемникам аварийной брони, с указанием адресов места расположения соответствующих энергопринимающих устройств и наименованием питающих их линий электропередачи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>
              <w:rPr>
                <w:rFonts w:ascii="Times New Roman" w:hAnsi="Times New Roman"/>
                <w:sz w:val="23"/>
                <w:szCs w:val="23"/>
                <w:highlight w:val="yellow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4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Номер и дата заключения государственного контракта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Контактная информация (фамилия, имя, отчество и телефон):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руководителя организации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156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технического руководителя (главного инженера) организации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ответственного за электрохозяйство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дежурного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134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дежурного по подстанции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6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Сменность работы потребителя (фактическая)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7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Нагрузка, тыс. кВт: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замеру в зимний период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замеру в летний период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8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45" w:hanging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Суточное электропотребление, тыс. кВт.ч: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замеру в зимний период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замеру в летний период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36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9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Потребление электрической энергии (мощности) в нерабочие (праздничные) дни, тыс. кВт.ч: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зимний период    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летний период    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10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Величина аварийной брони электроснабжения, тыс. кВт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зимний период    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летний период    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48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10.1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Нагрузка токоприемников, имеющих аварийную бронь, не участвующую в работе потребителя в нормальном  режиме, тыс. кВт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308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11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Нагрузка токоприемников, имеющих технологическую бронь электроснабжения, тыс. кВт: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12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Наличие средств дистанционного управления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 </w:t>
            </w:r>
          </w:p>
        </w:tc>
      </w:tr>
    </w:tbl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Раздел II. ТЕХНИЧЕСКИЕ ХАРАКТЕРИСТИКИ ЭЛЕКТРОСНАБЖЕНИЯ ПОТРЕБИТЕЛЯ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Часть 1. Таблица</w:t>
      </w:r>
    </w:p>
    <w:tbl>
      <w:tblPr>
        <w:tblW w:w="15452" w:type="dxa"/>
        <w:jc w:val="left"/>
        <w:tblInd w:w="70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top w:w="0" w:type="dxa"/>
          <w:left w:w="62" w:type="dxa"/>
          <w:bottom w:w="0" w:type="dxa"/>
          <w:right w:w="70" w:type="dxa"/>
        </w:tblCellMar>
        <w:tblLook w:val="0000" w:noVBand="0" w:noHBand="0" w:lastColumn="0" w:firstColumn="0" w:lastRow="0" w:firstRow="0"/>
      </w:tblPr>
      <w:tblGrid>
        <w:gridCol w:w="540"/>
        <w:gridCol w:w="1728"/>
        <w:gridCol w:w="1701"/>
        <w:gridCol w:w="994"/>
        <w:gridCol w:w="1842"/>
        <w:gridCol w:w="1276"/>
        <w:gridCol w:w="1310"/>
        <w:gridCol w:w="1063"/>
        <w:gridCol w:w="2"/>
        <w:gridCol w:w="850"/>
        <w:gridCol w:w="1001"/>
        <w:gridCol w:w="1443"/>
        <w:gridCol w:w="1701"/>
      </w:tblGrid>
      <w:tr>
        <w:trPr>
          <w:trHeight w:val="240" w:hRule="atLeast"/>
          <w:cantSplit w:val="true"/>
        </w:trPr>
        <w:tc>
          <w:tcPr>
            <w:tcW w:w="54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  <w:br/>
              <w:t>п/п</w:t>
            </w:r>
          </w:p>
        </w:tc>
        <w:tc>
          <w:tcPr>
            <w:tcW w:w="172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  </w:t>
              <w:br/>
              <w:t xml:space="preserve">(номер) питающего центра    </w:t>
              <w:br/>
              <w:t xml:space="preserve">сетевой  </w:t>
              <w:br/>
              <w:t xml:space="preserve">организации и  </w:t>
              <w:br/>
              <w:t xml:space="preserve">других источников электро   </w:t>
              <w:br/>
              <w:t xml:space="preserve">снабжения      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  </w:t>
              <w:br/>
              <w:t xml:space="preserve">(номер) </w:t>
            </w:r>
          </w:p>
          <w:p>
            <w:pPr>
              <w:pStyle w:val="Normal"/>
              <w:ind w:right="-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питающей линии сетевой организации и других источни ков электро снабжения            </w:t>
            </w:r>
          </w:p>
        </w:tc>
        <w:tc>
          <w:tcPr>
            <w:tcW w:w="994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Нагрузка </w:t>
              <w:br/>
              <w:t xml:space="preserve">линии в  </w:t>
              <w:br/>
              <w:t xml:space="preserve">нормаль </w:t>
              <w:br/>
              <w:t xml:space="preserve">ном </w:t>
            </w:r>
          </w:p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режиме работы, кВт  </w:t>
            </w:r>
          </w:p>
        </w:tc>
        <w:tc>
          <w:tcPr>
            <w:tcW w:w="549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броня электроснабжения</w:t>
            </w:r>
          </w:p>
        </w:tc>
        <w:tc>
          <w:tcPr>
            <w:tcW w:w="499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Технологическая броня электроснабжения</w:t>
            </w:r>
          </w:p>
        </w:tc>
      </w:tr>
      <w:tr>
        <w:trPr>
          <w:trHeight w:val="1560" w:hRule="atLeast"/>
          <w:cantSplit w:val="true"/>
        </w:trPr>
        <w:tc>
          <w:tcPr>
            <w:tcW w:w="540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28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94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токоприемников аварийной брони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36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Максимальная мощность токоприемников аварийной брони, кВт</w:t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Линии, на которые может быть переключена нагрузка, и средства переключения (АВР или вручную)     </w:t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сокращения электроснабжения до уровня аварийной брони</w:t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3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Перечень    </w:t>
              <w:br/>
              <w:t xml:space="preserve">токопри </w:t>
              <w:br/>
              <w:t xml:space="preserve">емников технологической брони   </w:t>
              <w:br/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Максимальная мощность токоприемников технологической брони, кВт</w:t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Продолжительность времени, необходимого для завершения технологического процесса, цикла производства, час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Допустимое время перерыва электроснабжения энергопринимающего устройства, подключенного к токоприемникам технологической брони, час</w:t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>
        <w:trPr>
          <w:trHeight w:val="388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2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При возникновении или угрозе возникновения аварийных электроэнергетических режимов могут быть немедленно отключены с питающих центров сетевой организации: питающие линии:____________________________________________________________________________________</w:t>
      </w:r>
    </w:p>
    <w:p>
      <w:pPr>
        <w:pStyle w:val="Normal"/>
        <w:widowControl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Питающие линии  _____________________ могут быть  отключены  на  время, указанное в графе 12.</w:t>
      </w:r>
    </w:p>
    <w:p>
      <w:pPr>
        <w:pStyle w:val="Normal"/>
        <w:widowControl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Питающие линии могут быть отключены по истечении времени, указанного в графе 11.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По требованию сетевой организации Государственный заказчик (Потребитель) немедленно отключает   ____ кВт;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Использование имеющихся в работе устройств автоматического включения резерва – ____________.</w:t>
      </w:r>
    </w:p>
    <w:tbl>
      <w:tblPr>
        <w:tblW w:w="15451" w:type="dxa"/>
        <w:jc w:val="left"/>
        <w:tblInd w:w="10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284"/>
        <w:gridCol w:w="7087"/>
        <w:gridCol w:w="8080"/>
      </w:tblGrid>
      <w:tr>
        <w:trPr>
          <w:trHeight w:val="1063" w:hRule="atLeast"/>
        </w:trPr>
        <w:tc>
          <w:tcPr>
            <w:tcW w:w="284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>
            <w:pPr>
              <w:pStyle w:val="Normal"/>
              <w:ind w:right="-108" w:hanging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Сетевая организация                                           </w:t>
            </w:r>
          </w:p>
          <w:p>
            <w:pPr>
              <w:pStyle w:val="Norma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</w:p>
          <w:p>
            <w:pPr>
              <w:pStyle w:val="Norma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Главный инженер ______________   ______________                                 </w:t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(подпись)               (ФИО)</w:t>
            </w:r>
          </w:p>
        </w:tc>
        <w:tc>
          <w:tcPr>
            <w:tcW w:w="8080" w:type="dxa"/>
            <w:tcBorders/>
            <w:shd w:color="auto" w:fill="auto" w:val="clear"/>
          </w:tcPr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Государственный заказчик (Потребитель) </w:t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электрохозяйство       _______________  _________________</w:t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(подпись)                     (ФИО)</w:t>
            </w:r>
          </w:p>
        </w:tc>
      </w:tr>
    </w:tbl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«Акт согласования технологической и (или) аварийной брони электроснабжения</w:t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Государственного заказчика (Потребителя) электрической энергии (мощности)» 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margin">
                  <wp:posOffset>630555</wp:posOffset>
                </wp:positionH>
                <wp:positionV relativeFrom="paragraph">
                  <wp:posOffset>186055</wp:posOffset>
                </wp:positionV>
                <wp:extent cx="7635875" cy="803275"/>
                <wp:effectExtent l="0" t="0" r="0" b="0"/>
                <wp:wrapSquare wrapText="bothSides"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5875" cy="803275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1101" w:tblpY="293" w:topFromText="0" w:vertAnchor="text"/>
                              <w:tblW w:w="12025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7195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Государственный заказчик 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  <w:lang w:val="en-US"/>
                                    </w:rPr>
                                    <w:t>Потребитель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______________________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sz w:val="22"/>
                                      <w:szCs w:val="22"/>
                                    </w:rPr>
                                    <w:t xml:space="preserve"> 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      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>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2"/>
                                      <w:szCs w:val="22"/>
                                    </w:rPr>
                                    <w:t>___________________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2"/>
                                      <w:szCs w:val="22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2"/>
                                      <w:szCs w:val="22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601.25pt;height:63.25pt;mso-wrap-distance-left:9pt;mso-wrap-distance-right:9pt;mso-wrap-distance-top:0pt;mso-wrap-distance-bottom:0pt;margin-top:14.65pt;mso-position-vertical-relative:text;margin-left:49.6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1101" w:tblpY="293" w:topFromText="0" w:vertAnchor="text"/>
                        <w:tblW w:w="12025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7195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Государственный заказчик 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>Потребитель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______________________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 _______________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___________________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  <w:b/>
          <w:b/>
          <w:sz w:val="22"/>
          <w:szCs w:val="22"/>
        </w:rPr>
      </w:pPr>
      <w:r>
        <w:rPr/>
      </w:r>
      <w:r>
        <w:br w:type="page"/>
      </w:r>
    </w:p>
    <w:p>
      <w:pPr>
        <w:pStyle w:val="Normal"/>
        <w:jc w:val="right"/>
        <w:rPr/>
      </w:pPr>
      <w:r>
        <w:rPr>
          <w:rFonts w:ascii="Times New Roman" w:hAnsi="Times New Roman"/>
          <w:b/>
          <w:sz w:val="22"/>
          <w:szCs w:val="22"/>
        </w:rPr>
        <w:t>Приложение № 7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государственному контракту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bCs/>
          <w:color w:val="0000FF"/>
          <w:sz w:val="22"/>
          <w:szCs w:val="22"/>
        </w:rPr>
        <w:t>№ 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 xml:space="preserve">_____________ от </w:t>
      </w:r>
      <w:r>
        <w:rPr>
          <w:rFonts w:ascii="Times New Roman" w:hAnsi="Times New Roman"/>
          <w:b/>
          <w:color w:val="3107A9"/>
          <w:sz w:val="22"/>
          <w:szCs w:val="22"/>
        </w:rPr>
        <w:t>____________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ФОРМА «Акт снятия показаний расчетных приборов учета»</w:t>
      </w:r>
    </w:p>
    <w:p>
      <w:pPr>
        <w:pStyle w:val="Normal"/>
        <w:tabs>
          <w:tab w:val="center" w:pos="4153" w:leader="none"/>
          <w:tab w:val="right" w:pos="8306" w:leader="none"/>
        </w:tabs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</w:r>
    </w:p>
    <w:tbl>
      <w:tblPr>
        <w:tblW w:w="14880" w:type="dxa"/>
        <w:jc w:val="left"/>
        <w:tblInd w:w="11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48"/>
        <w:gridCol w:w="5625"/>
        <w:gridCol w:w="2267"/>
        <w:gridCol w:w="2127"/>
        <w:gridCol w:w="2128"/>
        <w:gridCol w:w="1984"/>
      </w:tblGrid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-11" w:hanging="0"/>
              <w:jc w:val="both"/>
              <w:rPr>
                <w:rFonts w:ascii="Times New Roman" w:hAnsi="Times New Roman"/>
                <w:b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№ 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п/п</w:t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-11" w:hanging="0"/>
              <w:jc w:val="both"/>
              <w:rPr>
                <w:rFonts w:ascii="Times New Roman" w:hAnsi="Times New Roman"/>
                <w:b/>
                <w:b/>
                <w:sz w:val="19"/>
                <w:szCs w:val="19"/>
                <w:lang w:eastAsia="ar-SA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Наименование объекта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34" w:hanging="34"/>
              <w:jc w:val="both"/>
              <w:rPr>
                <w:rFonts w:ascii="Times New Roman" w:hAnsi="Times New Roman"/>
                <w:b/>
                <w:b/>
                <w:sz w:val="19"/>
                <w:szCs w:val="19"/>
                <w:lang w:eastAsia="ar-SA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№  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счетчика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b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Показания на день снятия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34" w:hanging="0"/>
              <w:jc w:val="both"/>
              <w:rPr>
                <w:rFonts w:ascii="Times New Roman" w:hAnsi="Times New Roman"/>
                <w:b/>
                <w:b/>
                <w:sz w:val="19"/>
                <w:szCs w:val="19"/>
                <w:lang w:eastAsia="ar-SA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Предыдущие показания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b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Разница показаний</w:t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Государственный заказчик (Потребитель)</w:t>
      </w:r>
      <w:r>
        <w:rPr>
          <w:rFonts w:ascii="Times New Roman" w:hAnsi="Times New Roman"/>
        </w:rPr>
        <w:t xml:space="preserve"> ____________________________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«Акт снятия показаний расчетных приборов учета» 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margin">
                  <wp:posOffset>630555</wp:posOffset>
                </wp:positionH>
                <wp:positionV relativeFrom="paragraph">
                  <wp:posOffset>186055</wp:posOffset>
                </wp:positionV>
                <wp:extent cx="7635875" cy="876300"/>
                <wp:effectExtent l="0" t="0" r="0" b="0"/>
                <wp:wrapSquare wrapText="bothSides"/>
                <wp:docPr id="3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5875" cy="87630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1101" w:tblpY="293" w:topFromText="0" w:vertAnchor="text"/>
                              <w:tblW w:w="12025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7195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1" w:name="__UnoMark__1627_3832845691"/>
                                  <w:bookmarkEnd w:id="1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bookmarkStart w:id="2" w:name="__UnoMark__1628_3832845691"/>
                                  <w:bookmarkEnd w:id="2"/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Государственный заказчик 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Потребитель</w:t>
                                  </w:r>
                                  <w:bookmarkStart w:id="3" w:name="__UnoMark__1629_3832845691"/>
                                  <w:bookmarkEnd w:id="3"/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4" w:name="__UnoMark__1631_3832845691"/>
                                  <w:bookmarkStart w:id="5" w:name="__UnoMark__1630_3832845691"/>
                                  <w:bookmarkStart w:id="6" w:name="__UnoMark__1631_3832845691"/>
                                  <w:bookmarkStart w:id="7" w:name="__UnoMark__1630_3832845691"/>
                                  <w:bookmarkEnd w:id="6"/>
                                  <w:bookmarkEnd w:id="7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8" w:name="__UnoMark__1633_3832845691"/>
                                  <w:bookmarkStart w:id="9" w:name="__UnoMark__1632_3832845691"/>
                                  <w:bookmarkStart w:id="10" w:name="__UnoMark__1633_3832845691"/>
                                  <w:bookmarkStart w:id="11" w:name="__UnoMark__1632_3832845691"/>
                                  <w:bookmarkEnd w:id="10"/>
                                  <w:bookmarkEnd w:id="11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12" w:name="__UnoMark__1635_3832845691"/>
                                  <w:bookmarkStart w:id="13" w:name="__UnoMark__1634_3832845691"/>
                                  <w:bookmarkStart w:id="14" w:name="__UnoMark__1635_3832845691"/>
                                  <w:bookmarkStart w:id="15" w:name="__UnoMark__1634_3832845691"/>
                                  <w:bookmarkEnd w:id="14"/>
                                  <w:bookmarkEnd w:id="15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16" w:name="__UnoMark__1637_3832845691"/>
                                  <w:bookmarkStart w:id="17" w:name="__UnoMark__1636_3832845691"/>
                                  <w:bookmarkStart w:id="18" w:name="__UnoMark__1637_3832845691"/>
                                  <w:bookmarkStart w:id="19" w:name="__UnoMark__1636_3832845691"/>
                                  <w:bookmarkEnd w:id="18"/>
                                  <w:bookmarkEnd w:id="19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20" w:name="__UnoMark__1638_3832845691"/>
                                  <w:bookmarkEnd w:id="20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______________________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sz w:val="22"/>
                                      <w:szCs w:val="22"/>
                                    </w:rPr>
                                    <w:t xml:space="preserve"> 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iCs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21" w:name="__UnoMark__1639_3832845691"/>
                                  <w:bookmarkEnd w:id="21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22" w:name="__UnoMark__1640_3832845691"/>
                                  <w:bookmarkEnd w:id="22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_________________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601.25pt;height:69pt;mso-wrap-distance-left:9pt;mso-wrap-distance-right:9pt;mso-wrap-distance-top:0pt;mso-wrap-distance-bottom:0pt;margin-top:14.65pt;mso-position-vertical-relative:text;margin-left:49.6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1101" w:tblpY="293" w:topFromText="0" w:vertAnchor="text"/>
                        <w:tblW w:w="12025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7195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23" w:name="__UnoMark__1627_3832845691"/>
                            <w:bookmarkEnd w:id="23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bookmarkStart w:id="24" w:name="__UnoMark__1628_3832845691"/>
                            <w:bookmarkEnd w:id="24"/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Государственный заказчик 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Потребитель</w:t>
                            </w:r>
                            <w:bookmarkStart w:id="25" w:name="__UnoMark__1629_3832845691"/>
                            <w:bookmarkEnd w:id="25"/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26" w:name="__UnoMark__1631_3832845691"/>
                            <w:bookmarkStart w:id="27" w:name="__UnoMark__1630_3832845691"/>
                            <w:bookmarkStart w:id="28" w:name="__UnoMark__1631_3832845691"/>
                            <w:bookmarkStart w:id="29" w:name="__UnoMark__1630_3832845691"/>
                            <w:bookmarkEnd w:id="28"/>
                            <w:bookmarkEnd w:id="29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30" w:name="__UnoMark__1633_3832845691"/>
                            <w:bookmarkStart w:id="31" w:name="__UnoMark__1632_3832845691"/>
                            <w:bookmarkStart w:id="32" w:name="__UnoMark__1633_3832845691"/>
                            <w:bookmarkStart w:id="33" w:name="__UnoMark__1632_3832845691"/>
                            <w:bookmarkEnd w:id="32"/>
                            <w:bookmarkEnd w:id="33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34" w:name="__UnoMark__1635_3832845691"/>
                            <w:bookmarkStart w:id="35" w:name="__UnoMark__1634_3832845691"/>
                            <w:bookmarkStart w:id="36" w:name="__UnoMark__1635_3832845691"/>
                            <w:bookmarkStart w:id="37" w:name="__UnoMark__1634_3832845691"/>
                            <w:bookmarkEnd w:id="36"/>
                            <w:bookmarkEnd w:id="37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38" w:name="__UnoMark__1637_3832845691"/>
                            <w:bookmarkStart w:id="39" w:name="__UnoMark__1636_3832845691"/>
                            <w:bookmarkStart w:id="40" w:name="__UnoMark__1637_3832845691"/>
                            <w:bookmarkStart w:id="41" w:name="__UnoMark__1636_3832845691"/>
                            <w:bookmarkEnd w:id="40"/>
                            <w:bookmarkEnd w:id="41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42" w:name="__UnoMark__1638_3832845691"/>
                            <w:bookmarkEnd w:id="42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______________________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 ______________</w:t>
                            </w:r>
                            <w:r>
                              <w:rPr>
                                <w:rFonts w:ascii="Times New Roman" w:hAnsi="Times New Roman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43" w:name="__UnoMark__1639_3832845691"/>
                            <w:bookmarkEnd w:id="43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44" w:name="__UnoMark__1640_3832845691"/>
                            <w:bookmarkEnd w:id="44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_________________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sectPr>
          <w:footerReference w:type="default" r:id="rId6"/>
          <w:type w:val="nextPage"/>
          <w:pgSz w:orient="landscape" w:w="16838" w:h="11906"/>
          <w:pgMar w:left="851" w:right="907" w:header="0" w:top="851" w:footer="237" w:bottom="1418" w:gutter="0"/>
          <w:pgNumType w:fmt="decimal"/>
          <w:formProt w:val="false"/>
          <w:textDirection w:val="lrTb"/>
          <w:docGrid w:type="default" w:linePitch="272" w:charSpace="2047"/>
        </w:sect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Приложение № 8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государственному контракту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bCs/>
          <w:color w:val="0000FF"/>
          <w:sz w:val="22"/>
          <w:szCs w:val="22"/>
        </w:rPr>
        <w:t>№ 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 xml:space="preserve">____________ от </w:t>
      </w:r>
      <w:r>
        <w:rPr>
          <w:rFonts w:ascii="Times New Roman" w:hAnsi="Times New Roman"/>
          <w:b/>
          <w:color w:val="3107A9"/>
          <w:sz w:val="22"/>
          <w:szCs w:val="22"/>
        </w:rPr>
        <w:t>_____________</w:t>
      </w:r>
    </w:p>
    <w:p>
      <w:pPr>
        <w:pStyle w:val="Normal"/>
        <w:jc w:val="right"/>
        <w:rPr>
          <w:rFonts w:ascii="Times New Roman" w:hAnsi="Times New Roman"/>
          <w:b/>
          <w:b/>
          <w:bCs/>
          <w:color w:val="0000FF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Публичное акционерное общество энергетики и электрификации «Камчатскэнерго»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683000, Камчатский край г. Петропавловск-Камчатский, ул. Набережная, 10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sz w:val="26"/>
          <w:szCs w:val="26"/>
        </w:rPr>
        <w:t>Форма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«Акт выполненных работ (приема-передачи электрической энергии)</w:t>
      </w:r>
      <w:r>
        <w:rPr>
          <w:rFonts w:ascii="Times New Roman" w:hAnsi="Times New Roman"/>
          <w:sz w:val="26"/>
          <w:szCs w:val="26"/>
        </w:rPr>
        <w:t>»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Заказчик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ИНН                                 КПП</w:t>
      </w:r>
    </w:p>
    <w:tbl>
      <w:tblPr>
        <w:tblW w:w="16368" w:type="dxa"/>
        <w:jc w:val="left"/>
        <w:tblInd w:w="93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867"/>
        <w:gridCol w:w="1408"/>
        <w:gridCol w:w="1160"/>
        <w:gridCol w:w="102"/>
        <w:gridCol w:w="1160"/>
        <w:gridCol w:w="583"/>
        <w:gridCol w:w="804"/>
        <w:gridCol w:w="715"/>
        <w:gridCol w:w="1429"/>
        <w:gridCol w:w="425"/>
        <w:gridCol w:w="2"/>
        <w:gridCol w:w="722"/>
        <w:gridCol w:w="1"/>
        <w:gridCol w:w="477"/>
        <w:gridCol w:w="1"/>
        <w:gridCol w:w="234"/>
        <w:gridCol w:w="2"/>
        <w:gridCol w:w="974"/>
        <w:gridCol w:w="2"/>
        <w:gridCol w:w="604"/>
        <w:gridCol w:w="1"/>
        <w:gridCol w:w="1504"/>
        <w:gridCol w:w="2"/>
        <w:gridCol w:w="239"/>
        <w:gridCol w:w="2"/>
        <w:gridCol w:w="818"/>
        <w:gridCol w:w="2"/>
        <w:gridCol w:w="388"/>
        <w:gridCol w:w="1"/>
        <w:gridCol w:w="367"/>
        <w:gridCol w:w="2"/>
        <w:gridCol w:w="370"/>
      </w:tblGrid>
      <w:tr>
        <w:trPr>
          <w:trHeight w:val="330" w:hRule="exact"/>
        </w:trPr>
        <w:tc>
          <w:tcPr>
            <w:tcW w:w="1867" w:type="dxa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670" w:type="dxa"/>
            <w:gridSpan w:val="3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0" w:type="dxa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87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571" w:type="dxa"/>
            <w:gridSpan w:val="4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723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78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36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76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605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41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820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89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69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70" w:type="dxa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735" w:hRule="atLeast"/>
        </w:trPr>
        <w:tc>
          <w:tcPr>
            <w:tcW w:w="32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</w:t>
            </w:r>
          </w:p>
        </w:tc>
        <w:tc>
          <w:tcPr>
            <w:tcW w:w="1160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 изм</w:t>
            </w:r>
          </w:p>
        </w:tc>
        <w:tc>
          <w:tcPr>
            <w:tcW w:w="1845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1519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</w:t>
            </w:r>
          </w:p>
        </w:tc>
        <w:tc>
          <w:tcPr>
            <w:tcW w:w="1429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</w:t>
            </w:r>
          </w:p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(без налогов)</w:t>
            </w:r>
          </w:p>
        </w:tc>
        <w:tc>
          <w:tcPr>
            <w:tcW w:w="42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4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7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0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0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20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0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6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75" w:hRule="atLeast"/>
        </w:trPr>
        <w:tc>
          <w:tcPr>
            <w:tcW w:w="32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Потребленная электроэнергия</w:t>
            </w:r>
          </w:p>
        </w:tc>
        <w:tc>
          <w:tcPr>
            <w:tcW w:w="1160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кВт. ч</w:t>
            </w:r>
          </w:p>
        </w:tc>
        <w:tc>
          <w:tcPr>
            <w:tcW w:w="1845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519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4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7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0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0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20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0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6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tabs>
          <w:tab w:val="left" w:pos="3495" w:leader="none"/>
        </w:tabs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tabs>
          <w:tab w:val="left" w:pos="3495" w:leader="none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/>
          <w:sz w:val="26"/>
          <w:szCs w:val="26"/>
        </w:rPr>
        <w:t>ИТОГО:                                                      НДС</w:t>
      </w:r>
    </w:p>
    <w:p>
      <w:pPr>
        <w:pStyle w:val="Normal"/>
        <w:tabs>
          <w:tab w:val="left" w:pos="3495" w:leader="none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/>
          <w:sz w:val="26"/>
          <w:szCs w:val="26"/>
        </w:rPr>
        <w:t>Всего с учетом НДС: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оказано услуг на сумму:</w:t>
      </w:r>
    </w:p>
    <w:p>
      <w:pPr>
        <w:pStyle w:val="Normal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Перечисленные услуги выполнены полностью и в срок. Заказчик не имеет претензий по объему и качеству оказанных услуг.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pPr w:bottomFromText="0" w:horzAnchor="margin" w:leftFromText="180" w:rightFromText="180" w:tblpX="0" w:tblpY="293" w:topFromText="0" w:vertAnchor="text"/>
        <w:tblW w:w="9660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30"/>
        <w:gridCol w:w="4829"/>
      </w:tblGrid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Гарантирующий поставщик</w:t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both"/>
              <w:outlineLvl w:val="1"/>
              <w:rPr>
                <w:rFonts w:ascii="Times New Roman" w:hAnsi="Times New Roman" w:eastAsia="Arial Unicode MS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Государственный заказчик (Потребитель)</w:t>
            </w:r>
          </w:p>
        </w:tc>
      </w:tr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tabs>
                <w:tab w:val="left" w:pos="708" w:leader="none"/>
                <w:tab w:val="center" w:pos="4153" w:leader="none"/>
                <w:tab w:val="right" w:pos="8306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______________________  </w:t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</w:tbl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     </w:t>
      </w:r>
      <w:r>
        <w:rPr>
          <w:rFonts w:ascii="Times New Roman" w:hAnsi="Times New Roman"/>
          <w:b/>
        </w:rPr>
        <w:t>М.п.                                                                                        М.п.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bCs/>
          <w:sz w:val="22"/>
          <w:szCs w:val="22"/>
        </w:rPr>
        <w:t>«Акт выполненных работ (приема-передачи электрической энергии)</w:t>
      </w:r>
      <w:r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4"/>
          <w:szCs w:val="24"/>
        </w:rPr>
        <w:t>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5">
                <wp:simplePos x="0" y="0"/>
                <wp:positionH relativeFrom="margin">
                  <wp:posOffset>-42545</wp:posOffset>
                </wp:positionH>
                <wp:positionV relativeFrom="paragraph">
                  <wp:posOffset>186055</wp:posOffset>
                </wp:positionV>
                <wp:extent cx="6015355" cy="876300"/>
                <wp:effectExtent l="0" t="0" r="0" b="0"/>
                <wp:wrapSquare wrapText="bothSides"/>
                <wp:docPr id="4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355" cy="87630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41" w:tblpY="293" w:topFromText="0" w:vertAnchor="text"/>
                              <w:tblW w:w="9473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643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45" w:name="__UnoMark__1875_3832845691"/>
                                  <w:bookmarkEnd w:id="45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bookmarkStart w:id="46" w:name="__UnoMark__1876_3832845691"/>
                                  <w:bookmarkEnd w:id="46"/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Государственный заказчик 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Потребитель</w:t>
                                  </w:r>
                                  <w:bookmarkStart w:id="47" w:name="__UnoMark__1877_3832845691"/>
                                  <w:bookmarkEnd w:id="47"/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48" w:name="__UnoMark__1879_3832845691"/>
                                  <w:bookmarkStart w:id="49" w:name="__UnoMark__1878_3832845691"/>
                                  <w:bookmarkStart w:id="50" w:name="__UnoMark__1879_3832845691"/>
                                  <w:bookmarkStart w:id="51" w:name="__UnoMark__1878_3832845691"/>
                                  <w:bookmarkEnd w:id="50"/>
                                  <w:bookmarkEnd w:id="51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52" w:name="__UnoMark__1881_3832845691"/>
                                  <w:bookmarkStart w:id="53" w:name="__UnoMark__1880_3832845691"/>
                                  <w:bookmarkStart w:id="54" w:name="__UnoMark__1881_3832845691"/>
                                  <w:bookmarkStart w:id="55" w:name="__UnoMark__1880_3832845691"/>
                                  <w:bookmarkEnd w:id="54"/>
                                  <w:bookmarkEnd w:id="55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56" w:name="__UnoMark__1883_3832845691"/>
                                  <w:bookmarkStart w:id="57" w:name="__UnoMark__1882_3832845691"/>
                                  <w:bookmarkStart w:id="58" w:name="__UnoMark__1883_3832845691"/>
                                  <w:bookmarkStart w:id="59" w:name="__UnoMark__1882_3832845691"/>
                                  <w:bookmarkEnd w:id="58"/>
                                  <w:bookmarkEnd w:id="59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60" w:name="__UnoMark__1885_3832845691"/>
                                  <w:bookmarkStart w:id="61" w:name="__UnoMark__1884_3832845691"/>
                                  <w:bookmarkStart w:id="62" w:name="__UnoMark__1885_3832845691"/>
                                  <w:bookmarkStart w:id="63" w:name="__UnoMark__1884_3832845691"/>
                                  <w:bookmarkEnd w:id="62"/>
                                  <w:bookmarkEnd w:id="63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64" w:name="__UnoMark__1886_3832845691"/>
                                  <w:bookmarkEnd w:id="64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sz w:val="22"/>
                                      <w:szCs w:val="22"/>
                                    </w:rPr>
                                    <w:t xml:space="preserve"> _______________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iCs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65" w:name="__UnoMark__1887_3832845691"/>
                                  <w:bookmarkEnd w:id="65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66" w:name="__UnoMark__1888_3832845691"/>
                                  <w:bookmarkEnd w:id="66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________________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473.65pt;height:69pt;mso-wrap-distance-left:9pt;mso-wrap-distance-right:9pt;mso-wrap-distance-top:0pt;mso-wrap-distance-bottom:0pt;margin-top:14.65pt;mso-position-vertical-relative:text;margin-left:-3.3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41" w:tblpY="293" w:topFromText="0" w:vertAnchor="text"/>
                        <w:tblW w:w="9473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643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67" w:name="__UnoMark__1875_3832845691"/>
                            <w:bookmarkEnd w:id="6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bookmarkStart w:id="68" w:name="__UnoMark__1876_3832845691"/>
                            <w:bookmarkEnd w:id="68"/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Государственный заказчик 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Потребитель</w:t>
                            </w:r>
                            <w:bookmarkStart w:id="69" w:name="__UnoMark__1877_3832845691"/>
                            <w:bookmarkEnd w:id="69"/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70" w:name="__UnoMark__1879_3832845691"/>
                            <w:bookmarkStart w:id="71" w:name="__UnoMark__1878_3832845691"/>
                            <w:bookmarkStart w:id="72" w:name="__UnoMark__1879_3832845691"/>
                            <w:bookmarkStart w:id="73" w:name="__UnoMark__1878_3832845691"/>
                            <w:bookmarkEnd w:id="72"/>
                            <w:bookmarkEnd w:id="73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74" w:name="__UnoMark__1881_3832845691"/>
                            <w:bookmarkStart w:id="75" w:name="__UnoMark__1880_3832845691"/>
                            <w:bookmarkStart w:id="76" w:name="__UnoMark__1881_3832845691"/>
                            <w:bookmarkStart w:id="77" w:name="__UnoMark__1880_3832845691"/>
                            <w:bookmarkEnd w:id="76"/>
                            <w:bookmarkEnd w:id="77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78" w:name="__UnoMark__1883_3832845691"/>
                            <w:bookmarkStart w:id="79" w:name="__UnoMark__1882_3832845691"/>
                            <w:bookmarkStart w:id="80" w:name="__UnoMark__1883_3832845691"/>
                            <w:bookmarkStart w:id="81" w:name="__UnoMark__1882_3832845691"/>
                            <w:bookmarkEnd w:id="80"/>
                            <w:bookmarkEnd w:id="81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82" w:name="__UnoMark__1885_3832845691"/>
                            <w:bookmarkStart w:id="83" w:name="__UnoMark__1884_3832845691"/>
                            <w:bookmarkStart w:id="84" w:name="__UnoMark__1885_3832845691"/>
                            <w:bookmarkStart w:id="85" w:name="__UnoMark__1884_3832845691"/>
                            <w:bookmarkEnd w:id="84"/>
                            <w:bookmarkEnd w:id="85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86" w:name="__UnoMark__1886_3832845691"/>
                            <w:bookmarkEnd w:id="86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 _______________</w:t>
                            </w:r>
                            <w:r>
                              <w:rPr>
                                <w:rFonts w:ascii="Times New Roman" w:hAnsi="Times New Roman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87" w:name="__UnoMark__1887_3832845691"/>
                            <w:bookmarkEnd w:id="8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88" w:name="__UnoMark__1888_3832845691"/>
                            <w:bookmarkEnd w:id="88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________________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sectPr>
          <w:footerReference w:type="default" r:id="rId7"/>
          <w:type w:val="nextPage"/>
          <w:pgSz w:w="11906" w:h="16838"/>
          <w:pgMar w:left="1134" w:right="851" w:header="0" w:top="907" w:footer="561" w:bottom="851" w:gutter="0"/>
          <w:pgNumType w:fmt="decimal"/>
          <w:formProt w:val="false"/>
          <w:textDirection w:val="lrTb"/>
          <w:docGrid w:type="default" w:linePitch="240" w:charSpace="2047"/>
        </w:sect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right="-3" w:hanging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 9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государственному контракту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  <w:t>№ 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 xml:space="preserve">____________ от </w:t>
      </w:r>
      <w:r>
        <w:rPr>
          <w:rFonts w:ascii="Times New Roman" w:hAnsi="Times New Roman"/>
          <w:b/>
          <w:color w:val="3107A9"/>
          <w:sz w:val="24"/>
          <w:szCs w:val="24"/>
        </w:rPr>
        <w:t>____________</w:t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ind w:hanging="35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ответственных лиц и иная контактная информация</w:t>
      </w:r>
    </w:p>
    <w:p>
      <w:pPr>
        <w:pStyle w:val="Normal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p>
      <w:pPr>
        <w:pStyle w:val="Normal"/>
        <w:ind w:hanging="49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Гарантирующий поставщик</w:t>
      </w:r>
    </w:p>
    <w:tbl>
      <w:tblPr>
        <w:tblW w:w="10207" w:type="dxa"/>
        <w:jc w:val="left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5"/>
        <w:gridCol w:w="4424"/>
        <w:gridCol w:w="5358"/>
      </w:tblGrid>
      <w:tr>
        <w:trPr>
          <w:trHeight w:val="470" w:hRule="atLeast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3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Фамилия, имя, отчество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Телефон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Приемная телефон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8(415 2) 49-09-00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Приемная факс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8(415 2) 49-04-84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Инженер по договорам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 xml:space="preserve">8(415 2) </w:t>
            </w:r>
            <w:r>
              <w:rPr>
                <w:rFonts w:ascii="Times New Roman" w:hAnsi="Times New Roman"/>
                <w:sz w:val="22"/>
                <w:szCs w:val="22"/>
              </w:rPr>
              <w:t>49-01-63</w:t>
            </w:r>
          </w:p>
        </w:tc>
      </w:tr>
    </w:tbl>
    <w:p>
      <w:pPr>
        <w:pStyle w:val="Normal"/>
        <w:ind w:hanging="49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49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Государственный заказчик (Потребитель)</w:t>
      </w:r>
    </w:p>
    <w:tbl>
      <w:tblPr>
        <w:tblW w:w="10207" w:type="dxa"/>
        <w:jc w:val="left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08"/>
        <w:gridCol w:w="4950"/>
        <w:gridCol w:w="28"/>
        <w:gridCol w:w="4821"/>
      </w:tblGrid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8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ФИО/ № телефона</w:t>
            </w:r>
          </w:p>
        </w:tc>
      </w:tr>
      <w:tr>
        <w:trPr>
          <w:trHeight w:val="305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ФИО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ответственных за электрохозяйство</w:t>
            </w:r>
          </w:p>
        </w:tc>
        <w:tc>
          <w:tcPr>
            <w:tcW w:w="48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7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ФИО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ответственных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за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эксплуатацию ПУ</w:t>
            </w:r>
          </w:p>
        </w:tc>
        <w:tc>
          <w:tcPr>
            <w:tcW w:w="48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7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ФИО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ответственных право ведения оперативных переговоров, получения и принятия, подписания документов</w:t>
            </w:r>
          </w:p>
        </w:tc>
        <w:tc>
          <w:tcPr>
            <w:tcW w:w="48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7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99" w:hRule="atLeast"/>
        </w:trPr>
        <w:tc>
          <w:tcPr>
            <w:tcW w:w="102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120" w:after="120"/>
              <w:ind w:hanging="499"/>
              <w:jc w:val="center"/>
              <w:outlineLvl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Дополнительная информация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</w:tr>
      <w:tr>
        <w:trPr>
          <w:trHeight w:val="276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Номер мобильного телефона для направления уведомления о введении ограничения режима потребления электрической энергии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Адрес электронной почты для направления уведомления о введении ограничения режима потребления электрической энергии 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bottom"/>
          </w:tcPr>
          <w:p>
            <w:pPr>
              <w:pStyle w:val="Normal"/>
              <w:suppressAutoHyphens w:val="true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Адрес электронной почты для направления платежных документов и иной переписки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20"/>
              <w:spacing w:lineRule="auto" w:line="240"/>
              <w:jc w:val="center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102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Дополняется Потребителем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eastAsia="Times New Roman" w:cs="Times New Roman"/>
          <w:b w:val="false"/>
          <w:b w:val="false"/>
          <w:bCs w:val="false"/>
          <w:sz w:val="20"/>
          <w:szCs w:val="20"/>
          <w:lang w:eastAsia="ru-RU"/>
        </w:rPr>
      </w:pPr>
      <w:r>
        <w:rPr>
          <w:rFonts w:ascii="Times New Roman" w:hAnsi="Times New Roman"/>
          <w:sz w:val="22"/>
          <w:szCs w:val="22"/>
        </w:rPr>
        <w:t>Сетевые организации</w:t>
      </w:r>
    </w:p>
    <w:tbl>
      <w:tblPr>
        <w:tblW w:w="10207" w:type="dxa"/>
        <w:jc w:val="left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5"/>
        <w:gridCol w:w="4424"/>
        <w:gridCol w:w="5358"/>
      </w:tblGrid>
      <w:tr>
        <w:trPr/>
        <w:tc>
          <w:tcPr>
            <w:tcW w:w="102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филиал ПАО «Камчатскэнерго» Центральные электрические сети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Горячая линия:  8 (800) 234-29-39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ул. Сахалинская, 28 г. Петропавловск-Камчатский;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ул. Амурская, д. 5,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АО «Оборонэнерго»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3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 xml:space="preserve">8 800 222 32 20;  </w:t>
            </w: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ул. Морская, д. 5,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"РСО "Силуэт"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434343"/>
                <w:spacing w:val="0"/>
                <w:sz w:val="22"/>
                <w:szCs w:val="22"/>
                <w:lang w:eastAsia="ru-RU"/>
              </w:rPr>
              <w:t xml:space="preserve">+7 (963) 831-61-41; +7 (963) 830-14-14;  +7 (4152) 31-61-41 </w:t>
            </w:r>
            <w:hyperlink r:id="rId8">
              <w:r>
                <w:rPr>
                  <w:rStyle w:val="Strong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https://rsosiluet.ru/</w:t>
              </w:r>
            </w:hyperlink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ул. Бохняка 18, поз 101 (3 этаж)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АО "ТЭСК"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8 (4152) 30-55-60, </w:t>
            </w:r>
            <w:hyperlink r:id="rId9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ttps://tesk</w:t>
              </w:r>
            </w:hyperlink>
            <w:hyperlink r:id="rId10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</w:t>
              </w:r>
            </w:hyperlink>
            <w:hyperlink r:id="rId11">
              <w:r>
                <w:rPr>
                  <w:rStyle w:val="Style18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pk.ru/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г. Петропавловск-Камчатский, ул. Владивостокская, д. 29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"41 Электрическая сеть"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8 800 700 47 11, </w:t>
            </w:r>
            <w:hyperlink r:id="rId12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https://41-es.ru/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Камчатский край, пгт. Вулканный, ул. Центральная, д. 1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"Алеир"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>+7 (4152) 308 -688,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  <w:hyperlink r:id="rId13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https://aleir-kamchatka.ru/</w:t>
              </w:r>
            </w:hyperlink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>Проспект Победы 107 г. Петропавловск-Камчатский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"Петропавловск-Камчатский морской торговый порт"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EAEAEA" w:val="clear"/>
                <w:lang w:eastAsia="ru-RU"/>
              </w:rPr>
              <w:t>+7 (4152) 43-41-00, факс: +7 (4152) 43-44-19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</w:p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(4152) 43-46-15 / 31-00-01, </w:t>
            </w:r>
            <w:hyperlink r:id="rId14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http://port.kamchatka.ru/</w:t>
              </w:r>
            </w:hyperlink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г. Петропавловск-Камчатский, пл. Г. И. Щедрина, д. 2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"28- Электросеть"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(41531) 6-16-78 Оперативный тлф: 8-914-027-5521 </w:t>
            </w:r>
            <w:hyperlink r:id="rId15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http://28elset.ru/about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</w:p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684000, Российская Федерация, Камчатский край, Елизовский район, г. Елизово, ул. Магистральная, 2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/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"Терминал "Сероглазка""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hyperlink r:id="rId16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highlight w:val="white"/>
                  <w:lang w:eastAsia="ru-RU"/>
                </w:rPr>
                <w:t>+7 (4152) 466-682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 xml:space="preserve"> </w:t>
            </w:r>
            <w:hyperlink r:id="rId17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http://seroglazka.com/</w:t>
              </w:r>
            </w:hyperlink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 xml:space="preserve">г. Петропавловск-Камчатский, улица Мишенная, 131 </w:t>
            </w:r>
          </w:p>
          <w:p>
            <w:pPr>
              <w:pStyle w:val="Normal"/>
              <w:spacing w:before="0" w:after="0"/>
              <w:contextualSpacing/>
              <w:rPr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"МК Транс"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2"/>
              <w:spacing w:before="0" w:after="0"/>
              <w:contextualSpacing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ru-RU"/>
              </w:rPr>
              <w:t xml:space="preserve">+7 4152 252 055, </w:t>
            </w:r>
            <w:hyperlink r:id="rId18">
              <w:r>
                <w:rPr>
                  <w:rStyle w:val="Style10"/>
                  <w:rFonts w:eastAsia="Times New Roman" w:cs="Times New Roman"/>
                  <w:b w:val="false"/>
                  <w:bCs w:val="false"/>
                  <w:i w:val="false"/>
                  <w:caps w:val="false"/>
                  <w:smallCaps w:val="false"/>
                  <w:color w:val="000000"/>
                  <w:spacing w:val="0"/>
                  <w:sz w:val="22"/>
                  <w:szCs w:val="22"/>
                  <w:lang w:eastAsia="ru-RU"/>
                </w:rPr>
                <w:t>https://mktranskam.ru/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ru-RU"/>
              </w:rPr>
              <w:t>, 683031, Камчатский край, г Петропавловск-Камчатский, пр-кт Карла Маркса, д 29/1, офис 205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ООО «Камчатская энергетическая компания»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(800) 234-79-17, </w:t>
            </w:r>
            <w:hyperlink r:id="rId19">
              <w:r>
                <w:rPr>
                  <w:rStyle w:val="Style18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https://kek41.ru/</w:t>
              </w:r>
            </w:hyperlink>
          </w:p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683031, Камчатский край, г. Петропавловск-Камчатский, пр. Карла Маркса, д. 11А, пом. 3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"ОКЕАН-ГАЗ"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sz w:val="22"/>
                <w:szCs w:val="22"/>
                <w:lang w:eastAsia="ru-RU"/>
              </w:rPr>
              <w:t xml:space="preserve">+7 (4152) 42-06-01, +7(914) 628 51 44, +7(4152) 21 56 70, </w:t>
            </w:r>
            <w:hyperlink r:id="rId20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color w:val="auto"/>
                  <w:sz w:val="22"/>
                  <w:szCs w:val="22"/>
                  <w:lang w:eastAsia="ru-RU"/>
                </w:rPr>
                <w:t>https://oceangas.ru/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sz w:val="22"/>
                <w:szCs w:val="22"/>
                <w:lang w:eastAsia="ru-RU"/>
              </w:rPr>
              <w:t>,</w:t>
            </w:r>
          </w:p>
          <w:p>
            <w:pPr>
              <w:pStyle w:val="3"/>
              <w:spacing w:lineRule="auto" w:line="24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>Юридический адрес для отправки корреспонденции: 683009, Камчатский край, г. Петропавловск-Камчатский,  ул. Академика Королева, д. 35, кв. 25</w:t>
            </w:r>
          </w:p>
          <w:p>
            <w:pPr>
              <w:pStyle w:val="3"/>
              <w:widowControl/>
              <w:pBdr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>Фактический адрес для приема посетителей:</w:t>
            </w:r>
          </w:p>
          <w:p>
            <w:pPr>
              <w:pStyle w:val="Style20"/>
              <w:widowControl/>
              <w:pBdr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>г. Петропавловск-Камчатский, ул. Бохняка, д. 3, кв. первый этаж, вход со двора по центру здания (пластиковый модуль)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"Марлин"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2"/>
              <w:spacing w:before="0" w:after="0"/>
              <w:contextualSpacing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(4152) 42-02-09, </w:t>
            </w:r>
            <w:hyperlink r:id="rId21">
              <w:r>
                <w:rPr>
                  <w:rStyle w:val="Style10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http://intarsia.nethouse.ru</w:t>
              </w:r>
            </w:hyperlink>
          </w:p>
          <w:p>
            <w:pPr>
              <w:pStyle w:val="2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683000, Россия, Петропавловск-Камчатский, УЛ. ОЗЕРНОВСКАЯ КОСА, Д. 11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"Электролиния"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2"/>
              <w:spacing w:before="0" w:after="0"/>
              <w:contextualSpacing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+7 962 291 53 68, </w:t>
            </w:r>
            <w:hyperlink r:id="rId22">
              <w:r>
                <w:rPr>
                  <w:rStyle w:val="Style18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http://protoktp.ru/</w:t>
              </w:r>
            </w:hyperlink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,</w:t>
            </w:r>
          </w:p>
          <w:p>
            <w:pPr>
              <w:pStyle w:val="2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683003, КАМЧАТСКИЙ КРАЙ, Г. ПЕТРОПАВЛОВСК-КАМЧАТСКИЙ, УЛ. ЛЕНИНГРАДСКАЯ, Д. 65\1, КВ. 45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"ТАРГЕТЭН"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+7 (914) 022 7008, https://targeten.ru/</w:t>
            </w:r>
          </w:p>
          <w:p>
            <w:pPr>
              <w:pStyle w:val="2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683003, Камчатский край, г Петропавловск-Камчатский, ул Ленинградская, д 124а, кв.50</w:t>
            </w:r>
          </w:p>
        </w:tc>
      </w:tr>
    </w:tbl>
    <w:p>
      <w:pPr>
        <w:pStyle w:val="Normal"/>
        <w:ind w:hanging="56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  <w:lang w:eastAsia="ru-RU"/>
        </w:rPr>
      </w:r>
    </w:p>
    <w:p>
      <w:pPr>
        <w:pStyle w:val="Normal"/>
        <w:ind w:left="-142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ind w:left="-142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ind w:left="-142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Примечание</w:t>
      </w:r>
    </w:p>
    <w:p>
      <w:pPr>
        <w:pStyle w:val="Normal"/>
        <w:tabs>
          <w:tab w:val="center" w:pos="4153" w:leader="none"/>
          <w:tab w:val="right" w:pos="8306" w:leader="none"/>
        </w:tabs>
        <w:ind w:left="-142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При отсутствии круглосуточного дежурства оперативного электротехнического персонала дополнительно в списке указать номер телефона дежурного по предприятию</w:t>
      </w:r>
      <w:r>
        <w:rPr>
          <w:rFonts w:ascii="Times New Roman" w:hAnsi="Times New Roman"/>
        </w:rPr>
        <w:t>.</w:t>
      </w:r>
    </w:p>
    <w:p>
      <w:pPr>
        <w:pStyle w:val="Normal"/>
        <w:tabs>
          <w:tab w:val="center" w:pos="4153" w:leader="none"/>
          <w:tab w:val="right" w:pos="8306" w:leader="none"/>
        </w:tabs>
        <w:ind w:left="-142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enter" w:pos="4153" w:leader="none"/>
          <w:tab w:val="right" w:pos="8306" w:leader="none"/>
        </w:tabs>
        <w:ind w:left="-142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6">
                <wp:simplePos x="0" y="0"/>
                <wp:positionH relativeFrom="margin">
                  <wp:posOffset>-42545</wp:posOffset>
                </wp:positionH>
                <wp:positionV relativeFrom="paragraph">
                  <wp:posOffset>186055</wp:posOffset>
                </wp:positionV>
                <wp:extent cx="6015355" cy="876300"/>
                <wp:effectExtent l="0" t="0" r="0" b="0"/>
                <wp:wrapSquare wrapText="bothSides"/>
                <wp:docPr id="5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355" cy="87630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41" w:tblpY="293" w:topFromText="0" w:vertAnchor="text"/>
                              <w:tblW w:w="9473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643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Государственный заказчик 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Потребитель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 _________________ 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473.65pt;height:69pt;mso-wrap-distance-left:9pt;mso-wrap-distance-right:9pt;mso-wrap-distance-top:0pt;mso-wrap-distance-bottom:0pt;margin-top:14.65pt;mso-position-vertical-relative:text;margin-left:-3.3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41" w:tblpY="293" w:topFromText="0" w:vertAnchor="text"/>
                        <w:tblW w:w="9473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643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Государственный заказчик 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Потребитель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 _________________ 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iCs/>
          <w:color w:val="0000FF"/>
        </w:rPr>
      </w:pPr>
      <w:r>
        <w:rPr>
          <w:rFonts w:ascii="Times New Roman" w:hAnsi="Times New Roman"/>
          <w:iCs/>
          <w:color w:val="0000FF"/>
        </w:rPr>
      </w:r>
    </w:p>
    <w:p>
      <w:pPr>
        <w:pStyle w:val="Normal"/>
        <w:pBdr/>
        <w:rPr/>
      </w:pPr>
      <w:r>
        <w:rPr/>
      </w:r>
    </w:p>
    <w:sectPr>
      <w:footerReference w:type="default" r:id="rId23"/>
      <w:type w:val="nextPage"/>
      <w:pgSz w:w="11906" w:h="16838"/>
      <w:pgMar w:left="1276" w:right="708" w:header="0" w:top="993" w:footer="268" w:bottom="851" w:gutter="0"/>
      <w:pgNumType w:fmt="decimal"/>
      <w:formProt w:val="false"/>
      <w:titlePg/>
      <w:textDirection w:val="lrTb"/>
      <w:docGrid w:type="default" w:linePitch="272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af2"/>
      <w:tblW w:w="9918" w:type="dxa"/>
      <w:jc w:val="center"/>
      <w:tblInd w:w="0" w:type="dxa"/>
      <w:tblCellMar>
        <w:top w:w="0" w:type="dxa"/>
        <w:left w:w="108" w:type="dxa"/>
        <w:bottom w:w="0" w:type="dxa"/>
        <w:right w:w="108" w:type="dxa"/>
      </w:tblCellMar>
      <w:tblLook w:val="04a0" w:noVBand="1" w:noHBand="0" w:lastColumn="0" w:firstColumn="1" w:lastRow="0" w:firstRow="1"/>
    </w:tblPr>
    <w:tblGrid>
      <w:gridCol w:w="4530"/>
      <w:gridCol w:w="5387"/>
    </w:tblGrid>
    <w:tr>
      <w:trPr/>
      <w:tc>
        <w:tcPr>
          <w:tcW w:w="4530" w:type="dxa"/>
          <w:tcBorders/>
          <w:shd w:fill="auto" w:val="clear"/>
          <w:tcMar>
            <w:left w:w="108" w:type="dxa"/>
          </w:tcMar>
        </w:tcPr>
        <w:p>
          <w:pPr>
            <w:pStyle w:val="Normal"/>
            <w:spacing w:lineRule="auto" w:line="240" w:before="0" w:after="0"/>
            <w:rPr>
              <w:rFonts w:ascii="Times New Roman" w:hAnsi="Times New Roman"/>
              <w:sz w:val="18"/>
              <w:szCs w:val="18"/>
            </w:rPr>
          </w:pPr>
          <w:r>
            <w:rPr>
              <w:rFonts w:eastAsia="Times New Roman" w:cs="Times New Roman" w:ascii="Times New Roman" w:hAnsi="Times New Roman"/>
              <w:sz w:val="18"/>
              <w:szCs w:val="18"/>
              <w:lang w:eastAsia="ru-RU"/>
            </w:rPr>
            <w:t>Исполнитель</w:t>
          </w:r>
        </w:p>
      </w:tc>
      <w:tc>
        <w:tcPr>
          <w:tcW w:w="5387" w:type="dxa"/>
          <w:tcBorders/>
          <w:shd w:fill="auto" w:val="clear"/>
          <w:tcMar>
            <w:left w:w="108" w:type="dxa"/>
          </w:tcMar>
        </w:tcPr>
        <w:p>
          <w:pPr>
            <w:pStyle w:val="Normal"/>
            <w:spacing w:lineRule="auto" w:line="240" w:before="0" w:after="0"/>
            <w:rPr>
              <w:rFonts w:ascii="Times New Roman" w:hAnsi="Times New Roman"/>
              <w:sz w:val="18"/>
              <w:szCs w:val="18"/>
            </w:rPr>
          </w:pPr>
          <w:r>
            <w:rPr>
              <w:rFonts w:eastAsia="Times New Roman" w:cs="Times New Roman" w:ascii="Times New Roman" w:hAnsi="Times New Roman"/>
              <w:sz w:val="18"/>
              <w:szCs w:val="18"/>
              <w:lang w:eastAsia="ru-RU"/>
            </w:rPr>
            <w:t>Государственный заказчика (Потребитель)</w:t>
          </w:r>
          <w:r>
            <w:rPr>
              <w:rFonts w:eastAsia="Times New Roman" w:cs="Times New Roman" w:ascii="Times New Roman" w:hAnsi="Times New Roman"/>
              <w:sz w:val="22"/>
              <w:szCs w:val="22"/>
              <w:lang w:eastAsia="ru-RU"/>
            </w:rPr>
            <w:t xml:space="preserve"> </w:t>
          </w:r>
        </w:p>
      </w:tc>
    </w:tr>
    <w:tr>
      <w:trPr/>
      <w:tc>
        <w:tcPr>
          <w:tcW w:w="9917" w:type="dxa"/>
          <w:gridSpan w:val="2"/>
          <w:tcBorders/>
          <w:shd w:fill="auto" w:val="clear"/>
          <w:tcMar>
            <w:left w:w="108" w:type="dxa"/>
          </w:tcMar>
        </w:tcPr>
        <w:p>
          <w:pPr>
            <w:pStyle w:val="Style24"/>
            <w:spacing w:lineRule="auto" w:line="240" w:before="0" w:after="0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eastAsia="Times New Roman" w:cs="Times New Roman" w:ascii="Times New Roman" w:hAnsi="Times New Roman"/>
              <w:sz w:val="18"/>
              <w:szCs w:val="18"/>
              <w:lang w:eastAsia="ru-RU"/>
            </w:rPr>
            <w:t>Государственный контракт энергоснабжения</w:t>
          </w:r>
        </w:p>
      </w:tc>
    </w:tr>
  </w:tbl>
  <w:p>
    <w:pPr>
      <w:pStyle w:val="Style24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  <w:tbl>
    <w:tblPr>
      <w:tblStyle w:val="af2"/>
      <w:tblW w:w="9853" w:type="dxa"/>
      <w:jc w:val="left"/>
      <w:tblInd w:w="0" w:type="dxa"/>
      <w:tblCellMar>
        <w:top w:w="0" w:type="dxa"/>
        <w:left w:w="108" w:type="dxa"/>
        <w:bottom w:w="0" w:type="dxa"/>
        <w:right w:w="108" w:type="dxa"/>
      </w:tblCellMar>
      <w:tblLook w:val="04a0" w:noVBand="1" w:noHBand="0" w:lastColumn="0" w:firstColumn="1" w:lastRow="0" w:firstRow="1"/>
    </w:tblPr>
    <w:tblGrid>
      <w:gridCol w:w="4926"/>
      <w:gridCol w:w="4926"/>
    </w:tblGrid>
    <w:tr>
      <w:trPr/>
      <w:tc>
        <w:tcPr>
          <w:tcW w:w="4926" w:type="dxa"/>
          <w:tcBorders/>
          <w:shd w:fill="auto" w:val="clear"/>
          <w:tcMar>
            <w:left w:w="108" w:type="dxa"/>
          </w:tcMar>
        </w:tcPr>
        <w:p>
          <w:pPr>
            <w:pStyle w:val="Normal"/>
            <w:spacing w:lineRule="auto" w:line="240" w:before="0" w:after="0"/>
            <w:rPr>
              <w:rFonts w:ascii="Times New Roman" w:hAnsi="Times New Roman"/>
              <w:sz w:val="18"/>
              <w:szCs w:val="18"/>
            </w:rPr>
          </w:pPr>
          <w:r>
            <w:rPr>
              <w:rFonts w:eastAsia="Times New Roman" w:cs="Times New Roman" w:ascii="Times New Roman" w:hAnsi="Times New Roman"/>
              <w:sz w:val="18"/>
              <w:szCs w:val="18"/>
              <w:lang w:eastAsia="ru-RU"/>
            </w:rPr>
            <w:t>Исполнитель</w:t>
          </w:r>
        </w:p>
      </w:tc>
      <w:tc>
        <w:tcPr>
          <w:tcW w:w="4926" w:type="dxa"/>
          <w:tcBorders/>
          <w:shd w:fill="auto" w:val="clear"/>
          <w:tcMar>
            <w:left w:w="108" w:type="dxa"/>
          </w:tcMar>
        </w:tcPr>
        <w:p>
          <w:pPr>
            <w:pStyle w:val="Normal"/>
            <w:spacing w:lineRule="auto" w:line="240" w:before="0" w:after="0"/>
            <w:rPr>
              <w:rFonts w:ascii="Times New Roman" w:hAnsi="Times New Roman"/>
              <w:sz w:val="18"/>
              <w:szCs w:val="18"/>
            </w:rPr>
          </w:pPr>
          <w:r>
            <w:rPr>
              <w:rFonts w:eastAsia="Times New Roman" w:cs="Times New Roman" w:ascii="Times New Roman" w:hAnsi="Times New Roman"/>
              <w:sz w:val="18"/>
              <w:szCs w:val="18"/>
              <w:lang w:eastAsia="ru-RU"/>
            </w:rPr>
            <w:t>Потребитель</w:t>
          </w:r>
        </w:p>
      </w:tc>
    </w:tr>
    <w:tr>
      <w:trPr/>
      <w:tc>
        <w:tcPr>
          <w:tcW w:w="9852" w:type="dxa"/>
          <w:gridSpan w:val="2"/>
          <w:tcBorders/>
          <w:shd w:fill="auto" w:val="clear"/>
          <w:tcMar>
            <w:left w:w="108" w:type="dxa"/>
          </w:tcMar>
        </w:tcPr>
        <w:p>
          <w:pPr>
            <w:pStyle w:val="Style24"/>
            <w:spacing w:lineRule="auto" w:line="240" w:before="0" w:after="0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eastAsia="Times New Roman" w:cs="Times New Roman" w:ascii="Times New Roman" w:hAnsi="Times New Roman"/>
              <w:sz w:val="18"/>
              <w:szCs w:val="18"/>
              <w:lang w:eastAsia="ru-RU"/>
            </w:rPr>
            <w:t>Государственный контракт энергоснабжения</w:t>
          </w:r>
        </w:p>
      </w:tc>
    </w:tr>
  </w:tbl>
  <w:p>
    <w:pPr>
      <w:pStyle w:val="Style24"/>
      <w:ind w:right="360" w:hanging="0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sz w:val="22"/>
        <w:b/>
        <w:szCs w:val="20"/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fals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lvl w:ilvl="0">
      <w:start w:val="1"/>
      <w:numFmt w:val="decimal"/>
      <w:lvlText w:val="%1."/>
      <w:lvlJc w:val="left"/>
      <w:pPr>
        <w:ind w:left="1020" w:hanging="1020"/>
      </w:pPr>
    </w:lvl>
    <w:lvl w:ilvl="1">
      <w:start w:val="1"/>
      <w:numFmt w:val="decimal"/>
      <w:lvlText w:val="%1.%2."/>
      <w:lvlJc w:val="left"/>
      <w:pPr>
        <w:ind w:left="1020" w:hanging="102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1020" w:hanging="1020"/>
      </w:pPr>
    </w:lvl>
    <w:lvl w:ilvl="3">
      <w:start w:val="1"/>
      <w:numFmt w:val="decimal"/>
      <w:lvlText w:val="%1.%2.%3.%4."/>
      <w:lvlJc w:val="left"/>
      <w:pPr>
        <w:ind w:left="1020" w:hanging="10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lvl w:ilvl="0">
      <w:start w:val="2"/>
      <w:numFmt w:val="decimal"/>
      <w:lvlText w:val="%1."/>
      <w:lvlJc w:val="left"/>
      <w:pPr>
        <w:ind w:left="360" w:hanging="360"/>
      </w:pPr>
      <w:rPr>
        <w:sz w:val="22"/>
        <w:b/>
        <w:rFonts w:ascii="Times New Roman" w:hAnsi="Times New Roman"/>
        <w:color w:val="00000A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2"/>
        <w:b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2"/>
        <w:b/>
        <w:rFonts w:ascii="Times New Roman" w:hAnsi="Times New Roman"/>
        <w:color w:val="00000A"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sz w:val="22"/>
        <w:b/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/>
        <w:szCs w:val="20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  <w:position w:val="0"/>
        <w:sz w:val="20"/>
        <w:b/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8"/>
      <w:numFmt w:val="decimal"/>
      <w:lvlText w:val="%1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234e"/>
    <w:pPr>
      <w:widowControl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sz w:val="20"/>
      <w:szCs w:val="20"/>
      <w:lang w:eastAsia="ru-RU" w:val="ru-RU" w:bidi="ar-SA"/>
    </w:rPr>
  </w:style>
  <w:style w:type="paragraph" w:styleId="1">
    <w:name w:val="Heading 1"/>
    <w:basedOn w:val="Normal"/>
    <w:link w:val="10"/>
    <w:qFormat/>
    <w:rsid w:val="0000234e"/>
    <w:pPr>
      <w:keepNext w:val="true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Normal"/>
    <w:link w:val="20"/>
    <w:qFormat/>
    <w:rsid w:val="0000234e"/>
    <w:pPr>
      <w:keepNext w:val="true"/>
      <w:outlineLvl w:val="1"/>
    </w:pPr>
    <w:rPr>
      <w:rFonts w:ascii="Times New Roman" w:hAnsi="Times New Roman"/>
      <w:b/>
    </w:rPr>
  </w:style>
  <w:style w:type="paragraph" w:styleId="3">
    <w:name w:val="Heading 3"/>
    <w:basedOn w:val="Normal"/>
    <w:link w:val="30"/>
    <w:qFormat/>
    <w:rsid w:val="0000234e"/>
    <w:pPr>
      <w:keepNext w:val="true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Normal"/>
    <w:link w:val="40"/>
    <w:qFormat/>
    <w:rsid w:val="0000234e"/>
    <w:pPr>
      <w:keepNext w:val="true"/>
      <w:jc w:val="center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Normal"/>
    <w:link w:val="50"/>
    <w:qFormat/>
    <w:rsid w:val="0000234e"/>
    <w:pPr>
      <w:keepNext w:val="true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Normal"/>
    <w:link w:val="60"/>
    <w:qFormat/>
    <w:rsid w:val="0000234e"/>
    <w:pPr>
      <w:keepNext w:val="true"/>
      <w:ind w:right="164" w:hanging="0"/>
      <w:outlineLvl w:val="5"/>
    </w:pPr>
    <w:rPr>
      <w:rFonts w:ascii="Times New Roman" w:hAnsi="Times New Roman"/>
      <w:b/>
      <w:bCs/>
      <w:sz w:val="24"/>
    </w:rPr>
  </w:style>
  <w:style w:type="paragraph" w:styleId="7">
    <w:name w:val="Heading 7"/>
    <w:basedOn w:val="Normal"/>
    <w:link w:val="70"/>
    <w:qFormat/>
    <w:rsid w:val="0000234e"/>
    <w:pPr>
      <w:keepNext w:val="true"/>
      <w:ind w:left="360" w:right="254" w:hanging="0"/>
      <w:jc w:val="both"/>
      <w:outlineLvl w:val="6"/>
    </w:pPr>
    <w:rPr>
      <w:rFonts w:ascii="Times New Roman" w:hAnsi="Times New Roman"/>
      <w:bCs/>
      <w:sz w:val="24"/>
    </w:rPr>
  </w:style>
  <w:style w:type="paragraph" w:styleId="8">
    <w:name w:val="Heading 8"/>
    <w:basedOn w:val="Normal"/>
    <w:link w:val="80"/>
    <w:qFormat/>
    <w:rsid w:val="0000234e"/>
    <w:pPr>
      <w:keepNext w:val="true"/>
      <w:spacing w:lineRule="atLeast" w:line="240"/>
      <w:ind w:left="360" w:right="226" w:hanging="0"/>
      <w:jc w:val="both"/>
      <w:outlineLvl w:val="7"/>
    </w:pPr>
    <w:rPr>
      <w:rFonts w:ascii="Times New Roman" w:hAnsi="Times New Roman"/>
      <w:i/>
      <w:iCs/>
      <w:sz w:val="26"/>
    </w:rPr>
  </w:style>
  <w:style w:type="paragraph" w:styleId="9">
    <w:name w:val="Heading 9"/>
    <w:basedOn w:val="Normal"/>
    <w:link w:val="90"/>
    <w:qFormat/>
    <w:rsid w:val="0000234e"/>
    <w:pPr>
      <w:keepNext w:val="true"/>
      <w:spacing w:lineRule="atLeast" w:line="240"/>
      <w:ind w:left="360" w:right="226" w:hanging="0"/>
      <w:jc w:val="both"/>
      <w:outlineLvl w:val="8"/>
    </w:pPr>
    <w:rPr>
      <w:rFonts w:ascii="Times New Roman" w:hAnsi="Times New Roman"/>
      <w:b/>
      <w:bCs/>
      <w:i/>
      <w:iCs/>
      <w:sz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00234e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21" w:customStyle="1">
    <w:name w:val="Заголовок 2 Знак"/>
    <w:basedOn w:val="DefaultParagraphFont"/>
    <w:link w:val="2"/>
    <w:qFormat/>
    <w:rsid w:val="0000234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31" w:customStyle="1">
    <w:name w:val="Заголовок 3 Знак"/>
    <w:basedOn w:val="DefaultParagraphFont"/>
    <w:link w:val="3"/>
    <w:qFormat/>
    <w:rsid w:val="0000234e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41" w:customStyle="1">
    <w:name w:val="Заголовок 4 Знак"/>
    <w:basedOn w:val="DefaultParagraphFont"/>
    <w:link w:val="4"/>
    <w:qFormat/>
    <w:rsid w:val="0000234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51" w:customStyle="1">
    <w:name w:val="Заголовок 5 Знак"/>
    <w:basedOn w:val="DefaultParagraphFont"/>
    <w:link w:val="5"/>
    <w:qFormat/>
    <w:rsid w:val="0000234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61" w:customStyle="1">
    <w:name w:val="Заголовок 6 Знак"/>
    <w:basedOn w:val="DefaultParagraphFont"/>
    <w:link w:val="6"/>
    <w:qFormat/>
    <w:rsid w:val="0000234e"/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character" w:styleId="71" w:customStyle="1">
    <w:name w:val="Заголовок 7 Знак"/>
    <w:basedOn w:val="DefaultParagraphFont"/>
    <w:link w:val="7"/>
    <w:qFormat/>
    <w:rsid w:val="0000234e"/>
    <w:rPr>
      <w:rFonts w:ascii="Times New Roman" w:hAnsi="Times New Roman" w:eastAsia="Times New Roman" w:cs="Times New Roman"/>
      <w:bCs/>
      <w:sz w:val="24"/>
      <w:szCs w:val="20"/>
      <w:lang w:eastAsia="ru-RU"/>
    </w:rPr>
  </w:style>
  <w:style w:type="character" w:styleId="81" w:customStyle="1">
    <w:name w:val="Заголовок 8 Знак"/>
    <w:basedOn w:val="DefaultParagraphFont"/>
    <w:link w:val="8"/>
    <w:qFormat/>
    <w:rsid w:val="0000234e"/>
    <w:rPr>
      <w:rFonts w:ascii="Times New Roman" w:hAnsi="Times New Roman" w:eastAsia="Times New Roman" w:cs="Times New Roman"/>
      <w:i/>
      <w:iCs/>
      <w:sz w:val="26"/>
      <w:szCs w:val="20"/>
      <w:lang w:eastAsia="ru-RU"/>
    </w:rPr>
  </w:style>
  <w:style w:type="character" w:styleId="91" w:customStyle="1">
    <w:name w:val="Заголовок 9 Знак"/>
    <w:basedOn w:val="DefaultParagraphFont"/>
    <w:link w:val="9"/>
    <w:qFormat/>
    <w:rsid w:val="0000234e"/>
    <w:rPr>
      <w:rFonts w:ascii="Times New Roman" w:hAnsi="Times New Roman" w:eastAsia="Times New Roman" w:cs="Times New Roman"/>
      <w:b/>
      <w:bCs/>
      <w:i/>
      <w:iCs/>
      <w:sz w:val="26"/>
      <w:szCs w:val="20"/>
      <w:lang w:eastAsia="ru-RU"/>
    </w:rPr>
  </w:style>
  <w:style w:type="character" w:styleId="Style5" w:customStyle="1">
    <w:name w:val="Основной текст Знак"/>
    <w:basedOn w:val="DefaultParagraphFont"/>
    <w:link w:val="a3"/>
    <w:qFormat/>
    <w:rsid w:val="0000234e"/>
    <w:rPr>
      <w:rFonts w:ascii="Arial" w:hAnsi="Arial" w:eastAsia="Times New Roman" w:cs="Times New Roman"/>
      <w:sz w:val="24"/>
      <w:szCs w:val="20"/>
      <w:lang w:eastAsia="ru-RU"/>
    </w:rPr>
  </w:style>
  <w:style w:type="character" w:styleId="22" w:customStyle="1">
    <w:name w:val="Основной текст 2 Знак"/>
    <w:basedOn w:val="DefaultParagraphFont"/>
    <w:link w:val="21"/>
    <w:qFormat/>
    <w:rsid w:val="0000234e"/>
    <w:rPr>
      <w:rFonts w:ascii="Times New Roman" w:hAnsi="Times New Roman" w:eastAsia="Times New Roman" w:cs="Times New Roman"/>
      <w:szCs w:val="20"/>
      <w:lang w:eastAsia="ru-RU"/>
    </w:rPr>
  </w:style>
  <w:style w:type="character" w:styleId="Style6" w:customStyle="1">
    <w:name w:val="Нижний колонтитул Знак"/>
    <w:basedOn w:val="DefaultParagraphFont"/>
    <w:link w:val="a5"/>
    <w:uiPriority w:val="99"/>
    <w:qFormat/>
    <w:rsid w:val="0000234e"/>
    <w:rPr>
      <w:rFonts w:ascii="Arial" w:hAnsi="Arial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qFormat/>
    <w:rsid w:val="0000234e"/>
    <w:rPr/>
  </w:style>
  <w:style w:type="character" w:styleId="32" w:customStyle="1">
    <w:name w:val="Основной текст 3 Знак"/>
    <w:basedOn w:val="DefaultParagraphFont"/>
    <w:link w:val="31"/>
    <w:qFormat/>
    <w:rsid w:val="0000234e"/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Style7" w:customStyle="1">
    <w:name w:val="Заголовок Знак"/>
    <w:basedOn w:val="DefaultParagraphFont"/>
    <w:link w:val="a8"/>
    <w:qFormat/>
    <w:rsid w:val="0000234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8" w:customStyle="1">
    <w:name w:val="Верхний колонтитул Знак"/>
    <w:basedOn w:val="DefaultParagraphFont"/>
    <w:link w:val="ab"/>
    <w:qFormat/>
    <w:rsid w:val="0000234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Основной текст с отступом Знак"/>
    <w:basedOn w:val="DefaultParagraphFont"/>
    <w:link w:val="ad"/>
    <w:qFormat/>
    <w:rsid w:val="0000234e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0">
    <w:name w:val="Интернет-ссылка"/>
    <w:rsid w:val="0000234e"/>
    <w:rPr>
      <w:color w:val="0000FF"/>
      <w:u w:val="single"/>
    </w:rPr>
  </w:style>
  <w:style w:type="character" w:styleId="Style11" w:customStyle="1">
    <w:name w:val="Шапка Знак"/>
    <w:basedOn w:val="DefaultParagraphFont"/>
    <w:link w:val="af0"/>
    <w:qFormat/>
    <w:rsid w:val="0000234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af3"/>
    <w:qFormat/>
    <w:rsid w:val="0000234e"/>
    <w:rPr>
      <w:rFonts w:ascii="Tahoma" w:hAnsi="Tahoma" w:eastAsia="Times New Roman" w:cs="Times New Roman"/>
      <w:sz w:val="16"/>
      <w:szCs w:val="16"/>
      <w:lang w:eastAsia="ru-RU"/>
    </w:rPr>
  </w:style>
  <w:style w:type="character" w:styleId="Style13" w:customStyle="1">
    <w:name w:val="Заголовок сообщения (текст)"/>
    <w:qFormat/>
    <w:rsid w:val="0000234e"/>
    <w:rPr>
      <w:rFonts w:ascii="Arial" w:hAnsi="Arial" w:cs="Arial"/>
      <w:b/>
      <w:bCs w:val="false"/>
      <w:spacing w:val="-4"/>
      <w:position w:val="0"/>
      <w:sz w:val="18"/>
      <w:sz w:val="18"/>
      <w:vertAlign w:val="baseline"/>
    </w:rPr>
  </w:style>
  <w:style w:type="character" w:styleId="13" w:customStyle="1">
    <w:name w:val="ТР_13_обычный Знак"/>
    <w:link w:val="13"/>
    <w:qFormat/>
    <w:rsid w:val="0000234e"/>
    <w:rPr>
      <w:rFonts w:ascii="Times New Roman" w:hAnsi="Times New Roman" w:eastAsia="Times New Roman" w:cs="Times New Roman"/>
      <w:color w:val="421CE2"/>
      <w:sz w:val="26"/>
      <w:szCs w:val="26"/>
      <w:lang w:eastAsia="ru-RU"/>
    </w:rPr>
  </w:style>
  <w:style w:type="character" w:styleId="131" w:customStyle="1">
    <w:name w:val="ТР_13_жирный Знак"/>
    <w:link w:val="131"/>
    <w:qFormat/>
    <w:rsid w:val="0000234e"/>
    <w:rPr>
      <w:rFonts w:ascii="Times New Roman" w:hAnsi="Times New Roman" w:eastAsia="Times New Roman" w:cs="Times New Roman"/>
      <w:b/>
      <w:color w:val="421CE2"/>
      <w:sz w:val="26"/>
      <w:szCs w:val="20"/>
      <w:lang w:eastAsia="ru-RU"/>
    </w:rPr>
  </w:style>
  <w:style w:type="character" w:styleId="12" w:customStyle="1">
    <w:name w:val="ТР_12_жир Знак"/>
    <w:link w:val="12"/>
    <w:qFormat/>
    <w:rsid w:val="0000234e"/>
    <w:rPr>
      <w:rFonts w:ascii="Times New Roman" w:hAnsi="Times New Roman" w:eastAsia="Times New Roman" w:cs="Times New Roman"/>
      <w:b/>
      <w:color w:val="421CE2"/>
      <w:sz w:val="24"/>
      <w:szCs w:val="24"/>
      <w:lang w:val="en-US" w:eastAsia="ru-RU"/>
    </w:rPr>
  </w:style>
  <w:style w:type="character" w:styleId="115" w:customStyle="1">
    <w:name w:val="Тр115_обычн Знак"/>
    <w:link w:val="115"/>
    <w:qFormat/>
    <w:rsid w:val="0000234e"/>
    <w:rPr>
      <w:rFonts w:ascii="Times New Roman" w:hAnsi="Times New Roman" w:eastAsia="Times New Roman" w:cs="Times New Roman"/>
      <w:color w:val="421CE2"/>
      <w:sz w:val="24"/>
      <w:szCs w:val="20"/>
      <w:lang w:eastAsia="ru-RU"/>
    </w:rPr>
  </w:style>
  <w:style w:type="character" w:styleId="125" w:customStyle="1">
    <w:name w:val="Обычный125Жир Знак"/>
    <w:link w:val="125"/>
    <w:qFormat/>
    <w:rsid w:val="0000234e"/>
    <w:rPr>
      <w:rFonts w:ascii="Times New Roman" w:hAnsi="Times New Roman" w:eastAsia="Times New Roman" w:cs="Times New Roman"/>
      <w:b/>
      <w:bCs/>
      <w:color w:val="0000FF"/>
      <w:sz w:val="25"/>
      <w:szCs w:val="25"/>
      <w:lang w:eastAsia="ru-RU"/>
    </w:rPr>
  </w:style>
  <w:style w:type="character" w:styleId="121" w:customStyle="1">
    <w:name w:val="Об12жир Знак"/>
    <w:link w:val="122"/>
    <w:qFormat/>
    <w:locked/>
    <w:rsid w:val="0000234e"/>
    <w:rPr>
      <w:b/>
      <w:bCs/>
      <w:color w:val="0000FF"/>
      <w:sz w:val="24"/>
      <w:szCs w:val="24"/>
    </w:rPr>
  </w:style>
  <w:style w:type="character" w:styleId="132" w:customStyle="1">
    <w:name w:val="Об_13_Жир Знак"/>
    <w:link w:val="133"/>
    <w:qFormat/>
    <w:rsid w:val="0000234e"/>
    <w:rPr>
      <w:rFonts w:ascii="Times New Roman" w:hAnsi="Times New Roman" w:eastAsia="Times New Roman" w:cs="Times New Roman"/>
      <w:b/>
      <w:color w:val="0000FF"/>
      <w:sz w:val="26"/>
      <w:szCs w:val="26"/>
      <w:lang w:eastAsia="ru-RU"/>
    </w:rPr>
  </w:style>
  <w:style w:type="character" w:styleId="23" w:customStyle="1">
    <w:name w:val="Основной текст с отступом 2 Знак"/>
    <w:basedOn w:val="DefaultParagraphFont"/>
    <w:link w:val="23"/>
    <w:qFormat/>
    <w:rsid w:val="0000234e"/>
    <w:rPr>
      <w:rFonts w:ascii="Arial" w:hAnsi="Arial" w:eastAsia="Times New Roman" w:cs="Times New Roman"/>
      <w:sz w:val="20"/>
      <w:szCs w:val="20"/>
      <w:lang w:eastAsia="ru-RU"/>
    </w:rPr>
  </w:style>
  <w:style w:type="character" w:styleId="Style14" w:customStyle="1">
    <w:name w:val="Текст Знак"/>
    <w:basedOn w:val="DefaultParagraphFont"/>
    <w:link w:val="afb"/>
    <w:qFormat/>
    <w:rsid w:val="0000234e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14" w:customStyle="1">
    <w:name w:val="Стиль1_св-ва документа Знак"/>
    <w:link w:val="1-"/>
    <w:qFormat/>
    <w:rsid w:val="0000234e"/>
    <w:rPr>
      <w:rFonts w:ascii="Times New Roman" w:hAnsi="Times New Roman" w:eastAsia="Times New Roman" w:cs="Times New Roman"/>
      <w:b/>
      <w:bCs/>
      <w:sz w:val="25"/>
      <w:szCs w:val="25"/>
      <w:lang w:val="en-US" w:eastAsia="ru-RU"/>
    </w:rPr>
  </w:style>
  <w:style w:type="character" w:styleId="10" w:customStyle="1">
    <w:name w:val="ТР_10_Жир Знак"/>
    <w:link w:val="100"/>
    <w:qFormat/>
    <w:rsid w:val="0000234e"/>
    <w:rPr>
      <w:rFonts w:ascii="Times New Roman" w:hAnsi="Times New Roman" w:eastAsia="Times New Roman" w:cs="Times New Roman"/>
      <w:b/>
      <w:color w:val="0000FF"/>
      <w:sz w:val="20"/>
      <w:szCs w:val="20"/>
      <w:lang w:eastAsia="ru-RU"/>
    </w:rPr>
  </w:style>
  <w:style w:type="character" w:styleId="101" w:customStyle="1">
    <w:name w:val="ТР_10 Знак"/>
    <w:link w:val="102"/>
    <w:qFormat/>
    <w:rsid w:val="0000234e"/>
    <w:rPr>
      <w:rFonts w:ascii="Times New Roman" w:hAnsi="Times New Roman" w:eastAsia="Times New Roman" w:cs="Times New Roman"/>
      <w:color w:val="0000FF"/>
      <w:sz w:val="20"/>
      <w:szCs w:val="20"/>
      <w:lang w:eastAsia="ru-RU"/>
    </w:rPr>
  </w:style>
  <w:style w:type="character" w:styleId="102" w:customStyle="1">
    <w:name w:val="Тр_10_Жир Знак"/>
    <w:link w:val="104"/>
    <w:qFormat/>
    <w:rsid w:val="0000234e"/>
    <w:rPr>
      <w:rFonts w:ascii="Times New Roman" w:hAnsi="Times New Roman" w:eastAsia="Times New Roman" w:cs="Times New Roman"/>
      <w:b/>
      <w:color w:val="3333FF"/>
      <w:sz w:val="20"/>
      <w:szCs w:val="20"/>
      <w:lang w:eastAsia="ru-RU"/>
    </w:rPr>
  </w:style>
  <w:style w:type="character" w:styleId="Annotationreference">
    <w:name w:val="annotation reference"/>
    <w:qFormat/>
    <w:rsid w:val="0000234e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fe"/>
    <w:qFormat/>
    <w:rsid w:val="0000234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link w:val="aff0"/>
    <w:qFormat/>
    <w:rsid w:val="0000234e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7" w:customStyle="1">
    <w:name w:val="Основной текст_"/>
    <w:basedOn w:val="DefaultParagraphFont"/>
    <w:link w:val="14"/>
    <w:qFormat/>
    <w:rsid w:val="0000234e"/>
    <w:rPr>
      <w:spacing w:val="-2"/>
      <w:sz w:val="18"/>
      <w:szCs w:val="18"/>
      <w:shd w:fill="FFFFFF" w:val="clear"/>
    </w:rPr>
  </w:style>
  <w:style w:type="character" w:styleId="FollowedHyperlink">
    <w:name w:val="FollowedHyperlink"/>
    <w:basedOn w:val="DefaultParagraphFont"/>
    <w:semiHidden/>
    <w:unhideWhenUsed/>
    <w:qFormat/>
    <w:rsid w:val="0000234e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00234e"/>
    <w:rPr>
      <w:b/>
      <w:bCs/>
    </w:rPr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b/>
      <w:i w:val="false"/>
    </w:rPr>
  </w:style>
  <w:style w:type="character" w:styleId="ListLabel3">
    <w:name w:val="ListLabel 3"/>
    <w:qFormat/>
    <w:rPr>
      <w:b/>
    </w:rPr>
  </w:style>
  <w:style w:type="character" w:styleId="ListLabel4">
    <w:name w:val="ListLabel 4"/>
    <w:qFormat/>
    <w:rPr>
      <w:b/>
      <w:i w:val="false"/>
    </w:rPr>
  </w:style>
  <w:style w:type="character" w:styleId="ListLabel5">
    <w:name w:val="ListLabel 5"/>
    <w:qFormat/>
    <w:rPr>
      <w:b/>
    </w:rPr>
  </w:style>
  <w:style w:type="character" w:styleId="ListLabel6">
    <w:name w:val="ListLabel 6"/>
    <w:qFormat/>
    <w:rPr>
      <w:b/>
    </w:rPr>
  </w:style>
  <w:style w:type="character" w:styleId="ListLabel7">
    <w:name w:val="ListLabel 7"/>
    <w:qFormat/>
    <w:rPr>
      <w:rFonts w:eastAsia="Times New Roman" w:cs="Times New Roman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b/>
    </w:rPr>
  </w:style>
  <w:style w:type="character" w:styleId="ListLabel12">
    <w:name w:val="ListLabel 12"/>
    <w:qFormat/>
    <w:rPr>
      <w:b/>
      <w:i w:val="false"/>
    </w:rPr>
  </w:style>
  <w:style w:type="character" w:styleId="ListLabel13">
    <w:name w:val="ListLabel 13"/>
    <w:qFormat/>
    <w:rPr>
      <w:b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b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b/>
      <w:i w:val="false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i w:val="false"/>
    </w:rPr>
  </w:style>
  <w:style w:type="character" w:styleId="ListLabel35">
    <w:name w:val="ListLabel 35"/>
    <w:qFormat/>
    <w:rPr>
      <w:b/>
      <w:i w:val="false"/>
    </w:rPr>
  </w:style>
  <w:style w:type="character" w:styleId="ListLabel36">
    <w:name w:val="ListLabel 36"/>
    <w:qFormat/>
    <w:rPr>
      <w:b w:val="false"/>
      <w:i w:val="false"/>
    </w:rPr>
  </w:style>
  <w:style w:type="character" w:styleId="ListLabel37">
    <w:name w:val="ListLabel 37"/>
    <w:qFormat/>
    <w:rPr>
      <w:i w:val="false"/>
    </w:rPr>
  </w:style>
  <w:style w:type="character" w:styleId="ListLabel38">
    <w:name w:val="ListLabel 38"/>
    <w:qFormat/>
    <w:rPr>
      <w:i w:val="false"/>
    </w:rPr>
  </w:style>
  <w:style w:type="character" w:styleId="ListLabel39">
    <w:name w:val="ListLabel 39"/>
    <w:qFormat/>
    <w:rPr>
      <w:i w:val="false"/>
    </w:rPr>
  </w:style>
  <w:style w:type="character" w:styleId="ListLabel40">
    <w:name w:val="ListLabel 40"/>
    <w:qFormat/>
    <w:rPr>
      <w:i w:val="false"/>
    </w:rPr>
  </w:style>
  <w:style w:type="character" w:styleId="ListLabel41">
    <w:name w:val="ListLabel 41"/>
    <w:qFormat/>
    <w:rPr>
      <w:i w:val="false"/>
    </w:rPr>
  </w:style>
  <w:style w:type="character" w:styleId="ListLabel42">
    <w:name w:val="ListLabel 42"/>
    <w:qFormat/>
    <w:rPr>
      <w:i w:val="false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b/>
    </w:rPr>
  </w:style>
  <w:style w:type="character" w:styleId="ListLabel47">
    <w:name w:val="ListLabel 47"/>
    <w:qFormat/>
    <w:rPr>
      <w:b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ascii="Times New Roman" w:hAnsi="Times New Roman"/>
      <w:b/>
      <w:sz w:val="22"/>
      <w:szCs w:val="20"/>
    </w:rPr>
  </w:style>
  <w:style w:type="character" w:styleId="ListLabel55">
    <w:name w:val="ListLabel 55"/>
    <w:qFormat/>
    <w:rPr>
      <w:b w:val="false"/>
    </w:rPr>
  </w:style>
  <w:style w:type="character" w:styleId="ListLabel56">
    <w:name w:val="ListLabel 56"/>
    <w:qFormat/>
    <w:rPr>
      <w:b/>
    </w:rPr>
  </w:style>
  <w:style w:type="character" w:styleId="ListLabel57">
    <w:name w:val="ListLabel 57"/>
    <w:qFormat/>
    <w:rPr>
      <w:rFonts w:ascii="Times New Roman" w:hAnsi="Times New Roman"/>
      <w:b/>
      <w:sz w:val="22"/>
    </w:rPr>
  </w:style>
  <w:style w:type="character" w:styleId="ListLabel58">
    <w:name w:val="ListLabel 58"/>
    <w:qFormat/>
    <w:rPr>
      <w:rFonts w:ascii="Times New Roman" w:hAnsi="Times New Roman"/>
      <w:b/>
      <w:color w:val="00000A"/>
      <w:sz w:val="22"/>
    </w:rPr>
  </w:style>
  <w:style w:type="character" w:styleId="ListLabel59">
    <w:name w:val="ListLabel 59"/>
    <w:qFormat/>
    <w:rPr>
      <w:rFonts w:ascii="Times New Roman" w:hAnsi="Times New Roman"/>
      <w:b/>
      <w:sz w:val="22"/>
    </w:rPr>
  </w:style>
  <w:style w:type="character" w:styleId="ListLabel60">
    <w:name w:val="ListLabel 60"/>
    <w:qFormat/>
    <w:rPr>
      <w:rFonts w:ascii="Times New Roman" w:hAnsi="Times New Roman" w:cs="Times New Roman"/>
      <w:b/>
      <w:sz w:val="22"/>
    </w:rPr>
  </w:style>
  <w:style w:type="character" w:styleId="ListLabel61">
    <w:name w:val="ListLabel 61"/>
    <w:qFormat/>
    <w:rPr>
      <w:rFonts w:ascii="Times New Roman" w:hAnsi="Times New Roman"/>
      <w:b/>
      <w:color w:val="00000A"/>
      <w:sz w:val="22"/>
    </w:rPr>
  </w:style>
  <w:style w:type="character" w:styleId="ListLabel62">
    <w:name w:val="ListLabel 62"/>
    <w:qFormat/>
    <w:rPr>
      <w:rFonts w:ascii="Times New Roman" w:hAnsi="Times New Roman"/>
      <w:b/>
      <w:sz w:val="22"/>
    </w:rPr>
  </w:style>
  <w:style w:type="character" w:styleId="ListLabel63">
    <w:name w:val="ListLabel 63"/>
    <w:qFormat/>
    <w:rPr>
      <w:b/>
    </w:rPr>
  </w:style>
  <w:style w:type="character" w:styleId="ListLabel64">
    <w:name w:val="ListLabel 64"/>
    <w:qFormat/>
    <w:rPr>
      <w:rFonts w:eastAsia="Times New Roman" w:cs="Times New Roman"/>
      <w:b/>
      <w:color w:val="000000"/>
    </w:rPr>
  </w:style>
  <w:style w:type="character" w:styleId="ListLabel65">
    <w:name w:val="ListLabel 65"/>
    <w:qFormat/>
    <w:rPr>
      <w:rFonts w:ascii="Times New Roman" w:hAnsi="Times New Roman"/>
      <w:b/>
      <w:sz w:val="20"/>
      <w:szCs w:val="20"/>
    </w:rPr>
  </w:style>
  <w:style w:type="character" w:styleId="ListLabel66">
    <w:name w:val="ListLabel 66"/>
    <w:qFormat/>
    <w:rPr>
      <w:rFonts w:ascii="Times New Roman" w:hAnsi="Times New Roman"/>
      <w:b/>
      <w:position w:val="0"/>
      <w:sz w:val="20"/>
      <w:vertAlign w:val="baseline"/>
    </w:rPr>
  </w:style>
  <w:style w:type="character" w:styleId="ListLabel67">
    <w:name w:val="ListLabel 67"/>
    <w:qFormat/>
    <w:rPr>
      <w:rFonts w:ascii="Times New Roman" w:hAnsi="Times New Roman"/>
      <w:b/>
      <w:sz w:val="22"/>
    </w:rPr>
  </w:style>
  <w:style w:type="character" w:styleId="ListLabel68">
    <w:name w:val="ListLabel 68"/>
    <w:qFormat/>
    <w:rPr>
      <w:rFonts w:ascii="Times New Roman" w:hAnsi="Times New Roman"/>
      <w:b/>
      <w:sz w:val="22"/>
    </w:rPr>
  </w:style>
  <w:style w:type="character" w:styleId="ListLabel69">
    <w:name w:val="ListLabel 69"/>
    <w:qFormat/>
    <w:rPr>
      <w:rFonts w:ascii="Times New Roman" w:hAnsi="Times New Roman"/>
      <w:b/>
      <w:sz w:val="22"/>
    </w:rPr>
  </w:style>
  <w:style w:type="character" w:styleId="Style18">
    <w:name w:val="Посещённая гиперссылка"/>
    <w:rPr>
      <w:color w:val="800000"/>
      <w:u w:val="single"/>
      <w:lang w:val="zxx" w:eastAsia="zxx" w:bidi="zxx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0">
    <w:name w:val="Body Text"/>
    <w:basedOn w:val="Normal"/>
    <w:link w:val="a4"/>
    <w:rsid w:val="0000234e"/>
    <w:pPr>
      <w:spacing w:lineRule="auto" w:line="360"/>
      <w:jc w:val="both"/>
    </w:pPr>
    <w:rPr>
      <w:sz w:val="24"/>
    </w:rPr>
  </w:style>
  <w:style w:type="paragraph" w:styleId="Style21">
    <w:name w:val="List"/>
    <w:basedOn w:val="Style20"/>
    <w:pPr/>
    <w:rPr>
      <w:rFonts w:cs="Lohit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</w:rPr>
  </w:style>
  <w:style w:type="paragraph" w:styleId="BodyText2">
    <w:name w:val="Body Text 2"/>
    <w:basedOn w:val="Normal"/>
    <w:link w:val="22"/>
    <w:qFormat/>
    <w:rsid w:val="0000234e"/>
    <w:pPr/>
    <w:rPr>
      <w:rFonts w:ascii="Times New Roman" w:hAnsi="Times New Roman"/>
      <w:sz w:val="22"/>
    </w:rPr>
  </w:style>
  <w:style w:type="paragraph" w:styleId="Style24">
    <w:name w:val="Footer"/>
    <w:basedOn w:val="Normal"/>
    <w:link w:val="a6"/>
    <w:uiPriority w:val="99"/>
    <w:rsid w:val="0000234e"/>
    <w:pPr>
      <w:tabs>
        <w:tab w:val="center" w:pos="4153" w:leader="none"/>
        <w:tab w:val="right" w:pos="8306" w:leader="none"/>
      </w:tabs>
    </w:pPr>
    <w:rPr/>
  </w:style>
  <w:style w:type="paragraph" w:styleId="BodyText3">
    <w:name w:val="Body Text 3"/>
    <w:basedOn w:val="Normal"/>
    <w:link w:val="32"/>
    <w:qFormat/>
    <w:rsid w:val="0000234e"/>
    <w:pPr/>
    <w:rPr>
      <w:b/>
      <w:sz w:val="24"/>
    </w:rPr>
  </w:style>
  <w:style w:type="paragraph" w:styleId="Style25">
    <w:name w:val="Title"/>
    <w:basedOn w:val="Normal"/>
    <w:link w:val="a9"/>
    <w:qFormat/>
    <w:rsid w:val="0000234e"/>
    <w:pPr>
      <w:jc w:val="center"/>
    </w:pPr>
    <w:rPr>
      <w:rFonts w:ascii="Times New Roman" w:hAnsi="Times New Roman"/>
      <w:b/>
      <w:sz w:val="28"/>
    </w:rPr>
  </w:style>
  <w:style w:type="paragraph" w:styleId="BlockText">
    <w:name w:val="Block Text"/>
    <w:basedOn w:val="Normal"/>
    <w:qFormat/>
    <w:rsid w:val="0000234e"/>
    <w:pPr>
      <w:ind w:left="284" w:right="254" w:firstLine="567"/>
      <w:jc w:val="both"/>
    </w:pPr>
    <w:rPr>
      <w:rFonts w:ascii="Times New Roman" w:hAnsi="Times New Roman"/>
      <w:sz w:val="24"/>
    </w:rPr>
  </w:style>
  <w:style w:type="paragraph" w:styleId="Style26">
    <w:name w:val="Header"/>
    <w:basedOn w:val="Normal"/>
    <w:link w:val="ac"/>
    <w:rsid w:val="0000234e"/>
    <w:pPr>
      <w:tabs>
        <w:tab w:val="center" w:pos="4153" w:leader="none"/>
        <w:tab w:val="right" w:pos="8306" w:leader="none"/>
      </w:tabs>
    </w:pPr>
    <w:rPr>
      <w:rFonts w:ascii="Times New Roman" w:hAnsi="Times New Roman"/>
    </w:rPr>
  </w:style>
  <w:style w:type="paragraph" w:styleId="Style27">
    <w:name w:val="Body Text Indent"/>
    <w:basedOn w:val="Normal"/>
    <w:link w:val="ae"/>
    <w:rsid w:val="0000234e"/>
    <w:pPr>
      <w:spacing w:lineRule="auto" w:line="360"/>
      <w:ind w:firstLine="1134"/>
      <w:jc w:val="both"/>
    </w:pPr>
    <w:rPr>
      <w:rFonts w:ascii="Times New Roman" w:hAnsi="Times New Roman"/>
      <w:sz w:val="24"/>
    </w:rPr>
  </w:style>
  <w:style w:type="paragraph" w:styleId="MessageHeader">
    <w:name w:val="Message Header"/>
    <w:basedOn w:val="Style20"/>
    <w:link w:val="af1"/>
    <w:qFormat/>
    <w:rsid w:val="0000234e"/>
    <w:pPr>
      <w:keepLines/>
      <w:spacing w:lineRule="atLeast" w:line="415"/>
      <w:ind w:left="1985" w:right="-360" w:hanging="1145"/>
      <w:jc w:val="left"/>
    </w:pPr>
    <w:rPr>
      <w:rFonts w:ascii="Times New Roman" w:hAnsi="Times New Roman"/>
      <w:sz w:val="20"/>
    </w:rPr>
  </w:style>
  <w:style w:type="paragraph" w:styleId="BalloonText">
    <w:name w:val="Balloon Text"/>
    <w:basedOn w:val="Normal"/>
    <w:link w:val="af4"/>
    <w:qFormat/>
    <w:rsid w:val="0000234e"/>
    <w:pPr/>
    <w:rPr>
      <w:rFonts w:ascii="Tahoma" w:hAnsi="Tahoma"/>
      <w:sz w:val="16"/>
      <w:szCs w:val="16"/>
    </w:rPr>
  </w:style>
  <w:style w:type="paragraph" w:styleId="Style28" w:customStyle="1">
    <w:name w:val="Название документа"/>
    <w:qFormat/>
    <w:rsid w:val="0000234e"/>
    <w:pPr>
      <w:widowControl/>
      <w:bidi w:val="0"/>
      <w:spacing w:lineRule="atLeast" w:line="600" w:before="140" w:after="540"/>
      <w:ind w:left="840" w:hanging="0"/>
      <w:jc w:val="left"/>
    </w:pPr>
    <w:rPr>
      <w:rFonts w:ascii="Times New Roman" w:hAnsi="Times New Roman" w:eastAsia="Times New Roman" w:cs="Times New Roman"/>
      <w:color w:val="auto"/>
      <w:spacing w:val="-38"/>
      <w:sz w:val="60"/>
      <w:szCs w:val="20"/>
      <w:lang w:eastAsia="ru-RU" w:val="ru-RU" w:bidi="ar-SA"/>
    </w:rPr>
  </w:style>
  <w:style w:type="paragraph" w:styleId="Style29" w:customStyle="1">
    <w:name w:val="Заголовок сообщения (первый)"/>
    <w:qFormat/>
    <w:rsid w:val="0000234e"/>
    <w:pPr>
      <w:keepLines/>
      <w:widowControl/>
      <w:bidi w:val="0"/>
      <w:spacing w:lineRule="atLeast" w:line="415" w:before="0" w:after="0"/>
      <w:ind w:left="1985" w:right="-360" w:hanging="1145"/>
      <w:jc w:val="left"/>
    </w:pPr>
    <w:rPr>
      <w:rFonts w:ascii="Times New Roman" w:hAnsi="Times New Roman" w:eastAsia="Times New Roman" w:cs="Times New Roman"/>
      <w:color w:val="auto"/>
      <w:sz w:val="20"/>
      <w:szCs w:val="20"/>
      <w:lang w:eastAsia="ru-RU" w:val="ru-RU" w:bidi="ar-SA"/>
    </w:rPr>
  </w:style>
  <w:style w:type="paragraph" w:styleId="133" w:customStyle="1">
    <w:name w:val="ТР_13_обычный"/>
    <w:basedOn w:val="Style25"/>
    <w:link w:val="130"/>
    <w:qFormat/>
    <w:rsid w:val="0000234e"/>
    <w:pPr>
      <w:ind w:left="33" w:hanging="0"/>
      <w:jc w:val="left"/>
    </w:pPr>
    <w:rPr>
      <w:b w:val="false"/>
      <w:color w:val="421CE2"/>
      <w:sz w:val="26"/>
      <w:szCs w:val="26"/>
    </w:rPr>
  </w:style>
  <w:style w:type="paragraph" w:styleId="134" w:customStyle="1">
    <w:name w:val="ТР_13_жирный"/>
    <w:basedOn w:val="Style25"/>
    <w:link w:val="132"/>
    <w:qFormat/>
    <w:rsid w:val="0000234e"/>
    <w:pPr/>
    <w:rPr>
      <w:color w:val="421CE2"/>
      <w:sz w:val="26"/>
    </w:rPr>
  </w:style>
  <w:style w:type="paragraph" w:styleId="122" w:customStyle="1">
    <w:name w:val="ТР_12_жир"/>
    <w:basedOn w:val="Normal"/>
    <w:link w:val="120"/>
    <w:qFormat/>
    <w:rsid w:val="0000234e"/>
    <w:pPr>
      <w:jc w:val="center"/>
    </w:pPr>
    <w:rPr>
      <w:rFonts w:ascii="Times New Roman" w:hAnsi="Times New Roman"/>
      <w:b/>
      <w:color w:val="421CE2"/>
      <w:sz w:val="24"/>
      <w:szCs w:val="24"/>
      <w:lang w:val="en-US"/>
    </w:rPr>
  </w:style>
  <w:style w:type="paragraph" w:styleId="1151" w:customStyle="1">
    <w:name w:val="Тр115_обычн"/>
    <w:basedOn w:val="Style27"/>
    <w:link w:val="1150"/>
    <w:qFormat/>
    <w:rsid w:val="0000234e"/>
    <w:pPr>
      <w:spacing w:lineRule="exact" w:line="240"/>
      <w:ind w:firstLine="1080"/>
    </w:pPr>
    <w:rPr>
      <w:color w:val="421CE2"/>
    </w:rPr>
  </w:style>
  <w:style w:type="paragraph" w:styleId="ListParagraph">
    <w:name w:val="List Paragraph"/>
    <w:basedOn w:val="Normal"/>
    <w:uiPriority w:val="34"/>
    <w:qFormat/>
    <w:rsid w:val="0000234e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00234e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sz w:val="20"/>
      <w:szCs w:val="22"/>
      <w:lang w:val="ru-RU" w:eastAsia="en-US" w:bidi="ar-SA"/>
    </w:rPr>
  </w:style>
  <w:style w:type="paragraph" w:styleId="1251" w:customStyle="1">
    <w:name w:val="Обычный125Жир"/>
    <w:basedOn w:val="Normal"/>
    <w:link w:val="1250"/>
    <w:qFormat/>
    <w:rsid w:val="0000234e"/>
    <w:pPr>
      <w:keepNext w:val="true"/>
      <w:ind w:left="-13" w:hanging="0"/>
      <w:outlineLvl w:val="3"/>
    </w:pPr>
    <w:rPr>
      <w:rFonts w:ascii="Times New Roman" w:hAnsi="Times New Roman"/>
      <w:b/>
      <w:bCs/>
      <w:color w:val="0000FF"/>
      <w:sz w:val="25"/>
      <w:szCs w:val="25"/>
    </w:rPr>
  </w:style>
  <w:style w:type="paragraph" w:styleId="123" w:customStyle="1">
    <w:name w:val="Об12жир"/>
    <w:basedOn w:val="Normal"/>
    <w:link w:val="121"/>
    <w:qFormat/>
    <w:rsid w:val="0000234e"/>
    <w:pPr>
      <w:jc w:val="both"/>
    </w:pPr>
    <w:rPr>
      <w:rFonts w:ascii="Calibri" w:hAnsi="Calibri" w:eastAsia="Calibri" w:cs="" w:asciiTheme="minorHAnsi" w:cstheme="minorBidi" w:eastAsiaTheme="minorHAnsi" w:hAnsiTheme="minorHAnsi"/>
      <w:b/>
      <w:bCs/>
      <w:color w:val="0000FF"/>
      <w:sz w:val="24"/>
      <w:szCs w:val="24"/>
      <w:lang w:eastAsia="en-US"/>
    </w:rPr>
  </w:style>
  <w:style w:type="paragraph" w:styleId="135" w:customStyle="1">
    <w:name w:val="Об_13_Жир"/>
    <w:basedOn w:val="Normal"/>
    <w:link w:val="134"/>
    <w:qFormat/>
    <w:rsid w:val="0000234e"/>
    <w:pPr>
      <w:spacing w:before="120" w:after="120"/>
      <w:ind w:firstLine="357"/>
      <w:jc w:val="both"/>
    </w:pPr>
    <w:rPr>
      <w:rFonts w:ascii="Times New Roman" w:hAnsi="Times New Roman"/>
      <w:b/>
      <w:color w:val="0000FF"/>
      <w:sz w:val="26"/>
      <w:szCs w:val="26"/>
    </w:rPr>
  </w:style>
  <w:style w:type="paragraph" w:styleId="ConsPlusTitle" w:customStyle="1">
    <w:name w:val="ConsPlusTitle"/>
    <w:uiPriority w:val="99"/>
    <w:qFormat/>
    <w:rsid w:val="0000234e"/>
    <w:pPr>
      <w:widowControl w:val="false"/>
      <w:bidi w:val="0"/>
      <w:spacing w:lineRule="auto" w:line="240" w:before="0" w:after="0"/>
      <w:jc w:val="left"/>
    </w:pPr>
    <w:rPr>
      <w:rFonts w:ascii="Calibri" w:hAnsi="Calibri" w:eastAsia="" w:cs="Calibri" w:eastAsiaTheme="minorEastAsia"/>
      <w:b/>
      <w:bCs/>
      <w:color w:val="auto"/>
      <w:sz w:val="20"/>
      <w:szCs w:val="22"/>
      <w:lang w:eastAsia="ru-RU" w:val="ru-RU" w:bidi="ar-SA"/>
    </w:rPr>
  </w:style>
  <w:style w:type="paragraph" w:styleId="BodyTextIndent2">
    <w:name w:val="Body Text Indent 2"/>
    <w:basedOn w:val="Normal"/>
    <w:link w:val="24"/>
    <w:unhideWhenUsed/>
    <w:qFormat/>
    <w:rsid w:val="0000234e"/>
    <w:pPr>
      <w:spacing w:lineRule="auto" w:line="480" w:before="0" w:after="120"/>
      <w:ind w:left="283" w:hanging="0"/>
    </w:pPr>
    <w:rPr/>
  </w:style>
  <w:style w:type="paragraph" w:styleId="Caption">
    <w:name w:val="caption"/>
    <w:basedOn w:val="Normal"/>
    <w:qFormat/>
    <w:rsid w:val="0000234e"/>
    <w:pPr>
      <w:ind w:left="357" w:firstLine="357"/>
      <w:jc w:val="both"/>
    </w:pPr>
    <w:rPr>
      <w:rFonts w:ascii="Times New Roman" w:hAnsi="Times New Roman"/>
      <w:b/>
      <w:bCs/>
    </w:rPr>
  </w:style>
  <w:style w:type="paragraph" w:styleId="PlainText">
    <w:name w:val="Plain Text"/>
    <w:basedOn w:val="Normal"/>
    <w:link w:val="afc"/>
    <w:qFormat/>
    <w:rsid w:val="0000234e"/>
    <w:pPr>
      <w:ind w:left="357" w:firstLine="357"/>
      <w:jc w:val="both"/>
    </w:pPr>
    <w:rPr>
      <w:rFonts w:ascii="Courier New" w:hAnsi="Courier New" w:cs="Courier New"/>
    </w:rPr>
  </w:style>
  <w:style w:type="paragraph" w:styleId="15" w:customStyle="1">
    <w:name w:val="Стиль1_св-ва документа"/>
    <w:basedOn w:val="4"/>
    <w:link w:val="1-0"/>
    <w:qFormat/>
    <w:rsid w:val="0000234e"/>
    <w:pPr>
      <w:ind w:left="-13" w:hanging="0"/>
      <w:jc w:val="both"/>
    </w:pPr>
    <w:rPr>
      <w:bCs/>
      <w:sz w:val="25"/>
      <w:szCs w:val="25"/>
      <w:lang w:val="en-US"/>
    </w:rPr>
  </w:style>
  <w:style w:type="paragraph" w:styleId="103" w:customStyle="1">
    <w:name w:val="ТР_10_Жир"/>
    <w:basedOn w:val="Normal"/>
    <w:link w:val="101"/>
    <w:qFormat/>
    <w:rsid w:val="0000234e"/>
    <w:pPr/>
    <w:rPr>
      <w:rFonts w:ascii="Times New Roman" w:hAnsi="Times New Roman"/>
      <w:b/>
      <w:color w:val="0000FF"/>
    </w:rPr>
  </w:style>
  <w:style w:type="paragraph" w:styleId="104" w:customStyle="1">
    <w:name w:val="ТР_10"/>
    <w:basedOn w:val="Normal"/>
    <w:link w:val="103"/>
    <w:qFormat/>
    <w:rsid w:val="0000234e"/>
    <w:pPr/>
    <w:rPr>
      <w:rFonts w:ascii="Times New Roman" w:hAnsi="Times New Roman"/>
      <w:color w:val="0000FF"/>
    </w:rPr>
  </w:style>
  <w:style w:type="paragraph" w:styleId="105" w:customStyle="1">
    <w:name w:val="Тр_10_Жир"/>
    <w:basedOn w:val="BodyTextIndent2"/>
    <w:link w:val="105"/>
    <w:qFormat/>
    <w:rsid w:val="0000234e"/>
    <w:pPr>
      <w:spacing w:lineRule="auto" w:line="240" w:before="120" w:after="120"/>
      <w:ind w:left="0" w:hanging="0"/>
      <w:jc w:val="center"/>
    </w:pPr>
    <w:rPr>
      <w:rFonts w:ascii="Times New Roman" w:hAnsi="Times New Roman"/>
      <w:b/>
      <w:color w:val="3333FF"/>
    </w:rPr>
  </w:style>
  <w:style w:type="paragraph" w:styleId="Annotationtext">
    <w:name w:val="annotation text"/>
    <w:basedOn w:val="Normal"/>
    <w:link w:val="aff"/>
    <w:qFormat/>
    <w:rsid w:val="0000234e"/>
    <w:pPr>
      <w:ind w:left="357" w:firstLine="357"/>
      <w:jc w:val="both"/>
    </w:pPr>
    <w:rPr>
      <w:rFonts w:ascii="Times New Roman" w:hAnsi="Times New Roman"/>
    </w:rPr>
  </w:style>
  <w:style w:type="paragraph" w:styleId="Annotationsubject">
    <w:name w:val="annotation subject"/>
    <w:basedOn w:val="Annotationtext"/>
    <w:link w:val="aff1"/>
    <w:qFormat/>
    <w:rsid w:val="0000234e"/>
    <w:pPr/>
    <w:rPr>
      <w:b/>
      <w:bCs/>
    </w:rPr>
  </w:style>
  <w:style w:type="paragraph" w:styleId="16" w:customStyle="1">
    <w:name w:val="Стиль1"/>
    <w:basedOn w:val="Normal"/>
    <w:qFormat/>
    <w:rsid w:val="0000234e"/>
    <w:pPr>
      <w:widowControl w:val="false"/>
      <w:suppressAutoHyphens w:val="true"/>
      <w:ind w:firstLine="709"/>
      <w:jc w:val="both"/>
    </w:pPr>
    <w:rPr>
      <w:rFonts w:ascii="Times New Roman" w:hAnsi="Times New Roman"/>
      <w:sz w:val="28"/>
      <w:szCs w:val="28"/>
    </w:rPr>
  </w:style>
  <w:style w:type="paragraph" w:styleId="17" w:customStyle="1">
    <w:name w:val="Основной текст1"/>
    <w:basedOn w:val="Normal"/>
    <w:link w:val="aff2"/>
    <w:qFormat/>
    <w:rsid w:val="0000234e"/>
    <w:pPr>
      <w:widowControl w:val="false"/>
      <w:shd w:val="clear" w:color="auto" w:fill="FFFFFF"/>
      <w:spacing w:lineRule="auto" w:before="0" w:after="120"/>
    </w:pPr>
    <w:rPr>
      <w:rFonts w:ascii="Calibri" w:hAnsi="Calibri" w:eastAsia="Calibri" w:cs="" w:asciiTheme="minorHAnsi" w:cstheme="minorBidi" w:eastAsiaTheme="minorHAnsi" w:hAnsiTheme="minorHAnsi"/>
      <w:spacing w:val="-2"/>
      <w:sz w:val="18"/>
      <w:szCs w:val="18"/>
      <w:lang w:eastAsia="en-US"/>
    </w:rPr>
  </w:style>
  <w:style w:type="paragraph" w:styleId="Style30">
    <w:name w:val="Содержимое врезки"/>
    <w:basedOn w:val="Normal"/>
    <w:qFormat/>
    <w:pPr/>
    <w:rPr/>
  </w:style>
  <w:style w:type="paragraph" w:styleId="Style31">
    <w:name w:val="Содержимое таблицы"/>
    <w:basedOn w:val="Normal"/>
    <w:qFormat/>
    <w:pPr/>
    <w:rPr/>
  </w:style>
  <w:style w:type="paragraph" w:styleId="Style32">
    <w:name w:val="Заголовок таблицы"/>
    <w:basedOn w:val="Style3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00234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376DA00A4A2B58C618693F50FE34346DED310CC413F483D98C22E3577C474177B0118598C80B819D35JDF" TargetMode="External"/><Relationship Id="rId4" Type="http://schemas.openxmlformats.org/officeDocument/2006/relationships/hyperlink" Target="http://www.kamenergo.ru/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s://rsosiluet.ru/" TargetMode="External"/><Relationship Id="rId9" Type="http://schemas.openxmlformats.org/officeDocument/2006/relationships/hyperlink" Target="https://teskpk.ru/" TargetMode="External"/><Relationship Id="rId10" Type="http://schemas.openxmlformats.org/officeDocument/2006/relationships/hyperlink" Target="https://teskpk.ru/" TargetMode="External"/><Relationship Id="rId11" Type="http://schemas.openxmlformats.org/officeDocument/2006/relationships/hyperlink" Target="https://teskpk.ru/" TargetMode="External"/><Relationship Id="rId12" Type="http://schemas.openxmlformats.org/officeDocument/2006/relationships/hyperlink" Target="https://41-es.ru/" TargetMode="External"/><Relationship Id="rId13" Type="http://schemas.openxmlformats.org/officeDocument/2006/relationships/hyperlink" Target="https://aleir-kamchatka.ru/" TargetMode="External"/><Relationship Id="rId14" Type="http://schemas.openxmlformats.org/officeDocument/2006/relationships/hyperlink" Target="http://port.kamchatka.ru/" TargetMode="External"/><Relationship Id="rId15" Type="http://schemas.openxmlformats.org/officeDocument/2006/relationships/hyperlink" Target="http://28elset.ru/about" TargetMode="External"/><Relationship Id="rId16" Type="http://schemas.openxmlformats.org/officeDocument/2006/relationships/hyperlink" Target="tel:+74152466682" TargetMode="External"/><Relationship Id="rId17" Type="http://schemas.openxmlformats.org/officeDocument/2006/relationships/hyperlink" Target="http://seroglazka.com/" TargetMode="External"/><Relationship Id="rId18" Type="http://schemas.openxmlformats.org/officeDocument/2006/relationships/hyperlink" Target="https://mktranskam.ru/" TargetMode="External"/><Relationship Id="rId19" Type="http://schemas.openxmlformats.org/officeDocument/2006/relationships/hyperlink" Target="https://kek41.ru/" TargetMode="External"/><Relationship Id="rId20" Type="http://schemas.openxmlformats.org/officeDocument/2006/relationships/hyperlink" Target="https://oceangas.ru/" TargetMode="External"/><Relationship Id="rId21" Type="http://schemas.openxmlformats.org/officeDocument/2006/relationships/hyperlink" Target="http://intarsia.nethouse.ru/" TargetMode="External"/><Relationship Id="rId22" Type="http://schemas.openxmlformats.org/officeDocument/2006/relationships/hyperlink" Target="http://protoktp.ru/" TargetMode="External"/><Relationship Id="rId23" Type="http://schemas.openxmlformats.org/officeDocument/2006/relationships/footer" Target="footer4.xm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Application>LibreOffice/5.3.6.1$Linux_X86_64 LibreOffice_project/30$Build-1</Application>
  <Pages>24</Pages>
  <Words>8772</Words>
  <Characters>67476</Characters>
  <CharactersWithSpaces>77131</CharactersWithSpaces>
  <Paragraphs>544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2023-02-09T03:17:00Z</dcterms:created>
  <dc:creator>Залесова Виктория Владимировна</dc:creator>
  <dc:description/>
  <dc:language>ru-RU</dc:language>
  <cp:lastModifiedBy/>
  <dcterms:modified xsi:type="dcterms:W3CDTF">2025-07-11T13:31:10Z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