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ind w:left="0" w:hanging="0"/>
        <w:jc w:val="center"/>
        <w:rPr>
          <w:b/>
          <w:b/>
          <w:sz w:val="22"/>
          <w:szCs w:val="22"/>
        </w:rPr>
      </w:pPr>
      <w:r>
        <w:rPr/>
        <w:drawing>
          <wp:inline distT="0" distB="0" distL="0" distR="0">
            <wp:extent cx="2541270" cy="436245"/>
            <wp:effectExtent l="0" t="0" r="0" b="0"/>
            <wp:docPr id="1" name="Рисунок 1" descr="Камчатскэнерго-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Камчатскэнерго-лого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43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ДОГОВОР</w:t>
      </w:r>
    </w:p>
    <w:p>
      <w:pPr>
        <w:pStyle w:val="BodyTextIndent2"/>
        <w:spacing w:lineRule="auto" w:line="240" w:before="0" w:after="0"/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ПОСТАВКИ ТЕПЛОВОЙ ЭНЕРГИИ И (ИЛИ) ТЕПЛОНОСИТЕЛЯ</w:t>
      </w:r>
    </w:p>
    <w:p>
      <w:pPr>
        <w:pStyle w:val="BodyTextIndent2"/>
        <w:spacing w:lineRule="auto" w:line="240" w:before="0" w:after="0"/>
        <w:ind w:left="0" w:hanging="0"/>
        <w:jc w:val="center"/>
        <w:rPr>
          <w:rStyle w:val="125"/>
          <w:sz w:val="22"/>
          <w:szCs w:val="22"/>
        </w:rPr>
      </w:pPr>
      <w:r>
        <w:rPr>
          <w:b/>
          <w:sz w:val="22"/>
          <w:szCs w:val="22"/>
        </w:rPr>
        <w:t xml:space="preserve">В ЦЕЛЯХ КОМПЕНСАЦИИ ПОТЕРЬ </w:t>
      </w:r>
      <w:r>
        <w:rPr>
          <w:rStyle w:val="125"/>
          <w:sz w:val="22"/>
          <w:szCs w:val="22"/>
        </w:rPr>
        <w:t>№ _____________</w:t>
      </w:r>
    </w:p>
    <w:p>
      <w:pPr>
        <w:pStyle w:val="BodyTextIndent2"/>
        <w:spacing w:lineRule="auto" w:line="240" w:before="0" w:after="0"/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BodyTextIndent2"/>
        <w:spacing w:lineRule="auto" w:line="240" w:before="0" w:after="0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г. Петропавловск-Камчатский                                                                                                           </w:t>
      </w:r>
      <w:r>
        <w:rPr>
          <w:rStyle w:val="125"/>
          <w:sz w:val="22"/>
          <w:szCs w:val="22"/>
        </w:rPr>
        <w:t>______________</w:t>
      </w:r>
    </w:p>
    <w:p>
      <w:pPr>
        <w:pStyle w:val="Normal"/>
        <w:spacing w:before="120" w:after="120"/>
        <w:ind w:left="0" w:firstLine="1134"/>
        <w:rPr/>
      </w:pPr>
      <w:r>
        <w:rPr>
          <w:b/>
          <w:sz w:val="23"/>
          <w:szCs w:val="23"/>
        </w:rPr>
        <w:t>Публичное акционерное общество энергетики и электрификации «Камчатскэнерго»</w:t>
      </w:r>
      <w:r>
        <w:rPr>
          <w:sz w:val="23"/>
          <w:szCs w:val="23"/>
        </w:rPr>
        <w:t xml:space="preserve">, именуемое в дальнейшем </w:t>
      </w:r>
      <w:r>
        <w:rPr>
          <w:b/>
          <w:sz w:val="23"/>
          <w:szCs w:val="23"/>
        </w:rPr>
        <w:t>«Поставщик»</w:t>
      </w:r>
      <w:r>
        <w:rPr>
          <w:sz w:val="23"/>
          <w:szCs w:val="23"/>
        </w:rPr>
        <w:t xml:space="preserve">, в лице </w:t>
      </w:r>
      <w:r>
        <w:rPr>
          <w:b/>
          <w:sz w:val="23"/>
          <w:szCs w:val="23"/>
        </w:rPr>
        <w:t>_______________________ филиала Публичного акционерного общества «Дальневосточная энергетическая компания» «Камчатскэнергосбыт» ____________________,</w:t>
      </w:r>
      <w:r>
        <w:rPr>
          <w:sz w:val="23"/>
          <w:szCs w:val="23"/>
        </w:rPr>
        <w:t xml:space="preserve"> </w:t>
      </w:r>
      <w:r>
        <w:rPr>
          <w:b/>
          <w:sz w:val="23"/>
          <w:szCs w:val="23"/>
        </w:rPr>
        <w:t xml:space="preserve">действующего на основании </w:t>
      </w:r>
      <w:r>
        <w:rPr>
          <w:b/>
          <w:bCs/>
          <w:iCs/>
          <w:sz w:val="23"/>
          <w:szCs w:val="23"/>
        </w:rPr>
        <w:t xml:space="preserve">доверенности </w:t>
      </w:r>
      <w:r>
        <w:rPr>
          <w:b/>
          <w:sz w:val="23"/>
          <w:szCs w:val="23"/>
        </w:rPr>
        <w:t>№ ______________ от _____________</w:t>
      </w:r>
      <w:r>
        <w:rPr>
          <w:sz w:val="23"/>
          <w:szCs w:val="23"/>
        </w:rPr>
        <w:t>, с одной стороны, и</w:t>
      </w:r>
      <w:r>
        <w:rPr>
          <w:sz w:val="22"/>
          <w:szCs w:val="22"/>
        </w:rPr>
        <w:t xml:space="preserve"> </w:t>
      </w:r>
    </w:p>
    <w:p>
      <w:pPr>
        <w:pStyle w:val="Normal"/>
        <w:ind w:left="0" w:firstLine="851"/>
        <w:rPr>
          <w:sz w:val="22"/>
          <w:szCs w:val="22"/>
        </w:rPr>
      </w:pPr>
      <w:r>
        <w:rPr>
          <w:rStyle w:val="13"/>
          <w:sz w:val="22"/>
          <w:szCs w:val="22"/>
        </w:rPr>
        <w:t>______________</w:t>
      </w:r>
      <w:r>
        <w:rPr>
          <w:b/>
          <w:bCs/>
          <w:sz w:val="22"/>
          <w:szCs w:val="22"/>
        </w:rPr>
        <w:t xml:space="preserve">, </w:t>
      </w:r>
      <w:r>
        <w:rPr>
          <w:sz w:val="22"/>
          <w:szCs w:val="22"/>
        </w:rPr>
        <w:t xml:space="preserve">именуемое в дальнейшем </w:t>
      </w:r>
      <w:r>
        <w:rPr>
          <w:b/>
          <w:sz w:val="22"/>
          <w:szCs w:val="22"/>
        </w:rPr>
        <w:t>«Теплосетевая организация – далее по тексту - Покупатель</w:t>
      </w:r>
      <w:r>
        <w:rPr>
          <w:b/>
          <w:bCs/>
          <w:sz w:val="22"/>
          <w:szCs w:val="22"/>
        </w:rPr>
        <w:t xml:space="preserve">», </w:t>
      </w:r>
      <w:r>
        <w:rPr>
          <w:sz w:val="22"/>
          <w:szCs w:val="22"/>
        </w:rPr>
        <w:t xml:space="preserve">в лице </w:t>
      </w:r>
      <w:r>
        <w:rPr>
          <w:rStyle w:val="13"/>
          <w:rFonts w:eastAsia="Calibri"/>
          <w:color w:val="00000A"/>
          <w:sz w:val="22"/>
          <w:szCs w:val="22"/>
        </w:rPr>
        <w:t>_______________________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действующего на основании </w:t>
      </w:r>
      <w:r>
        <w:rPr>
          <w:color w:val="0000FF"/>
          <w:sz w:val="22"/>
          <w:szCs w:val="22"/>
        </w:rPr>
        <w:t>______________________________</w:t>
      </w:r>
      <w:r>
        <w:rPr>
          <w:sz w:val="22"/>
          <w:szCs w:val="22"/>
        </w:rPr>
        <w:t>, с другой стороны (далее по тексту – «Стороны»), заключили настоящий договор о нижеследующем.</w:t>
      </w:r>
    </w:p>
    <w:p>
      <w:pPr>
        <w:pStyle w:val="Normal"/>
        <w:ind w:left="0" w:firstLine="85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yle16"/>
        <w:numPr>
          <w:ilvl w:val="0"/>
          <w:numId w:val="3"/>
        </w:numPr>
        <w:ind w:left="0" w:hanging="0"/>
        <w:jc w:val="center"/>
        <w:rPr>
          <w:sz w:val="22"/>
          <w:szCs w:val="22"/>
        </w:rPr>
      </w:pPr>
      <w:r>
        <w:rPr>
          <w:b/>
          <w:sz w:val="22"/>
          <w:szCs w:val="22"/>
        </w:rPr>
        <w:t>ПРЕДМЕТ ДОГОВОРА.</w:t>
      </w:r>
    </w:p>
    <w:p>
      <w:pPr>
        <w:pStyle w:val="Style16"/>
        <w:ind w:left="0" w:firstLine="709"/>
        <w:rPr>
          <w:rStyle w:val="Style14"/>
          <w:sz w:val="22"/>
          <w:szCs w:val="22"/>
        </w:rPr>
      </w:pPr>
      <w:r>
        <w:rPr>
          <w:sz w:val="22"/>
          <w:szCs w:val="22"/>
        </w:rPr>
        <w:t>1.1.</w:t>
        <w:tab/>
        <w:t>Поставщик обязуется определять объем потерь тепловой энергии и (или) теплоносителя, возникающих в тепловых сетях  Покупателя от точки приема до точки передачи, определенных Актами разграничения балансовой принадлежности и эксплуатационной ответственности сторон (Приложение №2), а Покупатель обязуется оплачивать тепловые потери, возникающие в процессе транспортировки, в объемах и сроках определенных данным договором.</w:t>
      </w:r>
    </w:p>
    <w:p>
      <w:pPr>
        <w:pStyle w:val="Normal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1.2.</w:t>
        <w:tab/>
        <w:t xml:space="preserve">Расчеты за тепловую энергию </w:t>
      </w:r>
      <w:r>
        <w:rPr>
          <w:sz w:val="22"/>
          <w:szCs w:val="22"/>
        </w:rPr>
        <w:t xml:space="preserve">и (или) теплоноситель </w:t>
      </w:r>
      <w:r>
        <w:rPr>
          <w:bCs/>
          <w:sz w:val="22"/>
          <w:szCs w:val="22"/>
        </w:rPr>
        <w:t>производятся по тарифам, утвержденным в уставленном порядке решением органом исполнительной власти субъекта Российской Федерации в области государственного регулирования тарифов.</w:t>
      </w:r>
    </w:p>
    <w:p>
      <w:pPr>
        <w:pStyle w:val="Normal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Решение об установлении тарифов, включающее величины тарифов и даты введения в действие тарифов, размещается на официальном сайте органа исполнительной власти субъекта Российской Федерации в области государственного регулирования тарифов, а также публикуется в источнике официального опубликования нормативных правовых актов органов государственной власти субъекта Российской Федерации.</w:t>
      </w:r>
    </w:p>
    <w:p>
      <w:pPr>
        <w:pStyle w:val="Normal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Изменение тарифов в период действия настоящего договора не требует переоформления договора.</w:t>
      </w:r>
    </w:p>
    <w:p>
      <w:pPr>
        <w:pStyle w:val="Normal"/>
        <w:ind w:left="0" w:firstLine="709"/>
        <w:rPr>
          <w:sz w:val="22"/>
          <w:szCs w:val="22"/>
        </w:rPr>
      </w:pPr>
      <w:r>
        <w:rPr>
          <w:sz w:val="22"/>
          <w:szCs w:val="22"/>
        </w:rPr>
        <w:t>1.3.</w:t>
        <w:tab/>
        <w:t>Договорные величины потерь тепловой энергии и (или) теплоносителя определены в Приложении №1 к настоящему договору.</w:t>
      </w:r>
    </w:p>
    <w:p>
      <w:pPr>
        <w:pStyle w:val="Style16"/>
        <w:ind w:left="0" w:firstLine="709"/>
        <w:rPr>
          <w:b/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Style16"/>
        <w:numPr>
          <w:ilvl w:val="0"/>
          <w:numId w:val="3"/>
        </w:numPr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ОБЯЗАННОСТИ  И ПРАВА ПОСТАВЩИКА.</w:t>
      </w:r>
    </w:p>
    <w:p>
      <w:pPr>
        <w:pStyle w:val="Style16"/>
        <w:ind w:left="0" w:firstLine="709"/>
        <w:rPr>
          <w:iCs/>
          <w:sz w:val="22"/>
          <w:szCs w:val="22"/>
        </w:rPr>
      </w:pPr>
      <w:r>
        <w:rPr>
          <w:iCs/>
          <w:sz w:val="22"/>
          <w:szCs w:val="22"/>
        </w:rPr>
        <w:t>2.1.</w:t>
        <w:tab/>
        <w:t>Поставщик обязуется:</w:t>
      </w:r>
    </w:p>
    <w:p>
      <w:pPr>
        <w:pStyle w:val="Normal"/>
        <w:tabs>
          <w:tab w:val="left" w:pos="1134" w:leader="none"/>
        </w:tabs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2.1.1.</w:t>
        <w:tab/>
        <w:t xml:space="preserve">Подавать Покупателю на </w:t>
      </w:r>
      <w:r>
        <w:rPr>
          <w:sz w:val="22"/>
          <w:szCs w:val="22"/>
        </w:rPr>
        <w:t>границы раздела</w:t>
      </w:r>
      <w:r>
        <w:rPr>
          <w:bCs/>
          <w:sz w:val="22"/>
          <w:szCs w:val="22"/>
        </w:rPr>
        <w:t>, определенные Актами разграничения балансовой принадлежности и эксплуатационной ответственности, тепловую энергию и (или) т</w:t>
      </w:r>
      <w:r>
        <w:rPr>
          <w:sz w:val="22"/>
          <w:szCs w:val="22"/>
        </w:rPr>
        <w:t>еплоноситель</w:t>
      </w:r>
      <w:r>
        <w:rPr>
          <w:bCs/>
          <w:sz w:val="22"/>
          <w:szCs w:val="22"/>
        </w:rPr>
        <w:t xml:space="preserve"> согласно температурному графику (Приложение № 3).</w:t>
      </w:r>
    </w:p>
    <w:p>
      <w:pPr>
        <w:pStyle w:val="BodyTextIndent2"/>
        <w:spacing w:lineRule="auto" w:line="240" w:before="0" w:after="0"/>
        <w:ind w:left="0" w:firstLine="709"/>
        <w:rPr>
          <w:sz w:val="22"/>
          <w:szCs w:val="22"/>
        </w:rPr>
      </w:pPr>
      <w:r>
        <w:rPr>
          <w:sz w:val="22"/>
          <w:szCs w:val="22"/>
        </w:rPr>
        <w:t>2.1.2.</w:t>
        <w:tab/>
        <w:t>Сообщать письменно Покупателю в течение 5 (пяти) дней об изменении юридического адреса, банковских реквизитов и наименования.</w:t>
      </w:r>
    </w:p>
    <w:p>
      <w:pPr>
        <w:pStyle w:val="BodyTextIndent2"/>
        <w:spacing w:lineRule="auto" w:line="240" w:before="0" w:after="0"/>
        <w:ind w:left="0" w:firstLine="709"/>
        <w:rPr>
          <w:sz w:val="22"/>
          <w:szCs w:val="22"/>
        </w:rPr>
      </w:pPr>
      <w:r>
        <w:rPr>
          <w:sz w:val="22"/>
          <w:szCs w:val="22"/>
        </w:rPr>
        <w:t>2.2.</w:t>
        <w:tab/>
        <w:t>Поставщик имеет право:</w:t>
      </w:r>
    </w:p>
    <w:p>
      <w:pPr>
        <w:pStyle w:val="Style16"/>
        <w:numPr>
          <w:ilvl w:val="2"/>
          <w:numId w:val="1"/>
        </w:numPr>
        <w:tabs>
          <w:tab w:val="left" w:pos="993" w:leader="none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 xml:space="preserve">Направлять уведомления (рекомендации)  Покупателю в отношении </w:t>
      </w:r>
      <w:r>
        <w:rPr>
          <w:bCs/>
          <w:sz w:val="22"/>
          <w:szCs w:val="22"/>
        </w:rPr>
        <w:t>подготовки узла учета тепловой энергии и (или) теплоносителя к началу нового ОЗП</w:t>
      </w:r>
      <w:r>
        <w:rPr>
          <w:sz w:val="22"/>
          <w:szCs w:val="22"/>
        </w:rPr>
        <w:t xml:space="preserve">, иметь свободный доступ к тепловым сетям, теплопотребляющим установкам, средствам регулирования, находящимся на территории Покупателя. </w:t>
      </w:r>
    </w:p>
    <w:p>
      <w:pPr>
        <w:pStyle w:val="Style16"/>
        <w:tabs>
          <w:tab w:val="left" w:pos="1080" w:leader="none"/>
          <w:tab w:val="left" w:pos="1440" w:leader="none"/>
        </w:tabs>
        <w:ind w:left="0" w:firstLine="357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Style16"/>
        <w:numPr>
          <w:ilvl w:val="0"/>
          <w:numId w:val="2"/>
        </w:numPr>
        <w:tabs>
          <w:tab w:val="left" w:pos="0" w:leader="none"/>
        </w:tabs>
        <w:ind w:left="0" w:hanging="0"/>
        <w:jc w:val="center"/>
        <w:rPr>
          <w:b/>
          <w:b/>
          <w:sz w:val="22"/>
          <w:szCs w:val="22"/>
        </w:rPr>
      </w:pPr>
      <w:bookmarkStart w:id="0" w:name="_Toc145231892"/>
      <w:r>
        <w:rPr>
          <w:b/>
          <w:sz w:val="22"/>
          <w:szCs w:val="22"/>
        </w:rPr>
        <w:t xml:space="preserve">ОБЯЗАННОСТИ </w:t>
      </w:r>
      <w:bookmarkEnd w:id="0"/>
      <w:r>
        <w:rPr>
          <w:b/>
          <w:sz w:val="22"/>
          <w:szCs w:val="22"/>
        </w:rPr>
        <w:t>И ПРАВА ПОКУПАТЕЛЯ.</w:t>
      </w:r>
    </w:p>
    <w:p>
      <w:pPr>
        <w:pStyle w:val="Style16"/>
        <w:numPr>
          <w:ilvl w:val="1"/>
          <w:numId w:val="2"/>
        </w:numPr>
        <w:ind w:left="0" w:firstLine="709"/>
        <w:rPr>
          <w:sz w:val="22"/>
          <w:szCs w:val="22"/>
        </w:rPr>
      </w:pPr>
      <w:r>
        <w:rPr>
          <w:sz w:val="22"/>
          <w:szCs w:val="22"/>
        </w:rPr>
        <w:t>Покупатель обязуется:</w:t>
      </w:r>
    </w:p>
    <w:p>
      <w:pPr>
        <w:pStyle w:val="Style16"/>
        <w:numPr>
          <w:ilvl w:val="2"/>
          <w:numId w:val="2"/>
        </w:numPr>
        <w:tabs>
          <w:tab w:val="left" w:pos="1418" w:leader="none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 xml:space="preserve">Принимать и оплачивать потери тепловой энергии и (или) теплоносителя. возникающие в процессе транспортировки по тепловым сетям, в соответствии с установленными тарифами (п.1.2. настоящего договора). </w:t>
      </w:r>
    </w:p>
    <w:p>
      <w:pPr>
        <w:pStyle w:val="Style16"/>
        <w:numPr>
          <w:ilvl w:val="2"/>
          <w:numId w:val="2"/>
        </w:numPr>
        <w:tabs>
          <w:tab w:val="left" w:pos="1418" w:leader="none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 xml:space="preserve">В аварийных случаях, а так же в случаях возникновения неисправностей на тепловых сетях, принадлежащих покупателю, в течение суток незамедлительно и оперативно извещать диспетчерскую службу Поставщика (по тел.: 27-78-05, 27-78-03, 27-79-00), обеспечить срочный ремонт своими силами и средствами. </w:t>
      </w:r>
    </w:p>
    <w:p>
      <w:pPr>
        <w:pStyle w:val="Style16"/>
        <w:numPr>
          <w:ilvl w:val="2"/>
          <w:numId w:val="2"/>
        </w:numPr>
        <w:tabs>
          <w:tab w:val="left" w:pos="1418" w:leader="none"/>
        </w:tabs>
        <w:ind w:left="0" w:firstLine="709"/>
        <w:rPr>
          <w:sz w:val="22"/>
          <w:szCs w:val="22"/>
        </w:rPr>
      </w:pPr>
      <w:r>
        <w:rPr>
          <w:spacing w:val="5"/>
          <w:sz w:val="22"/>
          <w:szCs w:val="22"/>
        </w:rPr>
        <w:t xml:space="preserve">Обеспечивать исправное состояние тепловых сетей, находящихся в его </w:t>
      </w:r>
      <w:r>
        <w:rPr>
          <w:spacing w:val="-2"/>
          <w:sz w:val="22"/>
          <w:szCs w:val="22"/>
        </w:rPr>
        <w:t>ведении.</w:t>
      </w:r>
    </w:p>
    <w:p>
      <w:pPr>
        <w:pStyle w:val="Style16"/>
        <w:numPr>
          <w:ilvl w:val="2"/>
          <w:numId w:val="2"/>
        </w:numPr>
        <w:tabs>
          <w:tab w:val="left" w:pos="1418" w:leader="none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>Поддерживать в исправном техническом состоянии приборы учета и средства регулирования. В случае выявления нарушений, неисправностей в работе и приборов учета своевременно извещать Поставщика (по тел.: 49-04-89).</w:t>
      </w:r>
    </w:p>
    <w:p>
      <w:pPr>
        <w:pStyle w:val="Style16"/>
        <w:numPr>
          <w:ilvl w:val="2"/>
          <w:numId w:val="2"/>
        </w:numPr>
        <w:tabs>
          <w:tab w:val="left" w:pos="1418" w:leader="none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 xml:space="preserve">Обеспечивать уполномоченным представителям Поставщика право беспрепятственного доступа в любое время суток к системам коммерческого учета. </w:t>
      </w:r>
    </w:p>
    <w:p>
      <w:pPr>
        <w:pStyle w:val="Style16"/>
        <w:numPr>
          <w:ilvl w:val="2"/>
          <w:numId w:val="2"/>
        </w:numPr>
        <w:tabs>
          <w:tab w:val="left" w:pos="1418" w:leader="none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>Сообщать письменно Поставщику в течение 5 (пяти) дней об изменении своего юридического адреса, банковских реквизитов и наименования.</w:t>
      </w:r>
    </w:p>
    <w:p>
      <w:pPr>
        <w:pStyle w:val="Style16"/>
        <w:numPr>
          <w:ilvl w:val="1"/>
          <w:numId w:val="2"/>
        </w:numPr>
        <w:ind w:left="0" w:firstLine="709"/>
        <w:rPr>
          <w:sz w:val="22"/>
          <w:szCs w:val="22"/>
        </w:rPr>
      </w:pPr>
      <w:r>
        <w:rPr>
          <w:sz w:val="22"/>
          <w:szCs w:val="22"/>
        </w:rPr>
        <w:t>Покупатель имеет право:</w:t>
      </w:r>
    </w:p>
    <w:p>
      <w:pPr>
        <w:pStyle w:val="Style16"/>
        <w:numPr>
          <w:ilvl w:val="2"/>
          <w:numId w:val="2"/>
        </w:numPr>
        <w:tabs>
          <w:tab w:val="left" w:pos="1418" w:leader="none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 xml:space="preserve">Вносить предложения об изменении и корректировке Приложения № 1 к настоящему договору. </w:t>
      </w:r>
    </w:p>
    <w:p>
      <w:pPr>
        <w:pStyle w:val="Style16"/>
        <w:numPr>
          <w:ilvl w:val="0"/>
          <w:numId w:val="2"/>
        </w:numPr>
        <w:ind w:left="0" w:hanging="0"/>
        <w:jc w:val="center"/>
        <w:rPr>
          <w:b/>
          <w:b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ПОРЯДОК РАСЧЕТОВ. </w:t>
      </w:r>
    </w:p>
    <w:p>
      <w:pPr>
        <w:pStyle w:val="Normal"/>
        <w:ind w:left="0" w:firstLine="709"/>
        <w:rPr>
          <w:rStyle w:val="Style14"/>
          <w:sz w:val="22"/>
          <w:szCs w:val="22"/>
        </w:rPr>
      </w:pPr>
      <w:r>
        <w:rPr>
          <w:sz w:val="22"/>
          <w:szCs w:val="22"/>
        </w:rPr>
        <w:t>4.1.</w:t>
        <w:tab/>
      </w:r>
      <w:r>
        <w:rPr>
          <w:rStyle w:val="Style14"/>
          <w:sz w:val="22"/>
          <w:szCs w:val="22"/>
        </w:rPr>
        <w:t xml:space="preserve">Расчет объема потерь тепловой энергии и (или) теплоносителя производится в соответствии с законодательством Российской Федерации. </w:t>
      </w:r>
    </w:p>
    <w:p>
      <w:pPr>
        <w:pStyle w:val="BodyTextIndent2"/>
        <w:spacing w:lineRule="auto" w:line="240" w:before="0" w:after="0"/>
        <w:ind w:left="0" w:firstLine="697"/>
        <w:rPr>
          <w:sz w:val="22"/>
          <w:szCs w:val="22"/>
        </w:rPr>
      </w:pPr>
      <w:r>
        <w:rPr>
          <w:sz w:val="22"/>
          <w:szCs w:val="22"/>
        </w:rPr>
        <w:t>4.2.</w:t>
        <w:tab/>
        <w:t>Поставщик и Покупатель 30-го числа ежемесячно производят совместное снятие показаний приборов учета тепловой энергии  на границе между Поставщиком и Покупателем, оформляют акт снятия показаний, подписанный уполномоченными представителями сторон, при этом срок снятия показаний не должен превышать 48 часов.</w:t>
      </w:r>
    </w:p>
    <w:p>
      <w:pPr>
        <w:pStyle w:val="BodyTextIndent2"/>
        <w:spacing w:lineRule="auto" w:line="240" w:before="0" w:after="0"/>
        <w:ind w:left="0" w:firstLine="697"/>
        <w:rPr>
          <w:sz w:val="22"/>
          <w:szCs w:val="22"/>
        </w:rPr>
      </w:pPr>
      <w:r>
        <w:rPr>
          <w:sz w:val="22"/>
          <w:szCs w:val="22"/>
        </w:rPr>
        <w:t>4.3.</w:t>
        <w:tab/>
        <w:t xml:space="preserve">Объем потерь тепловой энергии и (или) теплоносителя определяется как разница показаний приборов учета между объемом, определенным на разделе границ между Поставщиком и Покупателем (точка приема) и объемом тепловой энергии (или) теплоносителя, поставленной потребителям Поставщика  в точку передачи. </w:t>
      </w:r>
    </w:p>
    <w:p>
      <w:pPr>
        <w:pStyle w:val="BodyTextIndent2"/>
        <w:spacing w:lineRule="auto" w:line="240" w:before="0" w:after="0"/>
        <w:ind w:left="0" w:firstLine="697"/>
        <w:rPr>
          <w:sz w:val="22"/>
          <w:szCs w:val="22"/>
        </w:rPr>
      </w:pPr>
      <w:r>
        <w:rPr>
          <w:sz w:val="22"/>
          <w:szCs w:val="22"/>
        </w:rPr>
        <w:t>4.4.</w:t>
        <w:tab/>
        <w:t xml:space="preserve">При отсутствии прибора учета на разделе границ между Поставщиком и Покупателем объем потерь тепловой энергии и (или) теплоносителя определяется, исходя из расчетных величин, указанных в Приложении № 1 к настоящему договору. </w:t>
      </w:r>
    </w:p>
    <w:p>
      <w:pPr>
        <w:pStyle w:val="Normal"/>
        <w:ind w:left="0" w:firstLine="708"/>
        <w:rPr>
          <w:color w:val="000000"/>
          <w:sz w:val="22"/>
          <w:szCs w:val="22"/>
        </w:rPr>
      </w:pPr>
      <w:r>
        <w:rPr>
          <w:bCs/>
          <w:sz w:val="22"/>
          <w:szCs w:val="22"/>
        </w:rPr>
        <w:t xml:space="preserve">4.5. </w:t>
      </w:r>
      <w:r>
        <w:rPr>
          <w:color w:val="000000"/>
          <w:sz w:val="22"/>
          <w:szCs w:val="22"/>
        </w:rPr>
        <w:t xml:space="preserve"> Расчетным периодом для оплаты тепловых потерь является один календарный месяц.</w:t>
      </w:r>
    </w:p>
    <w:p>
      <w:pPr>
        <w:pStyle w:val="Normal"/>
        <w:suppressAutoHyphens w:val="true"/>
        <w:ind w:left="0" w:firstLine="720"/>
        <w:rPr>
          <w:sz w:val="22"/>
          <w:szCs w:val="22"/>
          <w:lang w:eastAsia="en-US"/>
        </w:rPr>
      </w:pPr>
      <w:r>
        <w:rPr>
          <w:bCs/>
          <w:sz w:val="22"/>
          <w:szCs w:val="22"/>
        </w:rPr>
        <w:t xml:space="preserve">4.6. </w:t>
      </w:r>
      <w:r>
        <w:rPr>
          <w:sz w:val="22"/>
          <w:szCs w:val="22"/>
        </w:rPr>
        <w:t xml:space="preserve">По окончании расчетного периода Поставщик предъявляет Покупателю счет-фактуру, счет и Акт приема-передачи в 2-х экземплярах. Покупатель возвращает один экземпляр Акта приема-передачи подписанным руководителем и скрепленным печатью, </w:t>
      </w:r>
      <w:r>
        <w:rPr>
          <w:sz w:val="22"/>
          <w:szCs w:val="22"/>
          <w:lang w:eastAsia="en-US"/>
        </w:rPr>
        <w:t xml:space="preserve">в адрес Поставщика не позднее 5-ти рабочих дней с момента получения. </w:t>
      </w:r>
    </w:p>
    <w:p>
      <w:pPr>
        <w:pStyle w:val="Style16"/>
        <w:ind w:left="0" w:firstLine="709"/>
        <w:rPr>
          <w:sz w:val="22"/>
          <w:szCs w:val="22"/>
        </w:rPr>
      </w:pPr>
      <w:r>
        <w:rPr>
          <w:sz w:val="22"/>
          <w:szCs w:val="22"/>
        </w:rPr>
        <w:t>Отказ от подписи Акта не освобождает Покупателя от оплаты.</w:t>
      </w:r>
    </w:p>
    <w:p>
      <w:pPr>
        <w:pStyle w:val="ListParagraph"/>
        <w:numPr>
          <w:ilvl w:val="1"/>
          <w:numId w:val="5"/>
        </w:numPr>
        <w:ind w:left="0" w:firstLine="709"/>
        <w:rPr>
          <w:b/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Покупатель</w:t>
      </w:r>
      <w:r>
        <w:rPr>
          <w:sz w:val="22"/>
          <w:szCs w:val="22"/>
        </w:rPr>
        <w:t xml:space="preserve"> оплачивает  объем потерь тепловой энергии и (или) теплоносителя в следующем порядке:</w:t>
      </w:r>
    </w:p>
    <w:p>
      <w:pPr>
        <w:pStyle w:val="Normal"/>
        <w:widowControl w:val="false"/>
        <w:ind w:left="0" w:firstLine="357"/>
        <w:rPr>
          <w:rFonts w:eastAsia="Calibri"/>
          <w:sz w:val="22"/>
          <w:szCs w:val="22"/>
          <w:lang w:eastAsia="en-US"/>
        </w:rPr>
      </w:pPr>
      <w:r>
        <w:rPr>
          <w:b/>
          <w:sz w:val="22"/>
          <w:szCs w:val="22"/>
        </w:rPr>
        <w:t>-</w:t>
        <w:tab/>
      </w:r>
      <w:r>
        <w:rPr>
          <w:rFonts w:eastAsia="Calibri"/>
          <w:sz w:val="22"/>
          <w:szCs w:val="22"/>
          <w:lang w:eastAsia="en-US"/>
        </w:rPr>
        <w:t xml:space="preserve">35 процентов плановой общей стоимости тепловых потерь, возникших в месяце, за который осуществляется оплата, вносится до 18-го числа текущего месяца, и </w:t>
      </w:r>
    </w:p>
    <w:p>
      <w:pPr>
        <w:pStyle w:val="Normal"/>
        <w:widowControl w:val="false"/>
        <w:ind w:left="0" w:firstLine="357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</w:t>
        <w:tab/>
        <w:t>50 процентов плановой общей стоимости тепловой энергии, потребляемой в месяце, за который осуществляется оплата, вносится до истечения последнего числа текущего месяца;</w:t>
      </w:r>
    </w:p>
    <w:p>
      <w:pPr>
        <w:pStyle w:val="Normal"/>
        <w:widowControl w:val="false"/>
        <w:ind w:left="0" w:firstLine="357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</w:t>
        <w:tab/>
        <w:t xml:space="preserve">оплата за фактически потребленную в истекшем месяце тепловую энергию </w:t>
      </w:r>
      <w:r>
        <w:rPr>
          <w:sz w:val="22"/>
          <w:szCs w:val="22"/>
        </w:rPr>
        <w:t>и теплоноситель</w:t>
      </w:r>
      <w:r>
        <w:rPr>
          <w:rFonts w:eastAsia="Calibri"/>
          <w:sz w:val="22"/>
          <w:szCs w:val="22"/>
          <w:lang w:eastAsia="en-US"/>
        </w:rPr>
        <w:t xml:space="preserve"> с учетом средств, ранее внесенных потребителем в качестве оплаты за тепловую энергию в расчетном периоде, осуществляется до 10-го числа месяца, следующего за месяцем, за который осуществляется оплата. В случае если объем фактического потребления тепловой энергии за истекший месяц меньше договорного объема, определенного договором теплоснабжения, излишне уплаченная сумма засчитывается в счет предстоящего платежа за следующий месяц.</w:t>
      </w:r>
    </w:p>
    <w:p>
      <w:pPr>
        <w:pStyle w:val="Normal"/>
        <w:ind w:left="0" w:firstLine="708"/>
        <w:rPr>
          <w:sz w:val="22"/>
          <w:szCs w:val="22"/>
        </w:rPr>
      </w:pPr>
      <w:r>
        <w:rPr>
          <w:bCs/>
          <w:sz w:val="22"/>
          <w:szCs w:val="22"/>
        </w:rPr>
        <w:t>4.8.</w:t>
        <w:tab/>
      </w:r>
      <w:r>
        <w:rPr>
          <w:color w:val="000000"/>
          <w:sz w:val="22"/>
          <w:szCs w:val="22"/>
        </w:rPr>
        <w:t xml:space="preserve">Покупатель обязан произвести оплату тепловых потерь путем перечисления денежных средств на расчетный счет Поставщика </w:t>
      </w:r>
      <w:r>
        <w:rPr>
          <w:sz w:val="22"/>
          <w:szCs w:val="22"/>
        </w:rPr>
        <w:t xml:space="preserve">или другими формами расчетов, не запрещенными действующим законодательством. </w:t>
      </w:r>
    </w:p>
    <w:p>
      <w:pPr>
        <w:pStyle w:val="Normal"/>
        <w:numPr>
          <w:ilvl w:val="1"/>
          <w:numId w:val="6"/>
        </w:numPr>
        <w:suppressAutoHyphens w:val="true"/>
        <w:ind w:left="0" w:firstLine="709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</w:t>
      </w:r>
      <w:r>
        <w:rPr>
          <w:rFonts w:eastAsia="Calibri"/>
          <w:sz w:val="22"/>
          <w:szCs w:val="22"/>
          <w:lang w:eastAsia="en-US"/>
        </w:rPr>
        <w:t xml:space="preserve">В случае несвоевременной и (или) неполной оплаты потерь тепловой энергии и (или) теплоносителя по настоящему договору </w:t>
      </w:r>
      <w:r>
        <w:rPr>
          <w:bCs/>
          <w:sz w:val="22"/>
          <w:szCs w:val="22"/>
        </w:rPr>
        <w:t>Покупатель</w:t>
      </w:r>
      <w:r>
        <w:rPr>
          <w:rFonts w:eastAsia="Calibri"/>
          <w:sz w:val="22"/>
          <w:szCs w:val="22"/>
          <w:lang w:eastAsia="en-US"/>
        </w:rPr>
        <w:t xml:space="preserve"> несет ответственность, предусмотренную действующим законодательством.</w:t>
      </w:r>
    </w:p>
    <w:p>
      <w:pPr>
        <w:pStyle w:val="Normal"/>
        <w:tabs>
          <w:tab w:val="left" w:pos="10348" w:leader="none"/>
        </w:tabs>
        <w:ind w:left="0" w:firstLine="709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5. ОТВЕТСТВЕННОСТЬ СТОРОН.</w:t>
      </w:r>
    </w:p>
    <w:p>
      <w:pPr>
        <w:pStyle w:val="BodyText2"/>
        <w:spacing w:lineRule="auto" w:line="240" w:before="0" w:after="0"/>
        <w:ind w:left="0" w:firstLine="709"/>
        <w:rPr>
          <w:b/>
          <w:b/>
          <w:i/>
          <w:i/>
          <w:sz w:val="22"/>
          <w:szCs w:val="22"/>
          <w:u w:val="single"/>
        </w:rPr>
      </w:pPr>
      <w:r>
        <w:rPr>
          <w:sz w:val="22"/>
          <w:szCs w:val="22"/>
        </w:rPr>
        <w:t>5.1.</w:t>
        <w:tab/>
        <w:t>Границы ответственности за состояние и обслуживание тепловых сетей устанавливаются актом раздела границ Приложение №2.</w:t>
      </w:r>
    </w:p>
    <w:p>
      <w:pPr>
        <w:pStyle w:val="Normal"/>
        <w:ind w:left="0" w:firstLine="709"/>
        <w:rPr>
          <w:rStyle w:val="Style14"/>
          <w:sz w:val="22"/>
          <w:szCs w:val="22"/>
        </w:rPr>
      </w:pPr>
      <w:r>
        <w:rPr>
          <w:sz w:val="22"/>
          <w:szCs w:val="22"/>
        </w:rPr>
        <w:t>5.2. Список должностных лиц Поставщика и Покупателя, имеющих право ведения оперативных переговоров, подписания ежемесячных отчетов о потреблении тепловой энергии, рабочих телефонов и факса для оперативной связи, указан в Приложении №4.</w:t>
      </w:r>
    </w:p>
    <w:p>
      <w:pPr>
        <w:pStyle w:val="Normal"/>
        <w:ind w:left="0" w:firstLine="709"/>
        <w:rPr>
          <w:sz w:val="22"/>
          <w:szCs w:val="22"/>
        </w:rPr>
      </w:pPr>
      <w:r>
        <w:rPr>
          <w:sz w:val="22"/>
          <w:szCs w:val="22"/>
        </w:rPr>
        <w:t>5.3.</w:t>
        <w:tab/>
        <w:t>За неисполнение или ненадлежащее исполнение обязательств по настоящему договору каждая сторона несет ответственность в соответствии с законодательством Российской Федерации.</w:t>
      </w:r>
    </w:p>
    <w:p>
      <w:pPr>
        <w:pStyle w:val="BodyText2"/>
        <w:spacing w:lineRule="auto" w:line="240" w:before="0" w:after="0"/>
        <w:ind w:left="0" w:firstLine="709"/>
        <w:rPr>
          <w:sz w:val="22"/>
          <w:szCs w:val="22"/>
        </w:rPr>
      </w:pPr>
      <w:r>
        <w:rPr>
          <w:sz w:val="22"/>
          <w:szCs w:val="22"/>
        </w:rPr>
        <w:t>5.4.</w:t>
        <w:tab/>
        <w:t xml:space="preserve">В случаях допущения утечки, а также загрязнения теплоносителя, на основании 2-хстороннего акта Покупатель дополнительно оплачивает Поставщику стоимость тепловой энергии и (или) теплоносителя согласно утвержденным тарифам. </w:t>
      </w:r>
    </w:p>
    <w:p>
      <w:pPr>
        <w:pStyle w:val="Normal"/>
        <w:tabs>
          <w:tab w:val="left" w:pos="10348" w:leader="none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>5.5. Стороны освобождаются от ответственности за неисполнение или не надлежащее исполнение обязательств по настоящему договору, если это явилось следствием обстоятельств непреодолимой силы, возникших после заключения договора, как-то: стихийные бедствия, военные действия любого характера, правительственные постановления или распоряжения государственных органов, препятствующие выполнению условий настоящего договора.</w:t>
      </w:r>
    </w:p>
    <w:p>
      <w:pPr>
        <w:pStyle w:val="Normal"/>
        <w:tabs>
          <w:tab w:val="left" w:pos="10348" w:leader="none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>5.6. Все споры и разногласия, возникающие в связи с исполнением, заключением и расторжением настоящего договора, подлежат разрешению в Арбитражном суде Камчатского края. Каждая из сторон имеет право обратиться  с заявлением об урегулировании разногласий, возникших при заключении, изменении настоящего контракта (договора), в арбитражный суд.</w:t>
      </w:r>
    </w:p>
    <w:p>
      <w:pPr>
        <w:pStyle w:val="Normal"/>
        <w:tabs>
          <w:tab w:val="left" w:pos="10348" w:leader="none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>5.7. Спор, возникающий из настоящего договора, может быть передан на разрешение арбитражного суда после принятия Сторонами мер по досудебному урегулированию по истечении десяти календарных дней со дня направления претензии (требования).</w:t>
      </w:r>
    </w:p>
    <w:p>
      <w:pPr>
        <w:pStyle w:val="Normal"/>
        <w:tabs>
          <w:tab w:val="left" w:pos="10348" w:leader="none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yle16"/>
        <w:numPr>
          <w:ilvl w:val="0"/>
          <w:numId w:val="4"/>
        </w:numPr>
        <w:ind w:left="0" w:hanging="0"/>
        <w:jc w:val="center"/>
        <w:rPr>
          <w:b/>
          <w:b/>
          <w:sz w:val="22"/>
          <w:szCs w:val="22"/>
          <w:u w:val="single"/>
        </w:rPr>
      </w:pPr>
      <w:r>
        <w:rPr>
          <w:b/>
          <w:sz w:val="22"/>
          <w:szCs w:val="22"/>
        </w:rPr>
        <w:t>СРОК ДЕЙСТВИЯ  ДОГОВОРА.</w:t>
      </w:r>
    </w:p>
    <w:p>
      <w:pPr>
        <w:pStyle w:val="ListParagraph"/>
        <w:keepNext w:val="true"/>
        <w:numPr>
          <w:ilvl w:val="0"/>
          <w:numId w:val="0"/>
        </w:numPr>
        <w:ind w:left="0" w:firstLine="708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6.1. Договор вступает в силу с момента подписания, распространяет свое действие на правоотношения возникшие с _______________, действует по ____________ включительно и считается продленным на каждый следующий календарный год и на тех же условиях, если за 1 (один) месяц до окончания срока его действия ни одна из сторон не заявит о его прекращении или изменении, либо о заключении договора на иных условиях. </w:t>
      </w:r>
    </w:p>
    <w:p>
      <w:pPr>
        <w:pStyle w:val="ListParagraph"/>
        <w:ind w:left="0" w:firstLine="708"/>
        <w:rPr>
          <w:sz w:val="22"/>
          <w:szCs w:val="22"/>
        </w:rPr>
      </w:pPr>
      <w:r>
        <w:rPr>
          <w:sz w:val="22"/>
          <w:szCs w:val="22"/>
        </w:rPr>
        <w:t>6.2.  В части расчетов за потери тепловой энергии и (или) теплоноситель договор действует  до полного исполнения обязательств по оплате.</w:t>
      </w:r>
    </w:p>
    <w:p>
      <w:pPr>
        <w:pStyle w:val="Normal"/>
        <w:ind w:left="0" w:firstLine="709"/>
        <w:rPr>
          <w:sz w:val="22"/>
          <w:szCs w:val="22"/>
        </w:rPr>
      </w:pPr>
      <w:r>
        <w:rPr>
          <w:sz w:val="22"/>
          <w:szCs w:val="22"/>
        </w:rPr>
        <w:t>6.3. Все изменения и дополнения в настоящий договор оформляются путем заключения письменного дополнительного соглашения.</w:t>
      </w:r>
    </w:p>
    <w:p>
      <w:pPr>
        <w:pStyle w:val="Normal"/>
        <w:ind w:left="0" w:firstLine="70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yle16"/>
        <w:numPr>
          <w:ilvl w:val="0"/>
          <w:numId w:val="4"/>
        </w:numPr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ПРИЛОЖЕНИЯ К ДОГОВОРУ. </w:t>
      </w:r>
    </w:p>
    <w:p>
      <w:pPr>
        <w:pStyle w:val="Style16"/>
        <w:ind w:left="0" w:hanging="0"/>
        <w:rPr>
          <w:sz w:val="22"/>
          <w:szCs w:val="22"/>
        </w:rPr>
      </w:pPr>
      <w:r>
        <w:rPr>
          <w:sz w:val="22"/>
          <w:szCs w:val="22"/>
        </w:rPr>
        <w:t>Приложения являются неотъемлемой частью договора.</w:t>
      </w:r>
    </w:p>
    <w:p>
      <w:pPr>
        <w:pStyle w:val="Style16"/>
        <w:ind w:left="0" w:hanging="0"/>
        <w:rPr/>
      </w:pPr>
      <w:r>
        <w:rPr>
          <w:sz w:val="22"/>
          <w:szCs w:val="22"/>
        </w:rPr>
        <w:t xml:space="preserve">Приложение № 1.  Расчет потребления тепловой энергии в целях компенсации потерь. </w:t>
      </w:r>
    </w:p>
    <w:p>
      <w:pPr>
        <w:pStyle w:val="Normal"/>
        <w:ind w:left="1985" w:hanging="1985"/>
        <w:rPr/>
      </w:pPr>
      <w:r>
        <w:rPr>
          <w:rStyle w:val="Style14"/>
          <w:sz w:val="22"/>
          <w:szCs w:val="22"/>
        </w:rPr>
        <w:t xml:space="preserve">Приложение № 2. </w:t>
      </w:r>
      <w:r>
        <w:rPr>
          <w:sz w:val="22"/>
          <w:szCs w:val="22"/>
        </w:rPr>
        <w:t>Акт разграничения балансовой принадлежности и эксплуатационной ответственности сторон.</w:t>
      </w:r>
    </w:p>
    <w:p>
      <w:pPr>
        <w:pStyle w:val="Normal"/>
        <w:ind w:left="0" w:hanging="0"/>
        <w:rPr/>
      </w:pPr>
      <w:r>
        <w:rPr>
          <w:sz w:val="22"/>
          <w:szCs w:val="22"/>
        </w:rPr>
        <w:t xml:space="preserve">Приложение № 3. График регулирования отпуска тепла </w:t>
      </w:r>
      <w:r>
        <w:rPr>
          <w:sz w:val="22"/>
          <w:szCs w:val="22"/>
          <w:lang w:val="en-US"/>
        </w:rPr>
        <w:t>c</w:t>
      </w:r>
      <w:r>
        <w:rPr>
          <w:sz w:val="22"/>
          <w:szCs w:val="22"/>
        </w:rPr>
        <w:t xml:space="preserve"> источника тепловой энергии.</w:t>
      </w:r>
    </w:p>
    <w:p>
      <w:pPr>
        <w:pStyle w:val="Normal"/>
        <w:ind w:left="1985" w:hanging="1985"/>
        <w:rPr>
          <w:sz w:val="22"/>
          <w:szCs w:val="22"/>
        </w:rPr>
      </w:pPr>
      <w:r>
        <w:rPr>
          <w:sz w:val="22"/>
          <w:szCs w:val="22"/>
        </w:rPr>
        <w:t>Приложение № 4. Список лиц, имеющих право проведения оперативных переговоров, подписания ежемесячных отчетов о потреблении тепловой энергии.</w:t>
      </w:r>
    </w:p>
    <w:p>
      <w:pPr>
        <w:pStyle w:val="Normal"/>
        <w:ind w:left="1985" w:hanging="1951"/>
        <w:jc w:val="left"/>
        <w:rPr/>
      </w:pPr>
      <w:r>
        <w:rPr>
          <w:rFonts w:eastAsia="Calibri"/>
          <w:sz w:val="22"/>
          <w:szCs w:val="22"/>
          <w:lang w:eastAsia="en-US"/>
        </w:rPr>
        <w:t>Приложение № 5 Перечень точек учета и узлов (приборов) учета тепловой энергии (мощности) и (или) теплоносителя у Потребителя.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4"/>
        </w:numPr>
        <w:ind w:left="0" w:hanging="0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РЕКВИЗИТЫ СТОРОН.</w:t>
      </w:r>
    </w:p>
    <w:p>
      <w:pPr>
        <w:pStyle w:val="ListParagraph"/>
        <w:ind w:left="0" w:hanging="0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tbl>
      <w:tblPr>
        <w:tblW w:w="10355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5495"/>
        <w:gridCol w:w="4859"/>
      </w:tblGrid>
      <w:tr>
        <w:trPr>
          <w:trHeight w:val="3745" w:hRule="atLeast"/>
        </w:trPr>
        <w:tc>
          <w:tcPr>
            <w:tcW w:w="5495" w:type="dxa"/>
            <w:tcBorders/>
            <w:shd w:fill="auto" w:val="clear"/>
          </w:tcPr>
          <w:p>
            <w:pPr>
              <w:pStyle w:val="Normal"/>
              <w:ind w:left="0" w:right="255" w:hanging="0"/>
              <w:jc w:val="center"/>
              <w:rPr/>
            </w:pPr>
            <w:r>
              <w:rPr>
                <w:b/>
                <w:sz w:val="22"/>
                <w:szCs w:val="22"/>
              </w:rPr>
              <w:t>Поставщик</w:t>
            </w:r>
          </w:p>
          <w:p>
            <w:pPr>
              <w:pStyle w:val="Style16"/>
              <w:spacing w:lineRule="auto" w:line="240"/>
              <w:ind w:right="310" w:hanging="0"/>
              <w:rPr/>
            </w:pPr>
            <w:bookmarkStart w:id="1" w:name="__DdeLink__1218_587274678"/>
            <w:r>
              <w:rPr>
                <w:b/>
                <w:sz w:val="22"/>
                <w:szCs w:val="22"/>
              </w:rPr>
              <w:t>Публичное акционерное общество энергетики и электрификации «Камчатскэнерго»</w:t>
            </w:r>
          </w:p>
          <w:p>
            <w:pPr>
              <w:pStyle w:val="Style16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683000, Камчатский край,</w:t>
            </w:r>
          </w:p>
          <w:p>
            <w:pPr>
              <w:pStyle w:val="Style16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г. Петропавловск-Камчатский,</w:t>
            </w:r>
          </w:p>
          <w:p>
            <w:pPr>
              <w:pStyle w:val="Style16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 xml:space="preserve">ул. Набережная, д. 10 </w:t>
            </w:r>
          </w:p>
          <w:p>
            <w:pPr>
              <w:pStyle w:val="Style16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ИНН 4100000668</w:t>
            </w:r>
          </w:p>
          <w:p>
            <w:pPr>
              <w:pStyle w:val="Style16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 xml:space="preserve">КПП 410101001 </w:t>
            </w:r>
          </w:p>
          <w:p>
            <w:pPr>
              <w:pStyle w:val="Style16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КПП 775050001 поставлено на учет в качестве крупнейшего налогоплательщика с 08.02.2019</w:t>
            </w:r>
          </w:p>
          <w:p>
            <w:pPr>
              <w:pStyle w:val="Style16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Код ОКТМО 30701000001</w:t>
            </w:r>
          </w:p>
          <w:p>
            <w:pPr>
              <w:pStyle w:val="Style16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ОКПО 00106106</w:t>
            </w:r>
          </w:p>
          <w:p>
            <w:pPr>
              <w:pStyle w:val="Style16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дата постановки на учет в ИФНС: 18.01.1994</w:t>
            </w:r>
          </w:p>
          <w:p>
            <w:pPr>
              <w:pStyle w:val="Style16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ОО «Дальневосточный» в ФИЛИАЛ «ХАБАРОВСКИЙ»</w:t>
            </w:r>
          </w:p>
          <w:p>
            <w:pPr>
              <w:pStyle w:val="Style16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АО «АЛЬФА-БАНК»</w:t>
            </w:r>
          </w:p>
          <w:p>
            <w:pPr>
              <w:pStyle w:val="Style16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Р/счет  40702810020020005559</w:t>
              <w:tab/>
            </w:r>
          </w:p>
          <w:p>
            <w:pPr>
              <w:pStyle w:val="Style16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К/счет  30101810800000000770</w:t>
            </w:r>
          </w:p>
          <w:p>
            <w:pPr>
              <w:pStyle w:val="Style16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БИК  40813770</w:t>
            </w:r>
          </w:p>
          <w:p>
            <w:pPr>
              <w:pStyle w:val="Style16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 xml:space="preserve">E-mail: </w:t>
            </w:r>
            <w:r>
              <w:rPr>
                <w:rStyle w:val="Style9"/>
                <w:sz w:val="22"/>
                <w:szCs w:val="22"/>
              </w:rPr>
              <w:t>kamenergo@rushydro.ru</w:t>
            </w:r>
          </w:p>
          <w:p>
            <w:pPr>
              <w:pStyle w:val="Style16"/>
              <w:spacing w:lineRule="auto" w:line="240"/>
              <w:ind w:left="0" w:right="255" w:hanging="0"/>
              <w:rPr/>
            </w:pPr>
            <w:bookmarkStart w:id="2" w:name="__DdeLink__1218_587274678"/>
            <w:r>
              <w:rPr>
                <w:b/>
                <w:color w:val="000000"/>
                <w:sz w:val="22"/>
                <w:szCs w:val="22"/>
              </w:rPr>
              <w:t xml:space="preserve">Официальный сайт ПАО «Камчатскэнерго»: </w:t>
            </w:r>
            <w:hyperlink r:id="rId3">
              <w:bookmarkEnd w:id="2"/>
              <w:r>
                <w:rPr>
                  <w:rStyle w:val="Style9"/>
                  <w:b/>
                  <w:sz w:val="22"/>
                  <w:szCs w:val="22"/>
                </w:rPr>
                <w:t>www.kamenergo.ru</w:t>
              </w:r>
            </w:hyperlink>
          </w:p>
        </w:tc>
        <w:tc>
          <w:tcPr>
            <w:tcW w:w="4859" w:type="dxa"/>
            <w:tcBorders/>
            <w:shd w:fill="auto" w:val="clear"/>
          </w:tcPr>
          <w:p>
            <w:pPr>
              <w:pStyle w:val="Normal"/>
              <w:ind w:left="34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</w:t>
            </w:r>
          </w:p>
          <w:p>
            <w:pPr>
              <w:pStyle w:val="103"/>
              <w:rPr>
                <w:b w:val="false"/>
                <w:b w:val="false"/>
                <w:color w:val="0000CC"/>
                <w:sz w:val="22"/>
                <w:szCs w:val="22"/>
              </w:rPr>
            </w:pPr>
            <w:r>
              <w:rPr>
                <w:b w:val="false"/>
                <w:color w:val="0000CC"/>
                <w:sz w:val="22"/>
                <w:szCs w:val="22"/>
              </w:rPr>
            </w:r>
          </w:p>
          <w:p>
            <w:pPr>
              <w:pStyle w:val="Style16"/>
              <w:ind w:left="34" w:hanging="34"/>
              <w:rPr/>
            </w:pPr>
            <w:r>
              <w:rPr>
                <w:iCs/>
                <w:color w:val="0000FF"/>
                <w:sz w:val="22"/>
                <w:szCs w:val="22"/>
              </w:rPr>
              <w:t>_________________________________________</w:t>
            </w:r>
          </w:p>
          <w:p>
            <w:pPr>
              <w:pStyle w:val="Style16"/>
              <w:ind w:left="34" w:hanging="3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  <w:p>
            <w:pPr>
              <w:pStyle w:val="Style16"/>
              <w:ind w:left="34" w:hanging="3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Телефон__________________________________</w:t>
            </w:r>
          </w:p>
          <w:p>
            <w:pPr>
              <w:pStyle w:val="Style16"/>
              <w:ind w:left="34" w:hanging="3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Факс_____________________________________</w:t>
            </w:r>
          </w:p>
          <w:p>
            <w:pPr>
              <w:pStyle w:val="Style16"/>
              <w:ind w:left="34" w:hanging="34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Адрес электронной почты ___________________</w:t>
            </w:r>
          </w:p>
          <w:p>
            <w:pPr>
              <w:pStyle w:val="Style16"/>
              <w:ind w:left="34" w:hanging="3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ИНН/КПП_________________________________</w:t>
            </w:r>
          </w:p>
          <w:p>
            <w:pPr>
              <w:pStyle w:val="Style16"/>
              <w:ind w:left="34" w:hanging="3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ОКВЭД___________ОКПО______________</w:t>
            </w:r>
          </w:p>
          <w:p>
            <w:pPr>
              <w:pStyle w:val="Style16"/>
              <w:ind w:left="34" w:hanging="3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ОГРН_______________________________</w:t>
            </w:r>
          </w:p>
          <w:p>
            <w:pPr>
              <w:pStyle w:val="Style16"/>
              <w:ind w:left="34" w:hanging="3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ОКФС____________________</w:t>
            </w:r>
          </w:p>
          <w:p>
            <w:pPr>
              <w:pStyle w:val="Style16"/>
              <w:ind w:left="34" w:hanging="3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ОКОПФ______________________________</w:t>
            </w:r>
          </w:p>
          <w:p>
            <w:pPr>
              <w:pStyle w:val="Style16"/>
              <w:ind w:left="34" w:hanging="3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Банк ________________________________</w:t>
            </w:r>
          </w:p>
          <w:p>
            <w:pPr>
              <w:pStyle w:val="Style16"/>
              <w:ind w:left="34" w:hanging="3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_____________________________________</w:t>
            </w:r>
          </w:p>
          <w:p>
            <w:pPr>
              <w:pStyle w:val="Style16"/>
              <w:ind w:left="34" w:hanging="3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Р/счет _______________________________</w:t>
            </w:r>
          </w:p>
          <w:p>
            <w:pPr>
              <w:pStyle w:val="Style16"/>
              <w:ind w:left="34" w:hanging="3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БИК _________________________________</w:t>
            </w:r>
          </w:p>
          <w:p>
            <w:pPr>
              <w:pStyle w:val="Style16"/>
              <w:ind w:left="34" w:hanging="3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Режим налогообложения___________</w:t>
            </w:r>
          </w:p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675" w:hRule="atLeast"/>
        </w:trPr>
        <w:tc>
          <w:tcPr>
            <w:tcW w:w="5495" w:type="dxa"/>
            <w:tcBorders/>
            <w:shd w:fill="auto" w:val="clear"/>
          </w:tcPr>
          <w:p>
            <w:pPr>
              <w:pStyle w:val="Normal"/>
              <w:ind w:left="0" w:right="255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_________________ ___________</w:t>
            </w:r>
          </w:p>
          <w:p>
            <w:pPr>
              <w:pStyle w:val="Normal"/>
              <w:ind w:left="0" w:right="255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>м.п.</w:t>
            </w:r>
          </w:p>
          <w:p>
            <w:pPr>
              <w:pStyle w:val="Normal"/>
              <w:ind w:left="0" w:right="255" w:hanging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</w:t>
            </w:r>
            <w:r>
              <w:rPr>
                <w:bCs/>
                <w:sz w:val="22"/>
                <w:szCs w:val="22"/>
              </w:rPr>
              <w:t>«___»______________20___</w:t>
            </w:r>
          </w:p>
          <w:p>
            <w:pPr>
              <w:pStyle w:val="Normal"/>
              <w:ind w:left="0" w:right="255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859" w:type="dxa"/>
            <w:tcBorders/>
            <w:shd w:fill="auto" w:val="clear"/>
          </w:tcPr>
          <w:p>
            <w:pPr>
              <w:pStyle w:val="Normal"/>
              <w:ind w:left="0" w:hanging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>_________________</w:t>
            </w:r>
            <w:r>
              <w:rPr>
                <w:bCs/>
                <w:sz w:val="22"/>
                <w:szCs w:val="22"/>
              </w:rPr>
              <w:t xml:space="preserve">                 </w:t>
            </w:r>
          </w:p>
          <w:p>
            <w:pPr>
              <w:pStyle w:val="Normal"/>
              <w:ind w:left="0" w:hanging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   </w:t>
            </w:r>
            <w:r>
              <w:rPr>
                <w:bCs/>
                <w:sz w:val="22"/>
                <w:szCs w:val="22"/>
              </w:rPr>
              <w:t>м.п.</w:t>
            </w:r>
          </w:p>
          <w:p>
            <w:pPr>
              <w:pStyle w:val="Normal"/>
              <w:ind w:left="0" w:hanging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</w:t>
            </w:r>
            <w:r>
              <w:rPr>
                <w:bCs/>
                <w:sz w:val="22"/>
                <w:szCs w:val="22"/>
              </w:rPr>
              <w:t xml:space="preserve">«___»_______________20___ </w:t>
            </w:r>
          </w:p>
        </w:tc>
      </w:tr>
    </w:tbl>
    <w:p>
      <w:pPr>
        <w:pStyle w:val="Normal"/>
        <w:ind w:left="0"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</w:r>
      <w:r>
        <w:br w:type="page"/>
      </w:r>
    </w:p>
    <w:p>
      <w:pPr>
        <w:pStyle w:val="Normal"/>
        <w:ind w:left="0" w:hanging="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№4</w:t>
      </w:r>
    </w:p>
    <w:p>
      <w:pPr>
        <w:pStyle w:val="Style20"/>
        <w:tabs>
          <w:tab w:val="left" w:pos="708" w:leader="none"/>
          <w:tab w:val="center" w:pos="4153" w:leader="none"/>
          <w:tab w:val="right" w:pos="8306" w:leader="none"/>
        </w:tabs>
        <w:ind w:left="9072" w:hanging="907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поставки тепловой энергии </w:t>
      </w:r>
    </w:p>
    <w:p>
      <w:pPr>
        <w:pStyle w:val="Style20"/>
        <w:tabs>
          <w:tab w:val="left" w:pos="708" w:leader="none"/>
          <w:tab w:val="center" w:pos="4153" w:leader="none"/>
          <w:tab w:val="right" w:pos="8306" w:leader="none"/>
        </w:tabs>
        <w:ind w:left="9072" w:hanging="9072"/>
        <w:jc w:val="right"/>
        <w:rPr>
          <w:sz w:val="22"/>
          <w:szCs w:val="22"/>
        </w:rPr>
      </w:pPr>
      <w:r>
        <w:rPr>
          <w:sz w:val="22"/>
          <w:szCs w:val="22"/>
        </w:rPr>
        <w:t>и (или) теплоносителя в целях компенсации потерь</w:t>
      </w:r>
    </w:p>
    <w:p>
      <w:pPr>
        <w:pStyle w:val="Normal"/>
        <w:ind w:left="0" w:hanging="0"/>
        <w:jc w:val="right"/>
        <w:rPr>
          <w:sz w:val="22"/>
          <w:szCs w:val="22"/>
        </w:rPr>
      </w:pPr>
      <w:r>
        <w:rPr>
          <w:rStyle w:val="125"/>
          <w:sz w:val="22"/>
          <w:szCs w:val="22"/>
        </w:rPr>
        <w:t xml:space="preserve">№ </w:t>
      </w:r>
      <w:r>
        <w:rPr>
          <w:rStyle w:val="125"/>
          <w:sz w:val="22"/>
          <w:szCs w:val="22"/>
        </w:rPr>
        <w:t>_______________</w:t>
      </w:r>
      <w:r>
        <w:rPr>
          <w:sz w:val="22"/>
          <w:szCs w:val="22"/>
        </w:rPr>
        <w:t xml:space="preserve"> от </w:t>
      </w:r>
      <w:r>
        <w:rPr>
          <w:rStyle w:val="125"/>
          <w:sz w:val="22"/>
          <w:szCs w:val="22"/>
        </w:rPr>
        <w:t>________________</w:t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2"/>
        <w:rPr>
          <w:sz w:val="22"/>
          <w:szCs w:val="22"/>
        </w:rPr>
      </w:pPr>
      <w:r>
        <w:rPr>
          <w:sz w:val="22"/>
          <w:szCs w:val="22"/>
        </w:rPr>
        <w:t xml:space="preserve">Список лиц, имеющих право проведения оперативных переговоров, </w:t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2"/>
        <w:rPr>
          <w:sz w:val="22"/>
          <w:szCs w:val="22"/>
        </w:rPr>
      </w:pPr>
      <w:r>
        <w:rPr>
          <w:sz w:val="22"/>
          <w:szCs w:val="22"/>
        </w:rPr>
        <w:t>подписания ежемесячных отчетов о потреблении тепловой энергии</w:t>
      </w:r>
    </w:p>
    <w:p>
      <w:pPr>
        <w:pStyle w:val="Normal"/>
        <w:keepNext w:val="true"/>
        <w:numPr>
          <w:ilvl w:val="0"/>
          <w:numId w:val="0"/>
        </w:numPr>
        <w:ind w:left="357" w:firstLine="357"/>
        <w:jc w:val="left"/>
        <w:outlineLvl w:val="0"/>
        <w:rPr>
          <w:sz w:val="22"/>
          <w:szCs w:val="22"/>
        </w:rPr>
      </w:pPr>
      <w:r>
        <w:rPr>
          <w:sz w:val="22"/>
          <w:szCs w:val="22"/>
        </w:rPr>
        <w:tab/>
      </w:r>
    </w:p>
    <w:p>
      <w:pPr>
        <w:pStyle w:val="Style16"/>
        <w:rPr>
          <w:iCs/>
          <w:color w:val="0000FF"/>
          <w:sz w:val="22"/>
          <w:szCs w:val="22"/>
        </w:rPr>
      </w:pPr>
      <w:r>
        <w:rPr>
          <w:iCs/>
          <w:color w:val="0000FF"/>
        </w:rPr>
        <w:t xml:space="preserve">   </w:t>
      </w:r>
      <w:r>
        <w:rPr>
          <w:iCs/>
          <w:color w:val="0000FF"/>
          <w:sz w:val="22"/>
          <w:szCs w:val="22"/>
        </w:rPr>
        <w:t xml:space="preserve">   </w:t>
      </w:r>
      <w:r>
        <w:rPr>
          <w:iCs/>
          <w:sz w:val="22"/>
          <w:szCs w:val="22"/>
        </w:rPr>
        <w:t>ТСО</w:t>
      </w:r>
      <w:r>
        <w:rPr>
          <w:iCs/>
          <w:color w:val="0000FF"/>
          <w:sz w:val="22"/>
          <w:szCs w:val="22"/>
        </w:rPr>
        <w:t>:</w:t>
      </w:r>
    </w:p>
    <w:tbl>
      <w:tblPr>
        <w:tblW w:w="10235" w:type="dxa"/>
        <w:jc w:val="left"/>
        <w:tblInd w:w="24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54"/>
        <w:gridCol w:w="3969"/>
        <w:gridCol w:w="5812"/>
      </w:tblGrid>
      <w:tr>
        <w:trPr/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6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5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6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Телефон</w:t>
            </w:r>
          </w:p>
        </w:tc>
      </w:tr>
      <w:tr>
        <w:trPr/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ind w:left="0" w:hang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Начальник отдела реализации энергии корпоративным клиентам </w:t>
            </w:r>
          </w:p>
        </w:tc>
        <w:tc>
          <w:tcPr>
            <w:tcW w:w="5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sz w:val="21"/>
                <w:szCs w:val="21"/>
              </w:rPr>
              <w:t>Петропавловское отделение: 8 (415 2) 29-49-45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sz w:val="21"/>
                <w:szCs w:val="21"/>
              </w:rPr>
              <w:t>Елизовское отделение 8 (415 31) 6-12-69; 6-14-30</w:t>
            </w:r>
          </w:p>
        </w:tc>
      </w:tr>
      <w:tr>
        <w:trPr/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ind w:left="0" w:hang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 реализации энергии корпоративным клиентам</w:t>
            </w:r>
          </w:p>
        </w:tc>
        <w:tc>
          <w:tcPr>
            <w:tcW w:w="5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6"/>
              <w:spacing w:lineRule="auto" w:line="240"/>
              <w:ind w:left="357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Петропавловское отделение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8 (415 2) 299-371; 299-407 (по первичным документам)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8 (415 2) 299-306; 299-362; 298-135 (по расчетам)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Елизовское отделение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212529"/>
                <w:spacing w:val="0"/>
                <w:sz w:val="21"/>
                <w:szCs w:val="21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12529"/>
                <w:spacing w:val="0"/>
                <w:sz w:val="21"/>
                <w:szCs w:val="21"/>
              </w:rPr>
              <w:t>(41531) 6-14-30; 6-12-69</w:t>
            </w:r>
          </w:p>
        </w:tc>
      </w:tr>
      <w:tr>
        <w:trPr/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6"/>
              <w:ind w:left="0" w:hanging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Экономисты по договорной работе </w:t>
            </w:r>
          </w:p>
        </w:tc>
        <w:tc>
          <w:tcPr>
            <w:tcW w:w="5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spacing w:lineRule="auto" w:line="240"/>
              <w:ind w:left="357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Петропавловское отделение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8 (415 2) 29-49-05 (внебюджет)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8 (415 2) 29-49-21 (бюджет)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Елизовское отделение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8(415 31) 6 25 10</w:t>
            </w:r>
          </w:p>
        </w:tc>
      </w:tr>
      <w:tr>
        <w:trPr/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6"/>
              <w:ind w:left="0" w:hanging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Прием показаний приборов учета</w:t>
            </w:r>
          </w:p>
        </w:tc>
        <w:tc>
          <w:tcPr>
            <w:tcW w:w="5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sz w:val="21"/>
                <w:szCs w:val="21"/>
              </w:rPr>
              <w:t>Петропавловское отделение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sz w:val="21"/>
                <w:szCs w:val="21"/>
              </w:rPr>
              <w:t xml:space="preserve">8 (415 2) 299-345 Дрогайцева Наталья Анатольевна </w:t>
            </w:r>
            <w:hyperlink r:id="rId4">
              <w:r>
                <w:rPr>
                  <w:rStyle w:val="Style9"/>
                  <w:sz w:val="21"/>
                  <w:szCs w:val="21"/>
                </w:rPr>
                <w:t>Drogaytseva_NА@kamch.dvec.ru</w:t>
              </w:r>
            </w:hyperlink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sz w:val="21"/>
                <w:szCs w:val="21"/>
              </w:rPr>
              <w:t xml:space="preserve">8 (415 2) 490-489 Мохова Наталья Витальевна  </w:t>
            </w:r>
            <w:hyperlink r:id="rId5">
              <w:r>
                <w:rPr>
                  <w:rStyle w:val="Style9"/>
                  <w:sz w:val="21"/>
                  <w:szCs w:val="21"/>
                </w:rPr>
                <w:t>Mokhova_NV@kamch.dvec.ru</w:t>
              </w:r>
            </w:hyperlink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sz w:val="21"/>
                <w:szCs w:val="21"/>
              </w:rPr>
              <w:t>Елизовское отделение  8 (415 31) 6 23 25</w:t>
            </w:r>
          </w:p>
        </w:tc>
      </w:tr>
      <w:tr>
        <w:trPr/>
        <w:tc>
          <w:tcPr>
            <w:tcW w:w="1023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spacing w:before="120" w:after="120"/>
              <w:jc w:val="center"/>
              <w:rPr>
                <w:b/>
                <w:b/>
                <w:iCs/>
                <w:sz w:val="21"/>
                <w:szCs w:val="21"/>
              </w:rPr>
            </w:pPr>
            <w:r>
              <w:rPr>
                <w:b/>
                <w:iCs/>
                <w:sz w:val="21"/>
                <w:szCs w:val="21"/>
              </w:rPr>
              <w:t>Диспетчерские службы сетевых организаций</w:t>
            </w:r>
          </w:p>
        </w:tc>
      </w:tr>
      <w:tr>
        <w:trPr/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  <w:p>
            <w:pPr>
              <w:pStyle w:val="Style16"/>
              <w:ind w:left="0" w:hanging="0"/>
              <w:rPr/>
            </w:pPr>
            <w:r>
              <w:rPr>
                <w:iCs/>
                <w:sz w:val="21"/>
                <w:szCs w:val="21"/>
              </w:rPr>
              <w:t>Филиал Камчатские ТЭЦ</w:t>
            </w:r>
          </w:p>
        </w:tc>
        <w:tc>
          <w:tcPr>
            <w:tcW w:w="5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ind w:hanging="0"/>
              <w:jc w:val="left"/>
              <w:rPr>
                <w:iCs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8(415 2) </w:t>
            </w:r>
            <w:r>
              <w:rPr>
                <w:iCs/>
                <w:sz w:val="21"/>
                <w:szCs w:val="21"/>
              </w:rPr>
              <w:t xml:space="preserve">277-805; </w:t>
            </w:r>
            <w:r>
              <w:rPr>
                <w:sz w:val="21"/>
                <w:szCs w:val="21"/>
              </w:rPr>
              <w:t xml:space="preserve">8(415 2) </w:t>
            </w:r>
            <w:r>
              <w:rPr>
                <w:iCs/>
                <w:sz w:val="21"/>
                <w:szCs w:val="21"/>
              </w:rPr>
              <w:t>277-806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ind w:left="33" w:hanging="0"/>
              <w:jc w:val="left"/>
              <w:outlineLvl w:val="3"/>
              <w:rPr>
                <w:iCs/>
                <w:sz w:val="21"/>
                <w:szCs w:val="21"/>
              </w:rPr>
            </w:pPr>
            <w:r>
              <w:rPr>
                <w:sz w:val="21"/>
                <w:szCs w:val="21"/>
              </w:rPr>
              <w:t>адрес местонахождения: ул. Степная, д. 50, г. Петропавловск-Камчатский;</w:t>
            </w:r>
          </w:p>
        </w:tc>
      </w:tr>
      <w:tr>
        <w:trPr/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ind w:left="0" w:hanging="0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Филиал «Коммунальная энергетика»</w:t>
            </w:r>
          </w:p>
        </w:tc>
        <w:tc>
          <w:tcPr>
            <w:tcW w:w="5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ind w:left="33" w:hanging="0"/>
              <w:jc w:val="left"/>
              <w:rPr>
                <w:iCs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8(415 2) </w:t>
            </w:r>
            <w:r>
              <w:rPr>
                <w:iCs/>
                <w:sz w:val="21"/>
                <w:szCs w:val="21"/>
              </w:rPr>
              <w:t xml:space="preserve">307-684, </w:t>
            </w:r>
            <w:r>
              <w:rPr>
                <w:sz w:val="21"/>
                <w:szCs w:val="21"/>
              </w:rPr>
              <w:t xml:space="preserve">8(415 2) </w:t>
            </w:r>
            <w:r>
              <w:rPr>
                <w:iCs/>
                <w:sz w:val="21"/>
                <w:szCs w:val="21"/>
              </w:rPr>
              <w:t>307-865</w:t>
            </w:r>
          </w:p>
          <w:p>
            <w:pPr>
              <w:pStyle w:val="Style16"/>
              <w:ind w:left="33" w:hanging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адрес местонахождения: ул. Набережная, д. 30, каб. 522,  г. Петропавловск-Камчатский;</w:t>
            </w:r>
          </w:p>
        </w:tc>
      </w:tr>
    </w:tbl>
    <w:p>
      <w:pPr>
        <w:pStyle w:val="Style16"/>
        <w:rPr>
          <w:iCs/>
          <w:color w:val="0000FF"/>
        </w:rPr>
      </w:pPr>
      <w:r>
        <w:rPr>
          <w:iCs/>
          <w:color w:val="0000FF"/>
        </w:rPr>
      </w:r>
    </w:p>
    <w:p>
      <w:pPr>
        <w:pStyle w:val="Style16"/>
        <w:rPr>
          <w:iCs/>
          <w:sz w:val="22"/>
          <w:szCs w:val="22"/>
        </w:rPr>
      </w:pPr>
      <w:r>
        <w:rPr>
          <w:iCs/>
          <w:color w:val="0000FF"/>
        </w:rPr>
        <w:t xml:space="preserve">   </w:t>
      </w:r>
      <w:r>
        <w:rPr>
          <w:iCs/>
          <w:sz w:val="22"/>
          <w:szCs w:val="22"/>
        </w:rPr>
        <w:t>Потребитель:</w:t>
      </w:r>
    </w:p>
    <w:tbl>
      <w:tblPr>
        <w:tblW w:w="10348" w:type="dxa"/>
        <w:jc w:val="left"/>
        <w:tblInd w:w="24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32"/>
        <w:gridCol w:w="5422"/>
        <w:gridCol w:w="28"/>
        <w:gridCol w:w="4366"/>
      </w:tblGrid>
      <w:tr>
        <w:trPr/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5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67" w:hanging="0"/>
              <w:rPr>
                <w:iCs/>
                <w:sz w:val="21"/>
                <w:szCs w:val="21"/>
              </w:rPr>
            </w:pPr>
            <w:r>
              <w:rPr>
                <w:sz w:val="21"/>
                <w:szCs w:val="21"/>
              </w:rPr>
              <w:t>ФИО уполномоченных должностных лиц, ответственных за выполнение условий договора</w:t>
            </w:r>
          </w:p>
        </w:tc>
        <w:tc>
          <w:tcPr>
            <w:tcW w:w="43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jc w:val="center"/>
              <w:outlineLvl w:val="0"/>
              <w:rPr>
                <w:sz w:val="21"/>
                <w:szCs w:val="21"/>
              </w:rPr>
            </w:pPr>
            <w:r>
              <w:rPr>
                <w:iCs/>
                <w:sz w:val="22"/>
                <w:szCs w:val="22"/>
              </w:rPr>
              <w:t>Телефон</w:t>
            </w:r>
          </w:p>
        </w:tc>
      </w:tr>
      <w:tr>
        <w:trPr/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1</w:t>
            </w:r>
          </w:p>
        </w:tc>
        <w:tc>
          <w:tcPr>
            <w:tcW w:w="5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outlineLvl w:val="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43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2</w:t>
            </w:r>
          </w:p>
        </w:tc>
        <w:tc>
          <w:tcPr>
            <w:tcW w:w="5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outlineLvl w:val="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43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3</w:t>
            </w:r>
          </w:p>
        </w:tc>
        <w:tc>
          <w:tcPr>
            <w:tcW w:w="5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outlineLvl w:val="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43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</w:tr>
      <w:tr>
        <w:trPr/>
        <w:tc>
          <w:tcPr>
            <w:tcW w:w="1034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6"/>
              <w:spacing w:before="120" w:after="120"/>
              <w:jc w:val="center"/>
              <w:rPr>
                <w:iCs/>
                <w:sz w:val="21"/>
                <w:szCs w:val="21"/>
                <w:highlight w:val="yellow"/>
              </w:rPr>
            </w:pPr>
            <w:r>
              <w:rPr>
                <w:iCs/>
                <w:sz w:val="21"/>
                <w:szCs w:val="21"/>
              </w:rPr>
              <w:t>Дополнительная информация:</w:t>
            </w:r>
          </w:p>
        </w:tc>
      </w:tr>
      <w:tr>
        <w:trPr/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6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  <w:p>
            <w:pPr>
              <w:pStyle w:val="Style16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1</w:t>
            </w:r>
          </w:p>
          <w:p>
            <w:pPr>
              <w:pStyle w:val="Style16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54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outlineLvl w:val="3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Номер мобильного телефона для направления уведомления о введении ограничения режима потребления:</w:t>
            </w:r>
          </w:p>
        </w:tc>
        <w:tc>
          <w:tcPr>
            <w:tcW w:w="4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6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2</w:t>
            </w:r>
          </w:p>
        </w:tc>
        <w:tc>
          <w:tcPr>
            <w:tcW w:w="54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ind w:left="0" w:hanging="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Адрес электронной почты для направления уведомления о введении ограничения режима потребления: </w:t>
            </w:r>
          </w:p>
        </w:tc>
        <w:tc>
          <w:tcPr>
            <w:tcW w:w="4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6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3</w:t>
            </w:r>
          </w:p>
        </w:tc>
        <w:tc>
          <w:tcPr>
            <w:tcW w:w="54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uppressAutoHyphens w:val="true"/>
              <w:ind w:left="0" w:hanging="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Адрес электронной почты для направления платежных документов и иной переписки</w:t>
            </w:r>
          </w:p>
        </w:tc>
        <w:tc>
          <w:tcPr>
            <w:tcW w:w="4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16"/>
              <w:ind w:left="0" w:hanging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</w:tr>
      <w:tr>
        <w:trPr/>
        <w:tc>
          <w:tcPr>
            <w:tcW w:w="1034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 xml:space="preserve">Дополняется Потребителем </w:t>
            </w:r>
          </w:p>
        </w:tc>
      </w:tr>
    </w:tbl>
    <w:p>
      <w:pPr>
        <w:pStyle w:val="Normal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  <mc:AlternateContent>
          <mc:Choice Requires="wps">
            <w:drawing>
              <wp:anchor behindDoc="0" distT="0" distB="127000" distL="114300" distR="114300" simplePos="0" locked="0" layoutInCell="1" allowOverlap="1" relativeHeight="2">
                <wp:simplePos x="0" y="0"/>
                <wp:positionH relativeFrom="margin">
                  <wp:posOffset>-68580</wp:posOffset>
                </wp:positionH>
                <wp:positionV relativeFrom="paragraph">
                  <wp:posOffset>186055</wp:posOffset>
                </wp:positionV>
                <wp:extent cx="6133465" cy="971550"/>
                <wp:effectExtent l="0" t="0" r="0" b="0"/>
                <wp:wrapSquare wrapText="bothSides"/>
                <wp:docPr id="2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2960" cy="970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9658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4829"/>
                              <w:gridCol w:w="4828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76"/>
                                    <w:ind w:left="0" w:hanging="0"/>
                                    <w:jc w:val="center"/>
                                    <w:rPr/>
                                  </w:pP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eastAsia="en-US"/>
                                    </w:rPr>
                                    <w:t>Поставщик</w:t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2"/>
                                    <w:spacing w:lineRule="auto" w:line="276"/>
                                    <w:ind w:left="0" w:hanging="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eastAsia="Arial Unicode MS" w:ascii="Times New Roman" w:hAnsi="Times New Roman"/>
                                      <w:szCs w:val="22"/>
                                      <w:lang w:val="ru-RU" w:eastAsia="en-US"/>
                                    </w:rPr>
                                    <w:t>Покупатель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76"/>
                                    <w:ind w:left="0" w:hanging="0"/>
                                    <w:jc w:val="center"/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76"/>
                                    <w:ind w:left="0" w:hanging="0"/>
                                    <w:jc w:val="center"/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76"/>
                                    <w:ind w:left="0" w:hanging="0"/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Style20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spacing w:lineRule="auto" w:line="276"/>
                                    <w:ind w:left="0" w:hanging="0"/>
                                    <w:jc w:val="center"/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76"/>
                                    <w:ind w:left="0" w:hanging="0"/>
                                    <w:jc w:val="center"/>
                                    <w:rPr/>
                                  </w:pPr>
                                  <w:bookmarkStart w:id="3" w:name="__UnoMark__9477_2318926630"/>
                                  <w:bookmarkEnd w:id="3"/>
                                  <w:r>
                                    <w:rPr>
                                      <w:bCs/>
                                      <w:sz w:val="22"/>
                                      <w:szCs w:val="22"/>
                                      <w:lang w:eastAsia="en-US"/>
                                    </w:rPr>
                                    <w:t>________________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_____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76"/>
                                    <w:ind w:left="0" w:hanging="0"/>
                                    <w:rPr/>
                                  </w:pPr>
                                  <w:r>
                                    <w:rPr>
                                      <w:bCs/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                          </w:t>
                                  </w:r>
                                  <w:bookmarkStart w:id="4" w:name="__UnoMark__9478_2318926630"/>
                                  <w:bookmarkEnd w:id="4"/>
                                  <w:r>
                                    <w:rPr>
                                      <w:bCs/>
                                      <w:sz w:val="22"/>
                                      <w:szCs w:val="22"/>
                                      <w:lang w:eastAsia="en-US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76"/>
                                    <w:ind w:left="0" w:hanging="0"/>
                                    <w:jc w:val="center"/>
                                    <w:rPr/>
                                  </w:pPr>
                                  <w:bookmarkStart w:id="5" w:name="__UnoMark__9479_2318926630"/>
                                  <w:bookmarkEnd w:id="5"/>
                                  <w:r>
                                    <w:rPr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__________________ </w:t>
                                  </w:r>
                                  <w:r>
                                    <w:rPr>
                                      <w:rStyle w:val="125"/>
                                      <w:rFonts w:eastAsia="Calibri"/>
                                      <w:b w:val="false"/>
                                      <w:color w:val="00000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76"/>
                                    <w:ind w:left="0" w:hanging="0"/>
                                    <w:rPr/>
                                  </w:pPr>
                                  <w:r>
                                    <w:rPr>
                                      <w:bCs/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                                  </w:t>
                                  </w:r>
                                  <w:r>
                                    <w:rPr>
                                      <w:bCs/>
                                      <w:sz w:val="22"/>
                                      <w:szCs w:val="22"/>
                                      <w:lang w:eastAsia="en-US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24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stroked="f" style="position:absolute;margin-left:-5.4pt;margin-top:14.65pt;width:482.85pt;height:76.4pt;mso-position-horizontal-relative:margin">
                <w10:wrap type="none"/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9658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4829"/>
                        <w:gridCol w:w="4828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76"/>
                              <w:ind w:left="0" w:hanging="0"/>
                              <w:jc w:val="center"/>
                              <w:rPr/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Поставщик</w:t>
                            </w:r>
                          </w:p>
                        </w:tc>
                        <w:tc>
                          <w:tcPr>
                            <w:tcW w:w="4828" w:type="dxa"/>
                            <w:tcBorders/>
                            <w:shd w:fill="auto" w:val="clear"/>
                          </w:tcPr>
                          <w:p>
                            <w:pPr>
                              <w:pStyle w:val="2"/>
                              <w:spacing w:lineRule="auto" w:line="276"/>
                              <w:ind w:left="0" w:hanging="0"/>
                              <w:jc w:val="center"/>
                              <w:rPr/>
                            </w:pPr>
                            <w:r>
                              <w:rPr>
                                <w:rFonts w:eastAsia="Arial Unicode MS" w:ascii="Times New Roman" w:hAnsi="Times New Roman"/>
                                <w:szCs w:val="22"/>
                                <w:lang w:val="ru-RU" w:eastAsia="en-US"/>
                              </w:rPr>
                              <w:t>Покупатель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76"/>
                              <w:ind w:left="0" w:hanging="0"/>
                              <w:jc w:val="center"/>
                              <w:rPr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eastAsia="en-US"/>
                              </w:rPr>
                            </w:r>
                          </w:p>
                        </w:tc>
                        <w:tc>
                          <w:tcPr>
                            <w:tcW w:w="4828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76"/>
                              <w:ind w:left="0" w:hanging="0"/>
                              <w:jc w:val="center"/>
                              <w:rPr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eastAsia="en-US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76"/>
                              <w:ind w:left="0" w:hanging="0"/>
                              <w:rPr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eastAsia="en-US"/>
                              </w:rPr>
                            </w:r>
                          </w:p>
                        </w:tc>
                        <w:tc>
                          <w:tcPr>
                            <w:tcW w:w="4828" w:type="dxa"/>
                            <w:tcBorders/>
                            <w:shd w:fill="auto" w:val="clear"/>
                          </w:tcPr>
                          <w:p>
                            <w:pPr>
                              <w:pStyle w:val="Style20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spacing w:lineRule="auto" w:line="276"/>
                              <w:ind w:left="0" w:hanging="0"/>
                              <w:jc w:val="center"/>
                              <w:rPr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eastAsia="en-US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76"/>
                              <w:ind w:left="0" w:hanging="0"/>
                              <w:jc w:val="center"/>
                              <w:rPr/>
                            </w:pPr>
                            <w:bookmarkStart w:id="6" w:name="__UnoMark__9477_2318926630"/>
                            <w:bookmarkEnd w:id="6"/>
                            <w:r>
                              <w:rPr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________________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_____</w:t>
                            </w:r>
                          </w:p>
                          <w:p>
                            <w:pPr>
                              <w:pStyle w:val="Normal"/>
                              <w:spacing w:lineRule="auto" w:line="276"/>
                              <w:ind w:left="0" w:hanging="0"/>
                              <w:rPr/>
                            </w:pPr>
                            <w:r>
                              <w:rPr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                         </w:t>
                            </w:r>
                            <w:bookmarkStart w:id="7" w:name="__UnoMark__9478_2318926630"/>
                            <w:bookmarkEnd w:id="7"/>
                            <w:r>
                              <w:rPr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4828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76"/>
                              <w:ind w:left="0" w:hanging="0"/>
                              <w:jc w:val="center"/>
                              <w:rPr/>
                            </w:pPr>
                            <w:bookmarkStart w:id="8" w:name="__UnoMark__9479_2318926630"/>
                            <w:bookmarkEnd w:id="8"/>
                            <w:r>
                              <w:rPr>
                                <w:sz w:val="22"/>
                                <w:szCs w:val="22"/>
                                <w:lang w:eastAsia="en-US"/>
                              </w:rPr>
                              <w:t xml:space="preserve">__________________ </w:t>
                            </w:r>
                            <w:r>
                              <w:rPr>
                                <w:rStyle w:val="125"/>
                                <w:rFonts w:eastAsia="Calibri"/>
                                <w:b w:val="false"/>
                                <w:color w:val="00000A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Normal"/>
                              <w:spacing w:lineRule="auto" w:line="276"/>
                              <w:ind w:left="0" w:hanging="0"/>
                              <w:rPr/>
                            </w:pPr>
                            <w:r>
                              <w:rPr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                                 </w:t>
                            </w:r>
                            <w:r>
                              <w:rPr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м.п.</w:t>
                            </w:r>
                          </w:p>
                        </w:tc>
                      </w:tr>
                    </w:tbl>
                    <w:p>
                      <w:pPr>
                        <w:pStyle w:val="Style24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jc w:val="left"/>
        <w:rPr/>
      </w:pPr>
      <w:r>
        <w:rPr/>
      </w:r>
    </w:p>
    <w:p>
      <w:pPr>
        <w:pStyle w:val="Normal"/>
        <w:ind w:left="0" w:hanging="0"/>
        <w:jc w:val="left"/>
        <w:rPr/>
      </w:pPr>
      <w:r>
        <w:rPr/>
      </w:r>
    </w:p>
    <w:p>
      <w:pPr>
        <w:pStyle w:val="Normal"/>
        <w:ind w:left="0" w:hanging="0"/>
        <w:jc w:val="left"/>
        <w:rPr/>
      </w:pPr>
      <w:r>
        <w:rPr/>
        <w:t>Исполнитель: ________________</w:t>
      </w:r>
    </w:p>
    <w:p>
      <w:pPr>
        <w:pStyle w:val="Normal"/>
        <w:ind w:left="0" w:hanging="0"/>
        <w:rPr/>
      </w:pPr>
      <w:r>
        <w:rPr/>
      </w:r>
    </w:p>
    <w:sectPr>
      <w:footerReference w:type="default" r:id="rId6"/>
      <w:type w:val="nextPage"/>
      <w:pgSz w:w="11906" w:h="16838"/>
      <w:pgMar w:left="709" w:right="567" w:header="0" w:top="284" w:footer="720" w:bottom="777" w:gutter="0"/>
      <w:pgNumType w:fmt="decimal"/>
      <w:formProt w:val="false"/>
      <w:textDirection w:val="lrTb"/>
      <w:docGrid w:type="default" w:linePitch="272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jc w:val="center"/>
      <w:rPr>
        <w:i/>
        <w:i/>
      </w:rPr>
    </w:pPr>
    <w:r>
      <w:rPr>
        <w:i/>
      </w:rPr>
      <w:t xml:space="preserve"> </w:t>
    </w:r>
    <w:r>
      <w:rPr>
        <w:i/>
      </w:rPr>
      <w:t>Договор поставки тепловой энергии и (или) теплоносителя в целях компенсации потерь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</w:lvl>
    <w:lvl w:ilvl="1">
      <w:start w:val="2"/>
      <w:numFmt w:val="decimal"/>
      <w:lvlText w:val="%1.%2"/>
      <w:lvlJc w:val="left"/>
      <w:pPr>
        <w:tabs>
          <w:tab w:val="num" w:pos="1144"/>
        </w:tabs>
        <w:ind w:left="1144" w:hanging="435"/>
      </w:p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112"/>
        </w:tabs>
        <w:ind w:left="7112" w:hanging="1440"/>
      </w:pPr>
    </w:lvl>
  </w:abstractNum>
  <w:abstractNum w:abstractNumId="2"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lvl w:ilvl="0">
      <w:start w:val="1"/>
      <w:numFmt w:val="decimal"/>
      <w:lvlText w:val="%1."/>
      <w:lvlJc w:val="left"/>
      <w:pPr>
        <w:ind w:left="1069" w:hanging="360"/>
      </w:pPr>
      <w:rPr>
        <w:sz w:val="22"/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4"/>
      <w:numFmt w:val="decimal"/>
      <w:lvlText w:val="%1."/>
      <w:lvlJc w:val="left"/>
      <w:pPr>
        <w:ind w:left="360" w:hanging="360"/>
      </w:pPr>
      <w:rPr>
        <w:b w:val="false"/>
      </w:rPr>
    </w:lvl>
    <w:lvl w:ilvl="1">
      <w:start w:val="7"/>
      <w:numFmt w:val="decimal"/>
      <w:lvlText w:val="%1.%2."/>
      <w:lvlJc w:val="left"/>
      <w:pPr>
        <w:ind w:left="1211" w:hanging="360"/>
      </w:pPr>
      <w:rPr>
        <w:sz w:val="22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fals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fals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fals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fals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fals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fals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false"/>
      </w:rPr>
    </w:lvl>
  </w:abstractNum>
  <w:abstractNum w:abstractNumId="6"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9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6533c"/>
    <w:pPr>
      <w:widowControl/>
      <w:bidi w:val="0"/>
      <w:ind w:left="357" w:firstLine="357"/>
      <w:jc w:val="both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paragraph" w:styleId="1">
    <w:name w:val="Heading 1"/>
    <w:basedOn w:val="Normal"/>
    <w:qFormat/>
    <w:rsid w:val="0016533c"/>
    <w:pPr>
      <w:keepNext w:val="true"/>
      <w:jc w:val="center"/>
      <w:outlineLvl w:val="0"/>
    </w:pPr>
    <w:rPr>
      <w:rFonts w:ascii="Arial" w:hAnsi="Arial"/>
      <w:b/>
      <w:sz w:val="22"/>
    </w:rPr>
  </w:style>
  <w:style w:type="paragraph" w:styleId="2">
    <w:name w:val="Heading 2"/>
    <w:basedOn w:val="Normal"/>
    <w:link w:val="20"/>
    <w:qFormat/>
    <w:rsid w:val="0016533c"/>
    <w:pPr>
      <w:keepNext w:val="true"/>
      <w:outlineLvl w:val="1"/>
    </w:pPr>
    <w:rPr>
      <w:rFonts w:ascii="Arial" w:hAnsi="Arial"/>
      <w:b/>
      <w:sz w:val="22"/>
      <w:lang w:val="en-US"/>
    </w:rPr>
  </w:style>
  <w:style w:type="paragraph" w:styleId="3">
    <w:name w:val="Heading 3"/>
    <w:basedOn w:val="Normal"/>
    <w:qFormat/>
    <w:rsid w:val="0016533c"/>
    <w:pPr>
      <w:keepNext w:val="true"/>
      <w:jc w:val="center"/>
      <w:outlineLvl w:val="2"/>
    </w:pPr>
    <w:rPr>
      <w:rFonts w:ascii="Arial" w:hAnsi="Arial"/>
      <w:b/>
      <w:sz w:val="16"/>
      <w:lang w:val="en-US"/>
    </w:rPr>
  </w:style>
  <w:style w:type="paragraph" w:styleId="4">
    <w:name w:val="Heading 4"/>
    <w:basedOn w:val="Normal"/>
    <w:qFormat/>
    <w:rsid w:val="0016533c"/>
    <w:pPr>
      <w:keepNext w:val="true"/>
      <w:jc w:val="center"/>
      <w:outlineLvl w:val="3"/>
    </w:pPr>
    <w:rPr>
      <w:rFonts w:ascii="Arial" w:hAnsi="Arial"/>
      <w:b/>
      <w:lang w:val="en-US"/>
    </w:rPr>
  </w:style>
  <w:style w:type="paragraph" w:styleId="5">
    <w:name w:val="Heading 5"/>
    <w:basedOn w:val="Normal"/>
    <w:qFormat/>
    <w:rsid w:val="0016533c"/>
    <w:pPr>
      <w:keepNext w:val="true"/>
      <w:outlineLvl w:val="4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16533c"/>
    <w:rPr/>
  </w:style>
  <w:style w:type="character" w:styleId="Style9">
    <w:name w:val="Интернет-ссылка"/>
    <w:rsid w:val="00c84986"/>
    <w:rPr>
      <w:color w:val="0000FF"/>
      <w:u w:val="single"/>
    </w:rPr>
  </w:style>
  <w:style w:type="character" w:styleId="Style10" w:customStyle="1">
    <w:name w:val="Верхний колонтитул Знак"/>
    <w:basedOn w:val="DefaultParagraphFont"/>
    <w:link w:val="a3"/>
    <w:qFormat/>
    <w:rsid w:val="003a33d4"/>
    <w:rPr/>
  </w:style>
  <w:style w:type="character" w:styleId="11" w:customStyle="1">
    <w:name w:val="Стиль1_св-ва документа Знак"/>
    <w:link w:val="1-"/>
    <w:qFormat/>
    <w:rsid w:val="00f26e59"/>
    <w:rPr>
      <w:b/>
      <w:bCs/>
      <w:sz w:val="25"/>
      <w:szCs w:val="25"/>
    </w:rPr>
  </w:style>
  <w:style w:type="character" w:styleId="125" w:customStyle="1">
    <w:name w:val="Обычный125Жир Знак"/>
    <w:link w:val="125"/>
    <w:qFormat/>
    <w:rsid w:val="003c61f8"/>
    <w:rPr>
      <w:b/>
      <w:bCs/>
      <w:color w:val="0000FF"/>
      <w:sz w:val="25"/>
      <w:szCs w:val="25"/>
    </w:rPr>
  </w:style>
  <w:style w:type="character" w:styleId="12" w:customStyle="1">
    <w:name w:val="Об12жир Знак"/>
    <w:link w:val="12"/>
    <w:qFormat/>
    <w:rsid w:val="003c61f8"/>
    <w:rPr>
      <w:b/>
      <w:bCs/>
      <w:color w:val="0000FF"/>
      <w:sz w:val="24"/>
      <w:szCs w:val="24"/>
    </w:rPr>
  </w:style>
  <w:style w:type="character" w:styleId="13" w:customStyle="1">
    <w:name w:val="Об_13_Жир Знак"/>
    <w:link w:val="13"/>
    <w:qFormat/>
    <w:rsid w:val="003c61f8"/>
    <w:rPr>
      <w:b/>
      <w:color w:val="0000FF"/>
      <w:sz w:val="26"/>
      <w:szCs w:val="26"/>
    </w:rPr>
  </w:style>
  <w:style w:type="character" w:styleId="10" w:customStyle="1">
    <w:name w:val="ТР_10_Жир Знак"/>
    <w:link w:val="10"/>
    <w:qFormat/>
    <w:rsid w:val="003c61f8"/>
    <w:rPr>
      <w:b/>
      <w:color w:val="0000FF"/>
    </w:rPr>
  </w:style>
  <w:style w:type="character" w:styleId="101" w:customStyle="1">
    <w:name w:val="ТР_10 Знак"/>
    <w:link w:val="101"/>
    <w:qFormat/>
    <w:rsid w:val="003c61f8"/>
    <w:rPr>
      <w:color w:val="0000FF"/>
    </w:rPr>
  </w:style>
  <w:style w:type="character" w:styleId="102" w:customStyle="1">
    <w:name w:val="Тр_10_Жир Знак"/>
    <w:link w:val="103"/>
    <w:qFormat/>
    <w:rsid w:val="008910fe"/>
    <w:rPr>
      <w:b/>
      <w:color w:val="3333FF"/>
    </w:rPr>
  </w:style>
  <w:style w:type="character" w:styleId="21" w:customStyle="1">
    <w:name w:val="Заголовок 2 Знак"/>
    <w:link w:val="2"/>
    <w:qFormat/>
    <w:rsid w:val="00aa10ca"/>
    <w:rPr>
      <w:rFonts w:ascii="Arial" w:hAnsi="Arial"/>
      <w:b/>
      <w:sz w:val="22"/>
      <w:lang w:val="en-US"/>
    </w:rPr>
  </w:style>
  <w:style w:type="character" w:styleId="Annotationreference">
    <w:name w:val="annotation reference"/>
    <w:qFormat/>
    <w:rsid w:val="001667b2"/>
    <w:rPr>
      <w:sz w:val="16"/>
      <w:szCs w:val="16"/>
    </w:rPr>
  </w:style>
  <w:style w:type="character" w:styleId="Style11" w:customStyle="1">
    <w:name w:val="Текст примечания Знак"/>
    <w:basedOn w:val="DefaultParagraphFont"/>
    <w:link w:val="af2"/>
    <w:qFormat/>
    <w:rsid w:val="001667b2"/>
    <w:rPr/>
  </w:style>
  <w:style w:type="character" w:styleId="Style12" w:customStyle="1">
    <w:name w:val="Тема примечания Знак"/>
    <w:link w:val="af4"/>
    <w:qFormat/>
    <w:rsid w:val="001667b2"/>
    <w:rPr>
      <w:b/>
      <w:bCs/>
    </w:rPr>
  </w:style>
  <w:style w:type="character" w:styleId="Style13" w:customStyle="1">
    <w:name w:val="Нижний колонтитул Знак"/>
    <w:basedOn w:val="DefaultParagraphFont"/>
    <w:link w:val="a5"/>
    <w:uiPriority w:val="99"/>
    <w:qFormat/>
    <w:rsid w:val="00033d73"/>
    <w:rPr/>
  </w:style>
  <w:style w:type="character" w:styleId="Style14" w:customStyle="1">
    <w:name w:val="Основной текст Знак"/>
    <w:qFormat/>
    <w:rsid w:val="00a53ec2"/>
    <w:rPr>
      <w:sz w:val="24"/>
      <w:lang w:val="ru-RU" w:eastAsia="ru-RU" w:bidi="ar-SA"/>
    </w:rPr>
  </w:style>
  <w:style w:type="character" w:styleId="22" w:customStyle="1">
    <w:name w:val="Основной текст 2 Знак"/>
    <w:basedOn w:val="DefaultParagraphFont"/>
    <w:link w:val="23"/>
    <w:qFormat/>
    <w:rsid w:val="00f64892"/>
    <w:rPr/>
  </w:style>
  <w:style w:type="character" w:styleId="ListLabel1">
    <w:name w:val="ListLabel 1"/>
    <w:qFormat/>
    <w:rPr>
      <w:b/>
      <w:i w:val="false"/>
    </w:rPr>
  </w:style>
  <w:style w:type="character" w:styleId="ListLabel2">
    <w:name w:val="ListLabel 2"/>
    <w:qFormat/>
    <w:rPr>
      <w:b/>
    </w:rPr>
  </w:style>
  <w:style w:type="character" w:styleId="ListLabel3">
    <w:name w:val="ListLabel 3"/>
    <w:qFormat/>
    <w:rPr>
      <w:b/>
      <w:sz w:val="20"/>
      <w:szCs w:val="20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b/>
    </w:rPr>
  </w:style>
  <w:style w:type="character" w:styleId="ListLabel14">
    <w:name w:val="ListLabel 14"/>
    <w:qFormat/>
    <w:rPr>
      <w:b w:val="false"/>
      <w:sz w:val="24"/>
      <w:szCs w:val="24"/>
    </w:rPr>
  </w:style>
  <w:style w:type="character" w:styleId="ListLabel15">
    <w:name w:val="ListLabel 15"/>
    <w:qFormat/>
    <w:rPr>
      <w:b w:val="false"/>
      <w:i w:val="false"/>
    </w:rPr>
  </w:style>
  <w:style w:type="character" w:styleId="ListLabel16">
    <w:name w:val="ListLabel 16"/>
    <w:qFormat/>
    <w:rPr>
      <w:b/>
    </w:rPr>
  </w:style>
  <w:style w:type="character" w:styleId="ListLabel17">
    <w:name w:val="ListLabel 17"/>
    <w:qFormat/>
    <w:rPr>
      <w:b w:val="false"/>
      <w:color w:val="00000A"/>
      <w:sz w:val="24"/>
      <w:szCs w:val="24"/>
    </w:rPr>
  </w:style>
  <w:style w:type="character" w:styleId="ListLabel18">
    <w:name w:val="ListLabel 18"/>
    <w:qFormat/>
    <w:rPr>
      <w:b w:val="false"/>
      <w:i w:val="false"/>
    </w:rPr>
  </w:style>
  <w:style w:type="character" w:styleId="ListLabel19">
    <w:name w:val="ListLabel 19"/>
    <w:qFormat/>
    <w:rPr>
      <w:b/>
    </w:rPr>
  </w:style>
  <w:style w:type="character" w:styleId="ListLabel20">
    <w:name w:val="ListLabel 20"/>
    <w:qFormat/>
    <w:rPr>
      <w:b/>
    </w:rPr>
  </w:style>
  <w:style w:type="character" w:styleId="ListLabel21">
    <w:name w:val="ListLabel 21"/>
    <w:qFormat/>
    <w:rPr>
      <w:b w:val="false"/>
      <w:i w:val="false"/>
    </w:rPr>
  </w:style>
  <w:style w:type="character" w:styleId="ListLabel22">
    <w:name w:val="ListLabel 22"/>
    <w:qFormat/>
    <w:rPr>
      <w:b/>
    </w:rPr>
  </w:style>
  <w:style w:type="character" w:styleId="ListLabel23">
    <w:name w:val="ListLabel 23"/>
    <w:qFormat/>
    <w:rPr>
      <w:b/>
    </w:rPr>
  </w:style>
  <w:style w:type="character" w:styleId="ListLabel24">
    <w:name w:val="ListLabel 24"/>
    <w:qFormat/>
    <w:rPr>
      <w:b w:val="false"/>
      <w:i w:val="false"/>
    </w:rPr>
  </w:style>
  <w:style w:type="character" w:styleId="ListLabel25">
    <w:name w:val="ListLabel 25"/>
    <w:qFormat/>
    <w:rPr>
      <w:b/>
    </w:rPr>
  </w:style>
  <w:style w:type="character" w:styleId="ListLabel26">
    <w:name w:val="ListLabel 26"/>
    <w:qFormat/>
    <w:rPr>
      <w:b w:val="false"/>
      <w:i w:val="false"/>
    </w:rPr>
  </w:style>
  <w:style w:type="character" w:styleId="ListLabel27">
    <w:name w:val="ListLabel 27"/>
    <w:qFormat/>
    <w:rPr>
      <w:b/>
    </w:rPr>
  </w:style>
  <w:style w:type="character" w:styleId="ListLabel28">
    <w:name w:val="ListLabel 28"/>
    <w:qFormat/>
    <w:rPr>
      <w:b w:val="false"/>
      <w:i w:val="false"/>
    </w:rPr>
  </w:style>
  <w:style w:type="character" w:styleId="ListLabel29">
    <w:name w:val="ListLabel 29"/>
    <w:qFormat/>
    <w:rPr>
      <w:b/>
    </w:rPr>
  </w:style>
  <w:style w:type="character" w:styleId="ListLabel30">
    <w:name w:val="ListLabel 30"/>
    <w:qFormat/>
    <w:rPr>
      <w:rFonts w:eastAsia="Calibri" w:cs="Times New Roman"/>
    </w:rPr>
  </w:style>
  <w:style w:type="character" w:styleId="ListLabel31">
    <w:name w:val="ListLabel 31"/>
    <w:qFormat/>
    <w:rPr>
      <w:b/>
    </w:rPr>
  </w:style>
  <w:style w:type="character" w:styleId="ListLabel32">
    <w:name w:val="ListLabel 32"/>
    <w:qFormat/>
    <w:rPr>
      <w:b/>
      <w:i w:val="false"/>
    </w:rPr>
  </w:style>
  <w:style w:type="character" w:styleId="ListLabel33">
    <w:name w:val="ListLabel 33"/>
    <w:qFormat/>
    <w:rPr>
      <w:b/>
    </w:rPr>
  </w:style>
  <w:style w:type="character" w:styleId="ListLabel34">
    <w:name w:val="ListLabel 34"/>
    <w:qFormat/>
    <w:rPr>
      <w:b/>
    </w:rPr>
  </w:style>
  <w:style w:type="character" w:styleId="ListLabel35">
    <w:name w:val="ListLabel 35"/>
    <w:qFormat/>
    <w:rPr>
      <w:b/>
    </w:rPr>
  </w:style>
  <w:style w:type="character" w:styleId="ListLabel36">
    <w:name w:val="ListLabel 36"/>
    <w:qFormat/>
    <w:rPr>
      <w:rFonts w:cs="Times New Roman"/>
    </w:rPr>
  </w:style>
  <w:style w:type="character" w:styleId="ListLabel37">
    <w:name w:val="ListLabel 37"/>
    <w:qFormat/>
    <w:rPr>
      <w:rFonts w:cs="Times New Roman"/>
    </w:rPr>
  </w:style>
  <w:style w:type="character" w:styleId="ListLabel38">
    <w:name w:val="ListLabel 38"/>
    <w:qFormat/>
    <w:rPr>
      <w:rFonts w:cs="Times New Roman"/>
    </w:rPr>
  </w:style>
  <w:style w:type="character" w:styleId="ListLabel39">
    <w:name w:val="ListLabel 39"/>
    <w:qFormat/>
    <w:rPr>
      <w:rFonts w:cs="Times New Roman"/>
    </w:rPr>
  </w:style>
  <w:style w:type="character" w:styleId="ListLabel40">
    <w:name w:val="ListLabel 40"/>
    <w:qFormat/>
    <w:rPr>
      <w:rFonts w:cs="Times New Roman"/>
    </w:rPr>
  </w:style>
  <w:style w:type="character" w:styleId="ListLabel41">
    <w:name w:val="ListLabel 41"/>
    <w:qFormat/>
    <w:rPr>
      <w:rFonts w:cs="Times New Roman"/>
    </w:rPr>
  </w:style>
  <w:style w:type="character" w:styleId="ListLabel42">
    <w:name w:val="ListLabel 42"/>
    <w:qFormat/>
    <w:rPr>
      <w:rFonts w:cs="Times New Roman"/>
    </w:rPr>
  </w:style>
  <w:style w:type="character" w:styleId="ListLabel43">
    <w:name w:val="ListLabel 43"/>
    <w:qFormat/>
    <w:rPr>
      <w:rFonts w:cs="Times New Roman"/>
    </w:rPr>
  </w:style>
  <w:style w:type="character" w:styleId="ListLabel44">
    <w:name w:val="ListLabel 44"/>
    <w:qFormat/>
    <w:rPr>
      <w:rFonts w:cs="Times New Roman"/>
    </w:rPr>
  </w:style>
  <w:style w:type="character" w:styleId="ListLabel45">
    <w:name w:val="ListLabel 45"/>
    <w:qFormat/>
    <w:rPr>
      <w:rFonts w:cs="Times New Roman"/>
    </w:rPr>
  </w:style>
  <w:style w:type="character" w:styleId="ListLabel46">
    <w:name w:val="ListLabel 46"/>
    <w:qFormat/>
    <w:rPr>
      <w:rFonts w:cs="Times New Roman"/>
    </w:rPr>
  </w:style>
  <w:style w:type="character" w:styleId="ListLabel47">
    <w:name w:val="ListLabel 47"/>
    <w:qFormat/>
    <w:rPr>
      <w:rFonts w:cs="Times New Roman"/>
    </w:rPr>
  </w:style>
  <w:style w:type="character" w:styleId="ListLabel48">
    <w:name w:val="ListLabel 48"/>
    <w:qFormat/>
    <w:rPr>
      <w:rFonts w:cs="Times New Roman"/>
    </w:rPr>
  </w:style>
  <w:style w:type="character" w:styleId="ListLabel49">
    <w:name w:val="ListLabel 49"/>
    <w:qFormat/>
    <w:rPr>
      <w:rFonts w:cs="Times New Roman"/>
    </w:rPr>
  </w:style>
  <w:style w:type="character" w:styleId="ListLabel50">
    <w:name w:val="ListLabel 50"/>
    <w:qFormat/>
    <w:rPr>
      <w:rFonts w:cs="Times New Roman"/>
    </w:rPr>
  </w:style>
  <w:style w:type="character" w:styleId="ListLabel51">
    <w:name w:val="ListLabel 51"/>
    <w:qFormat/>
    <w:rPr>
      <w:rFonts w:cs="Times New Roman"/>
    </w:rPr>
  </w:style>
  <w:style w:type="character" w:styleId="ListLabel52">
    <w:name w:val="ListLabel 52"/>
    <w:qFormat/>
    <w:rPr>
      <w:rFonts w:cs="Times New Roman"/>
    </w:rPr>
  </w:style>
  <w:style w:type="character" w:styleId="ListLabel53">
    <w:name w:val="ListLabel 53"/>
    <w:qFormat/>
    <w:rPr>
      <w:rFonts w:cs="Times New Roman"/>
    </w:rPr>
  </w:style>
  <w:style w:type="character" w:styleId="ListLabel54">
    <w:name w:val="ListLabel 54"/>
    <w:qFormat/>
    <w:rPr>
      <w:b/>
      <w:i w:val="false"/>
    </w:rPr>
  </w:style>
  <w:style w:type="character" w:styleId="ListLabel55">
    <w:name w:val="ListLabel 55"/>
    <w:qFormat/>
    <w:rPr>
      <w:b/>
    </w:rPr>
  </w:style>
  <w:style w:type="character" w:styleId="ListLabel56">
    <w:name w:val="ListLabel 56"/>
    <w:qFormat/>
    <w:rPr>
      <w:b/>
    </w:rPr>
  </w:style>
  <w:style w:type="character" w:styleId="ListLabel57">
    <w:name w:val="ListLabel 57"/>
    <w:qFormat/>
    <w:rPr>
      <w:b/>
    </w:rPr>
  </w:style>
  <w:style w:type="character" w:styleId="ListLabel58">
    <w:name w:val="ListLabel 58"/>
    <w:qFormat/>
    <w:rPr>
      <w:b/>
    </w:rPr>
  </w:style>
  <w:style w:type="character" w:styleId="ListLabel59">
    <w:name w:val="ListLabel 59"/>
    <w:qFormat/>
    <w:rPr>
      <w:b/>
    </w:rPr>
  </w:style>
  <w:style w:type="character" w:styleId="ListLabel60">
    <w:name w:val="ListLabel 60"/>
    <w:qFormat/>
    <w:rPr>
      <w:b/>
    </w:rPr>
  </w:style>
  <w:style w:type="character" w:styleId="ListLabel61">
    <w:name w:val="ListLabel 61"/>
    <w:qFormat/>
    <w:rPr>
      <w:rFonts w:eastAsia="Times New Roman" w:cs="Times New Roman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b/>
    </w:rPr>
  </w:style>
  <w:style w:type="character" w:styleId="ListLabel75">
    <w:name w:val="ListLabel 75"/>
    <w:qFormat/>
    <w:rPr>
      <w:b/>
      <w:i w:val="false"/>
    </w:rPr>
  </w:style>
  <w:style w:type="character" w:styleId="ListLabel76">
    <w:name w:val="ListLabel 76"/>
    <w:qFormat/>
    <w:rPr>
      <w:b/>
    </w:rPr>
  </w:style>
  <w:style w:type="character" w:styleId="ListLabel77">
    <w:name w:val="ListLabel 77"/>
    <w:qFormat/>
    <w:rPr>
      <w:b/>
      <w:i w:val="false"/>
    </w:rPr>
  </w:style>
  <w:style w:type="character" w:styleId="ListLabel78">
    <w:name w:val="ListLabel 78"/>
    <w:qFormat/>
    <w:rPr>
      <w:b/>
      <w:sz w:val="22"/>
    </w:rPr>
  </w:style>
  <w:style w:type="character" w:styleId="ListLabel79">
    <w:name w:val="ListLabel 79"/>
    <w:qFormat/>
    <w:rPr>
      <w:b w:val="false"/>
    </w:rPr>
  </w:style>
  <w:style w:type="character" w:styleId="ListLabel80">
    <w:name w:val="ListLabel 80"/>
    <w:qFormat/>
    <w:rPr>
      <w:b/>
      <w:sz w:val="22"/>
    </w:rPr>
  </w:style>
  <w:style w:type="character" w:styleId="ListLabel81">
    <w:name w:val="ListLabel 81"/>
    <w:qFormat/>
    <w:rPr>
      <w:b w:val="false"/>
    </w:rPr>
  </w:style>
  <w:style w:type="character" w:styleId="ListLabel82">
    <w:name w:val="ListLabel 82"/>
    <w:qFormat/>
    <w:rPr>
      <w:b w:val="false"/>
    </w:rPr>
  </w:style>
  <w:style w:type="character" w:styleId="ListLabel83">
    <w:name w:val="ListLabel 83"/>
    <w:qFormat/>
    <w:rPr>
      <w:b w:val="false"/>
    </w:rPr>
  </w:style>
  <w:style w:type="character" w:styleId="ListLabel84">
    <w:name w:val="ListLabel 84"/>
    <w:qFormat/>
    <w:rPr>
      <w:b w:val="false"/>
    </w:rPr>
  </w:style>
  <w:style w:type="character" w:styleId="ListLabel85">
    <w:name w:val="ListLabel 85"/>
    <w:qFormat/>
    <w:rPr>
      <w:b w:val="false"/>
    </w:rPr>
  </w:style>
  <w:style w:type="character" w:styleId="ListLabel86">
    <w:name w:val="ListLabel 86"/>
    <w:qFormat/>
    <w:rPr>
      <w:b w:val="false"/>
    </w:rPr>
  </w:style>
  <w:style w:type="character" w:styleId="ListLabel87">
    <w:name w:val="ListLabel 87"/>
    <w:qFormat/>
    <w:rPr>
      <w:b w:val="false"/>
    </w:rPr>
  </w:style>
  <w:style w:type="character" w:styleId="ListLabel88">
    <w:name w:val="ListLabel 88"/>
    <w:qFormat/>
    <w:rPr>
      <w:b/>
      <w:sz w:val="22"/>
    </w:rPr>
  </w:style>
  <w:style w:type="character" w:styleId="ListLabel89">
    <w:name w:val="ListLabel 89"/>
    <w:qFormat/>
    <w:rPr>
      <w:b w:val="false"/>
    </w:rPr>
  </w:style>
  <w:style w:type="character" w:styleId="ListLabel90">
    <w:name w:val="ListLabel 90"/>
    <w:qFormat/>
    <w:rPr>
      <w:b/>
      <w:sz w:val="22"/>
    </w:rPr>
  </w:style>
  <w:style w:type="character" w:styleId="ListLabel91">
    <w:name w:val="ListLabel 91"/>
    <w:qFormat/>
    <w:rPr>
      <w:b w:val="false"/>
    </w:rPr>
  </w:style>
  <w:style w:type="character" w:styleId="ListLabel92">
    <w:name w:val="ListLabel 92"/>
    <w:qFormat/>
    <w:rPr>
      <w:b w:val="false"/>
    </w:rPr>
  </w:style>
  <w:style w:type="character" w:styleId="ListLabel93">
    <w:name w:val="ListLabel 93"/>
    <w:qFormat/>
    <w:rPr>
      <w:b w:val="false"/>
    </w:rPr>
  </w:style>
  <w:style w:type="character" w:styleId="ListLabel94">
    <w:name w:val="ListLabel 94"/>
    <w:qFormat/>
    <w:rPr>
      <w:b w:val="false"/>
    </w:rPr>
  </w:style>
  <w:style w:type="character" w:styleId="ListLabel95">
    <w:name w:val="ListLabel 95"/>
    <w:qFormat/>
    <w:rPr>
      <w:b w:val="false"/>
    </w:rPr>
  </w:style>
  <w:style w:type="character" w:styleId="ListLabel96">
    <w:name w:val="ListLabel 96"/>
    <w:qFormat/>
    <w:rPr>
      <w:b w:val="false"/>
    </w:rPr>
  </w:style>
  <w:style w:type="character" w:styleId="ListLabel97">
    <w:name w:val="ListLabel 97"/>
    <w:qFormat/>
    <w:rPr>
      <w:b w:val="fals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6">
    <w:name w:val="Body Text"/>
    <w:basedOn w:val="Normal"/>
    <w:rsid w:val="0016533c"/>
    <w:pPr/>
    <w:rPr>
      <w:sz w:val="24"/>
    </w:rPr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Style20">
    <w:name w:val="Header"/>
    <w:basedOn w:val="Normal"/>
    <w:link w:val="a4"/>
    <w:rsid w:val="0016533c"/>
    <w:pPr>
      <w:tabs>
        <w:tab w:val="center" w:pos="4153" w:leader="none"/>
        <w:tab w:val="right" w:pos="8306" w:leader="none"/>
      </w:tabs>
    </w:pPr>
    <w:rPr/>
  </w:style>
  <w:style w:type="paragraph" w:styleId="Style21">
    <w:name w:val="Footer"/>
    <w:basedOn w:val="Normal"/>
    <w:link w:val="a6"/>
    <w:uiPriority w:val="99"/>
    <w:rsid w:val="0016533c"/>
    <w:pPr>
      <w:tabs>
        <w:tab w:val="center" w:pos="4153" w:leader="none"/>
        <w:tab w:val="right" w:pos="8306" w:leader="none"/>
      </w:tabs>
    </w:pPr>
    <w:rPr/>
  </w:style>
  <w:style w:type="paragraph" w:styleId="Caption">
    <w:name w:val="caption"/>
    <w:basedOn w:val="Normal"/>
    <w:qFormat/>
    <w:rsid w:val="0016533c"/>
    <w:pPr/>
    <w:rPr>
      <w:b/>
      <w:bCs/>
    </w:rPr>
  </w:style>
  <w:style w:type="paragraph" w:styleId="Style22">
    <w:name w:val="Body Text Indent"/>
    <w:basedOn w:val="Normal"/>
    <w:rsid w:val="0016533c"/>
    <w:pPr>
      <w:ind w:left="6096" w:firstLine="357"/>
    </w:pPr>
    <w:rPr>
      <w:rFonts w:ascii="Arial" w:hAnsi="Arial"/>
    </w:rPr>
  </w:style>
  <w:style w:type="paragraph" w:styleId="MessageHeader">
    <w:name w:val="Message Header"/>
    <w:basedOn w:val="Style16"/>
    <w:qFormat/>
    <w:rsid w:val="0016533c"/>
    <w:pPr>
      <w:keepLines/>
      <w:spacing w:lineRule="atLeast" w:line="415"/>
      <w:ind w:left="1985" w:right="-360" w:hanging="1145"/>
      <w:jc w:val="left"/>
    </w:pPr>
    <w:rPr>
      <w:sz w:val="20"/>
    </w:rPr>
  </w:style>
  <w:style w:type="paragraph" w:styleId="BodyTextIndent2">
    <w:name w:val="Body Text Indent 2"/>
    <w:basedOn w:val="Normal"/>
    <w:qFormat/>
    <w:rsid w:val="00c84986"/>
    <w:pPr>
      <w:spacing w:lineRule="auto" w:line="480" w:before="0" w:after="120"/>
      <w:ind w:left="283" w:firstLine="357"/>
    </w:pPr>
    <w:rPr>
      <w:sz w:val="24"/>
      <w:szCs w:val="24"/>
    </w:rPr>
  </w:style>
  <w:style w:type="paragraph" w:styleId="Style23">
    <w:name w:val="Title"/>
    <w:basedOn w:val="Normal"/>
    <w:qFormat/>
    <w:rsid w:val="005861ca"/>
    <w:pPr>
      <w:jc w:val="center"/>
    </w:pPr>
    <w:rPr>
      <w:b/>
      <w:bCs/>
      <w:sz w:val="22"/>
      <w:szCs w:val="22"/>
    </w:rPr>
  </w:style>
  <w:style w:type="paragraph" w:styleId="PlainText">
    <w:name w:val="Plain Text"/>
    <w:basedOn w:val="Normal"/>
    <w:qFormat/>
    <w:rsid w:val="006d5ed5"/>
    <w:pPr/>
    <w:rPr>
      <w:rFonts w:ascii="Courier New" w:hAnsi="Courier New" w:cs="Courier New"/>
    </w:rPr>
  </w:style>
  <w:style w:type="paragraph" w:styleId="BalloonText">
    <w:name w:val="Balloon Text"/>
    <w:basedOn w:val="Normal"/>
    <w:semiHidden/>
    <w:qFormat/>
    <w:rsid w:val="00b85c86"/>
    <w:pPr/>
    <w:rPr>
      <w:rFonts w:ascii="Tahoma" w:hAnsi="Tahoma" w:cs="Tahoma"/>
      <w:sz w:val="16"/>
      <w:szCs w:val="16"/>
    </w:rPr>
  </w:style>
  <w:style w:type="paragraph" w:styleId="14" w:customStyle="1">
    <w:name w:val="Стиль1_св-ва документа"/>
    <w:basedOn w:val="4"/>
    <w:link w:val="1-0"/>
    <w:qFormat/>
    <w:rsid w:val="00f26e59"/>
    <w:pPr>
      <w:ind w:left="-13" w:hanging="0"/>
      <w:jc w:val="both"/>
    </w:pPr>
    <w:rPr>
      <w:rFonts w:ascii="Times New Roman" w:hAnsi="Times New Roman"/>
      <w:bCs/>
      <w:sz w:val="25"/>
      <w:szCs w:val="25"/>
    </w:rPr>
  </w:style>
  <w:style w:type="paragraph" w:styleId="1251" w:customStyle="1">
    <w:name w:val="Обычный125Жир"/>
    <w:basedOn w:val="Normal"/>
    <w:link w:val="1250"/>
    <w:qFormat/>
    <w:rsid w:val="003c61f8"/>
    <w:pPr>
      <w:keepNext w:val="true"/>
      <w:ind w:left="-13" w:hanging="0"/>
      <w:jc w:val="left"/>
      <w:outlineLvl w:val="3"/>
    </w:pPr>
    <w:rPr>
      <w:b/>
      <w:bCs/>
      <w:color w:val="0000FF"/>
      <w:sz w:val="25"/>
      <w:szCs w:val="25"/>
    </w:rPr>
  </w:style>
  <w:style w:type="paragraph" w:styleId="121" w:customStyle="1">
    <w:name w:val="Об12жир"/>
    <w:basedOn w:val="Normal"/>
    <w:link w:val="120"/>
    <w:qFormat/>
    <w:rsid w:val="003c61f8"/>
    <w:pPr>
      <w:ind w:left="0" w:hanging="0"/>
    </w:pPr>
    <w:rPr>
      <w:b/>
      <w:bCs/>
      <w:color w:val="0000FF"/>
      <w:sz w:val="24"/>
      <w:szCs w:val="24"/>
    </w:rPr>
  </w:style>
  <w:style w:type="paragraph" w:styleId="131" w:customStyle="1">
    <w:name w:val="Об_13_Жир"/>
    <w:basedOn w:val="Normal"/>
    <w:link w:val="130"/>
    <w:qFormat/>
    <w:rsid w:val="003c61f8"/>
    <w:pPr>
      <w:spacing w:before="120" w:after="120"/>
      <w:ind w:left="0" w:firstLine="357"/>
    </w:pPr>
    <w:rPr>
      <w:b/>
      <w:color w:val="0000FF"/>
      <w:sz w:val="26"/>
      <w:szCs w:val="26"/>
    </w:rPr>
  </w:style>
  <w:style w:type="paragraph" w:styleId="103" w:customStyle="1">
    <w:name w:val="ТР_10_Жир"/>
    <w:basedOn w:val="Normal"/>
    <w:link w:val="100"/>
    <w:qFormat/>
    <w:rsid w:val="003c61f8"/>
    <w:pPr>
      <w:ind w:left="0" w:hanging="0"/>
      <w:jc w:val="left"/>
    </w:pPr>
    <w:rPr>
      <w:b/>
      <w:color w:val="0000FF"/>
    </w:rPr>
  </w:style>
  <w:style w:type="paragraph" w:styleId="104" w:customStyle="1">
    <w:name w:val="ТР_10"/>
    <w:basedOn w:val="Normal"/>
    <w:link w:val="102"/>
    <w:qFormat/>
    <w:rsid w:val="003c61f8"/>
    <w:pPr>
      <w:ind w:left="0" w:hanging="0"/>
      <w:jc w:val="left"/>
    </w:pPr>
    <w:rPr>
      <w:color w:val="0000FF"/>
    </w:rPr>
  </w:style>
  <w:style w:type="paragraph" w:styleId="105" w:customStyle="1">
    <w:name w:val="Тр_10_Жир"/>
    <w:basedOn w:val="BodyTextIndent2"/>
    <w:link w:val="104"/>
    <w:qFormat/>
    <w:rsid w:val="008910fe"/>
    <w:pPr>
      <w:spacing w:lineRule="auto" w:line="240" w:before="120" w:after="120"/>
      <w:ind w:left="0" w:hanging="0"/>
      <w:jc w:val="center"/>
    </w:pPr>
    <w:rPr>
      <w:b/>
      <w:color w:val="3333FF"/>
      <w:sz w:val="20"/>
      <w:szCs w:val="20"/>
    </w:rPr>
  </w:style>
  <w:style w:type="paragraph" w:styleId="Annotationtext">
    <w:name w:val="annotation text"/>
    <w:basedOn w:val="Normal"/>
    <w:link w:val="af3"/>
    <w:qFormat/>
    <w:rsid w:val="001667b2"/>
    <w:pPr/>
    <w:rPr/>
  </w:style>
  <w:style w:type="paragraph" w:styleId="Annotationsubject">
    <w:name w:val="annotation subject"/>
    <w:basedOn w:val="Annotationtext"/>
    <w:link w:val="af5"/>
    <w:qFormat/>
    <w:rsid w:val="001667b2"/>
    <w:pPr/>
    <w:rPr>
      <w:b/>
      <w:bCs/>
    </w:rPr>
  </w:style>
  <w:style w:type="paragraph" w:styleId="ListParagraph">
    <w:name w:val="List Paragraph"/>
    <w:basedOn w:val="Normal"/>
    <w:uiPriority w:val="34"/>
    <w:qFormat/>
    <w:rsid w:val="00ec5e22"/>
    <w:pPr>
      <w:spacing w:before="0" w:after="0"/>
      <w:ind w:left="720" w:firstLine="357"/>
      <w:contextualSpacing/>
    </w:pPr>
    <w:rPr/>
  </w:style>
  <w:style w:type="paragraph" w:styleId="ConsPlusTitle" w:customStyle="1">
    <w:name w:val="ConsPlusTitle"/>
    <w:uiPriority w:val="99"/>
    <w:qFormat/>
    <w:rsid w:val="00366433"/>
    <w:pPr>
      <w:widowControl w:val="false"/>
      <w:bidi w:val="0"/>
      <w:jc w:val="left"/>
    </w:pPr>
    <w:rPr>
      <w:rFonts w:ascii="Arial" w:hAnsi="Arial" w:eastAsia="Times New Roman" w:cs="Arial"/>
      <w:b/>
      <w:bCs/>
      <w:color w:val="00000A"/>
      <w:sz w:val="20"/>
      <w:szCs w:val="20"/>
      <w:lang w:val="ru-RU" w:eastAsia="ru-RU" w:bidi="ar-SA"/>
    </w:rPr>
  </w:style>
  <w:style w:type="paragraph" w:styleId="15" w:customStyle="1">
    <w:name w:val="Стиль1"/>
    <w:basedOn w:val="Normal"/>
    <w:qFormat/>
    <w:rsid w:val="00c62470"/>
    <w:pPr>
      <w:widowControl w:val="false"/>
      <w:suppressAutoHyphens w:val="true"/>
      <w:ind w:left="0" w:firstLine="709"/>
    </w:pPr>
    <w:rPr>
      <w:sz w:val="28"/>
      <w:szCs w:val="28"/>
    </w:rPr>
  </w:style>
  <w:style w:type="paragraph" w:styleId="BodyText2">
    <w:name w:val="Body Text 2"/>
    <w:basedOn w:val="Normal"/>
    <w:link w:val="24"/>
    <w:qFormat/>
    <w:rsid w:val="00f64892"/>
    <w:pPr>
      <w:spacing w:lineRule="auto" w:line="480" w:before="0" w:after="120"/>
    </w:pPr>
    <w:rPr/>
  </w:style>
  <w:style w:type="paragraph" w:styleId="Style2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rsid w:val="005861c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59"/>
    <w:rsid w:val="008e5ab2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">
    <w:name w:val="Сетка таблицы2"/>
    <w:basedOn w:val="a1"/>
    <w:uiPriority w:val="59"/>
    <w:rsid w:val="008e5ab2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">
    <w:name w:val="Сетка таблицы3"/>
    <w:basedOn w:val="a1"/>
    <w:uiPriority w:val="59"/>
    <w:rsid w:val="008e5ab2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1"/>
    <w:uiPriority w:val="59"/>
    <w:rsid w:val="002020c4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">
    <w:name w:val="Сетка таблицы11"/>
    <w:basedOn w:val="a1"/>
    <w:rsid w:val="0036343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kamenergo.ru/" TargetMode="External"/><Relationship Id="rId4" Type="http://schemas.openxmlformats.org/officeDocument/2006/relationships/hyperlink" Target="mailto:Drogaytseva_N&#1040;@kamch.dvec.ru" TargetMode="External"/><Relationship Id="rId5" Type="http://schemas.openxmlformats.org/officeDocument/2006/relationships/hyperlink" Target="mailto:Mokhova_NV@kamch.dvec.ru" TargetMode="Externa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A7605-527B-47DB-9E2F-27007C8DD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компенсация потерь</Template>
  <TotalTime>23</TotalTime>
  <Application>LibreOffice/5.3.6.1$Linux_X86_64 LibreOffice_project/30$Build-1</Application>
  <Pages>4</Pages>
  <Words>1562</Words>
  <Characters>11644</Characters>
  <CharactersWithSpaces>13333</CharactersWithSpaces>
  <Paragraphs>160</Paragraphs>
  <Company>LENENERGO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2022-02-17T03:09:00Z</dcterms:created>
  <dc:creator>Тимошенко Анастасия Александровна</dc:creator>
  <dc:description/>
  <dc:language>ru-RU</dc:language>
  <cp:lastModifiedBy/>
  <cp:lastPrinted>2013-12-17T06:12:00Z</cp:lastPrinted>
  <dcterms:modified xsi:type="dcterms:W3CDTF">2025-07-10T10:15:42Z</dcterms:modified>
  <cp:revision>6</cp:revision>
  <dc:subject/>
  <dc:title>ПРИЛОЖЕНИЕ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ressAbonent">
    <vt:lpwstr>@@AdressAbonent</vt:lpwstr>
  </property>
  <property fmtid="{D5CDD505-2E9C-101B-9397-08002B2CF9AE}" pid="3" name="AppVersion">
    <vt:lpwstr>16.0000</vt:lpwstr>
  </property>
  <property fmtid="{D5CDD505-2E9C-101B-9397-08002B2CF9AE}" pid="4" name="Company">
    <vt:lpwstr>LENENERGO</vt:lpwstr>
  </property>
  <property fmtid="{D5CDD505-2E9C-101B-9397-08002B2CF9AE}" pid="5" name="DateContact">
    <vt:lpwstr>@@DateContact</vt:lpwstr>
  </property>
  <property fmtid="{D5CDD505-2E9C-101B-9397-08002B2CF9AE}" pid="6" name="DirectNameRP">
    <vt:lpwstr>@@DirectNameRP</vt:lpwstr>
  </property>
  <property fmtid="{D5CDD505-2E9C-101B-9397-08002B2CF9AE}" pid="7" name="DocSecurity">
    <vt:i4>0</vt:i4>
  </property>
  <property fmtid="{D5CDD505-2E9C-101B-9397-08002B2CF9AE}" pid="8" name="HyperlinksChanged">
    <vt:bool>0</vt:bool>
  </property>
  <property fmtid="{D5CDD505-2E9C-101B-9397-08002B2CF9AE}" pid="9" name="LinksUpToDate">
    <vt:bool>0</vt:bool>
  </property>
  <property fmtid="{D5CDD505-2E9C-101B-9397-08002B2CF9AE}" pid="10" name="NContract">
    <vt:lpwstr>@@NContract</vt:lpwstr>
  </property>
  <property fmtid="{D5CDD505-2E9C-101B-9397-08002B2CF9AE}" pid="11" name="NContractNumOnly">
    <vt:lpwstr>@@NContractNumOnly</vt:lpwstr>
  </property>
  <property fmtid="{D5CDD505-2E9C-101B-9397-08002B2CF9AE}" pid="12" name="NameAbonent">
    <vt:lpwstr>@@NameAbonent</vt:lpwstr>
  </property>
  <property fmtid="{D5CDD505-2E9C-101B-9397-08002B2CF9AE}" pid="13" name="NameDirectAbonent">
    <vt:lpwstr>@@NameDirectAbonent</vt:lpwstr>
  </property>
  <property fmtid="{D5CDD505-2E9C-101B-9397-08002B2CF9AE}" pid="14" name="PostRP">
    <vt:lpwstr>@@PostRP</vt:lpwstr>
  </property>
  <property fmtid="{D5CDD505-2E9C-101B-9397-08002B2CF9AE}" pid="15" name="ScaleCrop">
    <vt:bool>0</vt:bool>
  </property>
  <property fmtid="{D5CDD505-2E9C-101B-9397-08002B2CF9AE}" pid="16" name="ShareDoc">
    <vt:bool>0</vt:bool>
  </property>
</Properties>
</file>