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/>
        <w:drawing>
          <wp:inline distT="0" distB="0" distL="0" distR="0">
            <wp:extent cx="2541270" cy="43624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</w:p>
    <w:p>
      <w:pPr>
        <w:pStyle w:val="BodyTextIndent2"/>
        <w:spacing w:lineRule="auto" w:line="240" w:before="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ТЕПЛОСНАБЖЕНИЯ И ГОРЯЧЕГО ВОДОСНАБЖЕНИЯ </w:t>
      </w:r>
    </w:p>
    <w:p>
      <w:pPr>
        <w:pStyle w:val="BodyTextIndent2"/>
        <w:spacing w:lineRule="auto" w:line="240" w:before="0" w:after="0"/>
        <w:ind w:left="0" w:firstLine="357"/>
        <w:jc w:val="center"/>
        <w:rPr>
          <w:rStyle w:val="125"/>
          <w:color w:val="00000A"/>
          <w:sz w:val="22"/>
          <w:szCs w:val="22"/>
        </w:rPr>
      </w:pPr>
      <w:r>
        <w:rPr>
          <w:b/>
          <w:sz w:val="22"/>
          <w:szCs w:val="22"/>
        </w:rPr>
        <w:t>при открытой и закрытой системах теплоснабжения</w:t>
      </w:r>
      <w:r>
        <w:rPr>
          <w:rStyle w:val="125"/>
          <w:color w:val="00000A"/>
          <w:sz w:val="22"/>
          <w:szCs w:val="22"/>
        </w:rPr>
        <w:t xml:space="preserve"> № </w:t>
      </w:r>
      <w:r>
        <w:rPr>
          <w:b/>
          <w:sz w:val="22"/>
          <w:szCs w:val="22"/>
        </w:rPr>
        <w:t>________</w:t>
      </w:r>
    </w:p>
    <w:p>
      <w:pPr>
        <w:pStyle w:val="BodyTextIndent2"/>
        <w:spacing w:lineRule="auto" w:line="240" w:before="0" w:after="0"/>
        <w:ind w:left="0" w:firstLine="357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Indent2"/>
        <w:spacing w:lineRule="auto" w:line="240" w:before="0" w:after="0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г. Петропавловск-Камчатский</w:t>
      </w:r>
      <w:r>
        <w:rPr>
          <w:sz w:val="22"/>
          <w:szCs w:val="22"/>
        </w:rPr>
        <w:tab/>
        <w:tab/>
        <w:tab/>
        <w:tab/>
        <w:tab/>
        <w:t xml:space="preserve">                      ______________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5"/>
        <w:ind w:left="0" w:firstLine="709"/>
        <w:rPr>
          <w:iCs/>
          <w:szCs w:val="24"/>
        </w:rPr>
      </w:pPr>
      <w:r>
        <w:rPr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>«Ресурсоснабжающая организация» – далее по тексту «РСО»</w:t>
      </w:r>
      <w:r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>_______________________ филиала Публичного акционерного общества «Дальневосточная энергетическая компания» «Камчатскэнергосбыт» ____________________,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действующего на основании </w:t>
      </w:r>
      <w:r>
        <w:rPr>
          <w:b/>
          <w:bCs/>
          <w:iCs/>
          <w:sz w:val="22"/>
          <w:szCs w:val="22"/>
        </w:rPr>
        <w:t xml:space="preserve">доверенности </w:t>
      </w:r>
      <w:r>
        <w:rPr>
          <w:b/>
          <w:sz w:val="22"/>
          <w:szCs w:val="22"/>
        </w:rPr>
        <w:t>№ ______________ от _____________</w:t>
      </w:r>
      <w:r>
        <w:rPr>
          <w:sz w:val="22"/>
          <w:szCs w:val="22"/>
        </w:rPr>
        <w:t>, с одной стороны, и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________________________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sz w:val="22"/>
          <w:szCs w:val="22"/>
        </w:rPr>
        <w:t>«</w:t>
      </w:r>
      <w:r>
        <w:rPr>
          <w:b/>
          <w:bCs/>
          <w:sz w:val="22"/>
          <w:szCs w:val="22"/>
        </w:rPr>
        <w:t xml:space="preserve">Потребитель», </w:t>
      </w:r>
      <w:r>
        <w:rPr>
          <w:sz w:val="22"/>
          <w:szCs w:val="22"/>
        </w:rPr>
        <w:t xml:space="preserve">в лице </w:t>
      </w:r>
      <w:r>
        <w:rPr>
          <w:rStyle w:val="13"/>
          <w:b w:val="false"/>
          <w:sz w:val="22"/>
          <w:szCs w:val="22"/>
        </w:rPr>
        <w:t>____________________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действующего на основании _________________________________, с другой стороны (далее по тексту – «Стороны»), заключили настоящий договор о нижеследующем.</w:t>
      </w:r>
    </w:p>
    <w:p>
      <w:pPr>
        <w:pStyle w:val="Normal"/>
        <w:ind w:left="0"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ОБЩИЕ ПОЛОЖЕНИЯ.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Понятия, используемые в тексте настоящего договора, имеют значения, определенные Федеральным законом «О теплоснабжении», федеральными законами и иными нормативно-правовыми актами.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По всем вопросам, не оговоренным настоящим договором, Стороны обязуются руководствоваться следующими документами: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Гражданским кодексом РФ;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Федеральным законом от 27.07.2010 № 190-ФЗ «О теплоснабжении»;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Федеральным законом от 07.12.2011 № 416-ФЗ «О водоснабжении и водоотведении»;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bCs/>
          <w:sz w:val="22"/>
          <w:szCs w:val="22"/>
        </w:rPr>
        <w:t>Постановлением Правительства РФ</w:t>
      </w:r>
      <w:r>
        <w:rPr>
          <w:sz w:val="22"/>
          <w:szCs w:val="22"/>
        </w:rPr>
        <w:t xml:space="preserve"> от 29.07.2013 № 642 «Об утверждении правил горячего водоснабжения и внесении изменения в постановление Правительства РФ от 13.02.2006 № 83»;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«Правилами организации теплоснабжения в Российской Федерации», утвержденными постановлением Правительства Российской Федерации от 08.08.2012 № 808;</w:t>
      </w:r>
    </w:p>
    <w:p>
      <w:pPr>
        <w:pStyle w:val="ListParagraph"/>
        <w:numPr>
          <w:ilvl w:val="0"/>
          <w:numId w:val="10"/>
        </w:numPr>
        <w:ind w:left="0" w:firstLine="360"/>
        <w:rPr>
          <w:bCs/>
          <w:sz w:val="22"/>
          <w:szCs w:val="22"/>
        </w:rPr>
      </w:pPr>
      <w:r>
        <w:rPr>
          <w:bCs/>
          <w:sz w:val="22"/>
          <w:szCs w:val="22"/>
        </w:rPr>
        <w:t>«Правилами предоставления коммунальных услуг собственникам и пользователям помещений в многоквартирных домах и жилых домов», утвержденными Постановлением Правительства РФ от 06.05.2011 № 354;</w:t>
      </w:r>
    </w:p>
    <w:p>
      <w:pPr>
        <w:pStyle w:val="ListParagraph"/>
        <w:numPr>
          <w:ilvl w:val="0"/>
          <w:numId w:val="10"/>
        </w:numPr>
        <w:ind w:left="0" w:firstLine="3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Постановлением Правительства РФ от 14 февраля 2012 г. № 124 «О правилах, обязательных при заключении договоров 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снабжения коммунальными ресурсами для целей оказания коммунальных услуг»;</w:t>
      </w:r>
    </w:p>
    <w:p>
      <w:pPr>
        <w:pStyle w:val="ListParagraph"/>
        <w:numPr>
          <w:ilvl w:val="0"/>
          <w:numId w:val="10"/>
        </w:numPr>
        <w:ind w:left="0" w:firstLine="360"/>
        <w:rPr/>
      </w:pPr>
      <w:hyperlink r:id="rId3">
        <w:r>
          <w:rPr>
            <w:rStyle w:val="Style9"/>
            <w:bCs/>
            <w:sz w:val="22"/>
            <w:szCs w:val="22"/>
          </w:rPr>
          <w:t>Постановлением Правительства РФ от 28.03.2012 № 253 «О требованиях к осуществлению расчетов за ресурсы, необходимые для предоставления коммунальных услуг»</w:t>
        </w:r>
      </w:hyperlink>
      <w:r>
        <w:rPr>
          <w:bCs/>
          <w:sz w:val="22"/>
          <w:szCs w:val="22"/>
        </w:rPr>
        <w:t>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bCs/>
          <w:sz w:val="22"/>
          <w:szCs w:val="22"/>
        </w:rPr>
        <w:t>Фе</w:t>
      </w:r>
      <w:r>
        <w:rPr>
          <w:sz w:val="22"/>
          <w:szCs w:val="22"/>
        </w:rPr>
        <w:t>деральным законом от 23.11.2009 № 261-ФЗ «Об энергосбережении и о повышении энергетической эффективности»;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bCs/>
          <w:sz w:val="22"/>
          <w:szCs w:val="22"/>
        </w:rPr>
        <w:t>Постановлением Правительства РФ от 18 ноября 2013 г. № 1034 «О коммерческом учете тепловой энергии, теплоносителя»;</w:t>
      </w:r>
    </w:p>
    <w:p>
      <w:pPr>
        <w:pStyle w:val="ListParagraph"/>
        <w:numPr>
          <w:ilvl w:val="0"/>
          <w:numId w:val="10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Приказом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зарегистрированным в Минюсте России 16.03.2009 № 13513;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2"/>
          <w:szCs w:val="22"/>
        </w:rPr>
        <w:t>Другими документами, регламентирующими взаимоотношения между потребителями тепловой энергии и горячей воды и теплоснабжающей организацией.</w:t>
      </w:r>
    </w:p>
    <w:p>
      <w:pPr>
        <w:pStyle w:val="Normal"/>
        <w:ind w:left="0"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3"/>
        </w:numPr>
        <w:ind w:left="426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РСО обязуется на условиях, предусмотренных настоящим Договором, подавать Потребителю в точку поставки: </w:t>
      </w:r>
      <w:r>
        <w:rPr>
          <w:b/>
          <w:sz w:val="22"/>
          <w:szCs w:val="22"/>
          <w:u w:val="single"/>
        </w:rPr>
        <w:t xml:space="preserve">на границу раздела централизованных тепловых сетей и внутридомовых сетей многоквартирного дома </w:t>
      </w:r>
      <w:r>
        <w:rPr>
          <w:sz w:val="22"/>
          <w:szCs w:val="22"/>
          <w:u w:val="single"/>
        </w:rPr>
        <w:t>(</w:t>
      </w:r>
      <w:r>
        <w:rPr>
          <w:sz w:val="22"/>
          <w:szCs w:val="22"/>
        </w:rPr>
        <w:t>внешняя граница стены многоквартирного дома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или иная граница балансовой принадлежности тепловых сетей и эксплуатационной ответственности, согласованная между РСО и исполнителем коммунальных услуг, под управлением которого находится данный многоквартирный дом) тепловую энергию и (или) теплоноситель и (или) горячую воду на нужды отопления и горячего водоснабжения нежилого помещения, а Потребитель готов принять и оплатить потребленную тепловую энергию и (или) теплоноситель и (или) горячую воду в объеме, в сроки и на условиях, предусмотренных настоящим договором.</w:t>
      </w:r>
    </w:p>
    <w:p>
      <w:pPr>
        <w:pStyle w:val="Normal"/>
        <w:numPr>
          <w:ilvl w:val="1"/>
          <w:numId w:val="3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Годовой объём отпуска тепловой энергии и (или) теплоносителя, и (или) горячей воды, заявленный Потребителем, а также перечень коммунальных ресурсов, того вида, предоставление которых возможно с учетом степени благоустройства многоквартирного дома, определяются Приложением №1.</w:t>
      </w:r>
    </w:p>
    <w:p>
      <w:pPr>
        <w:pStyle w:val="Normal"/>
        <w:numPr>
          <w:ilvl w:val="1"/>
          <w:numId w:val="3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 принятия нормативно-правовых актов, регулирующих вопросы в сфере теплоснабжения и горячего водоснабжения, в том числе, устанавливающих иной, по сравнению с настоящим договором, порядок организации отношений сторон, стороны применяют  указанные нормативно-правовые акты в целях исполнения договора  с даты их вступления в законную силу без внесения соответствующих изменений в настоящий договор.</w:t>
      </w:r>
    </w:p>
    <w:p>
      <w:pPr>
        <w:pStyle w:val="Normal"/>
        <w:numPr>
          <w:ilvl w:val="1"/>
          <w:numId w:val="3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Расчеты за тепловую энергию и (или) теплоноситель, и (или) горячую воду производятся по тарифам, установленным для РСО в порядке, определенном законодательством Российской Федерации о государственном регулировании цен (тарифов). Изменение тарифов в период действия настоящего договора не требует его переоформления. Величины тарифов доводятся до Потребителя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Normal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ЦЕНА ДОГОВОРА.</w:t>
      </w:r>
    </w:p>
    <w:p>
      <w:pPr>
        <w:pStyle w:val="ListParagraph"/>
        <w:suppressAutoHyphens w:val="true"/>
        <w:ind w:left="585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Расчеты за тепловую энергию (мощность) и (или) теплоноситель, и (или) горячую воду, в том числе за повышенный расход, производятся по тарифам, установленным для Ресурсоснабжающей организации в порядке, определенном действующим законодательством Российской Федерации о государственном регулировании цен (тарифов). 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Объем сверхдоговорного, безучетного потребления или потребления с нарушением режима потребления потребитель оплачивает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Изменение тарифов в период действия настоящего договора не требует его переоформления. Величины тарифов доводятся до Потребителя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Договорные объемы тепловой энергии (мощности) и (или) теплоносителя, и (или) горячей воды, поставляемые РСО и приобретаемые Потребителем, указаны в Приложении №1, которое является неотъемлемой частью настоящего договора.</w:t>
      </w:r>
    </w:p>
    <w:p>
      <w:pPr>
        <w:pStyle w:val="ListParagraph"/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jc w:val="center"/>
        <w:rPr>
          <w:b/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КОЛИЧЕСТВО И КАЧЕСТВО </w:t>
      </w:r>
    </w:p>
    <w:p>
      <w:pPr>
        <w:pStyle w:val="Normal"/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ТЕПЛОВОЙ ЭНЕРГИИ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(МОЩНОСТИ)</w:t>
      </w:r>
      <w:r>
        <w:rPr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И (ИЛИ) ТЕПЛОНОСИТЕЛЯ И (ИЛИ) ГОРЯЧЕЙ ВОДЫ</w:t>
      </w:r>
      <w:r>
        <w:rPr>
          <w:b/>
          <w:sz w:val="22"/>
          <w:szCs w:val="22"/>
        </w:rPr>
        <w:t>.</w:t>
      </w:r>
    </w:p>
    <w:p>
      <w:pPr>
        <w:pStyle w:val="Normal"/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РСО несет обязательства по поставке тепловой энергии (мощности) и (или) теплоносителя, и (или) горячей воды Потребителю в точку поставки в объемах, предусмотренных настоящим договором.</w:t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несет ответственность за соблюдение режима потребления тепловой энергии (мощности) и (или) теплоносителя, и (или) горячей воды.</w:t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Расшифровка договорных величин потребления тепловой энергии (мощности) и (или) теплоносителя, и (или) горячей воды Потребителя по группам потребления в Приложении №1.</w:t>
      </w:r>
    </w:p>
    <w:p>
      <w:pPr>
        <w:pStyle w:val="Normal"/>
        <w:widowControl w:val="false"/>
        <w:numPr>
          <w:ilvl w:val="1"/>
          <w:numId w:val="1"/>
        </w:numPr>
        <w:suppressLineNumbers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  <w:u w:val="single"/>
        </w:rPr>
        <w:t>Показатели качества в точке поставки</w:t>
      </w:r>
      <w:r>
        <w:rPr>
          <w:sz w:val="22"/>
          <w:szCs w:val="22"/>
        </w:rPr>
        <w:t xml:space="preserve">: </w:t>
      </w:r>
    </w:p>
    <w:p>
      <w:pPr>
        <w:pStyle w:val="ListParagraph"/>
        <w:widowControl w:val="false"/>
        <w:numPr>
          <w:ilvl w:val="0"/>
          <w:numId w:val="9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Параметры тепловой энергии и теплоносителя  в системе отопления,  должны соответствовать </w:t>
      </w:r>
      <w:r>
        <w:rPr>
          <w:sz w:val="22"/>
          <w:szCs w:val="22"/>
          <w:lang w:eastAsia="en-US"/>
        </w:rPr>
        <w:t>графику регулирования отпуска тепла с источника тепловой энергии</w:t>
      </w:r>
      <w:r>
        <w:rPr>
          <w:sz w:val="22"/>
          <w:szCs w:val="22"/>
        </w:rPr>
        <w:t xml:space="preserve"> (мощности)</w:t>
      </w:r>
      <w:r>
        <w:rPr>
          <w:sz w:val="22"/>
          <w:szCs w:val="22"/>
          <w:lang w:eastAsia="en-US"/>
        </w:rPr>
        <w:t xml:space="preserve">, разработанному в соответствии с требованиями законодательства РФ к качеству теплоснабжения и теплоносителей </w:t>
      </w:r>
      <w:r>
        <w:rPr>
          <w:sz w:val="22"/>
          <w:szCs w:val="22"/>
        </w:rPr>
        <w:t>(Приложение №2).</w:t>
      </w:r>
    </w:p>
    <w:p>
      <w:pPr>
        <w:pStyle w:val="ListParagraph"/>
        <w:widowControl w:val="false"/>
        <w:numPr>
          <w:ilvl w:val="0"/>
          <w:numId w:val="9"/>
        </w:numPr>
        <w:ind w:left="0" w:hanging="0"/>
        <w:outlineLvl w:val="0"/>
        <w:rPr>
          <w:sz w:val="22"/>
          <w:szCs w:val="22"/>
        </w:rPr>
      </w:pPr>
      <w:r>
        <w:rPr>
          <w:sz w:val="22"/>
          <w:szCs w:val="22"/>
        </w:rPr>
        <w:t>Температура горячей воды соответствует СП 30.13330.2012 «Свод правил. Внутренний водопровод и канализация зданий», утвержден Приказом Минрегиона России от 29.12.2011 № 626, СанПиН 2.1.4.1074-01.</w:t>
      </w:r>
    </w:p>
    <w:p>
      <w:pPr>
        <w:pStyle w:val="Normal"/>
        <w:widowControl w:val="false"/>
        <w:suppressLineNumbers/>
        <w:ind w:left="0" w:hanging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>4.5</w:t>
      </w:r>
      <w:r>
        <w:rPr>
          <w:sz w:val="22"/>
          <w:szCs w:val="22"/>
        </w:rPr>
        <w:t xml:space="preserve">      </w:t>
      </w:r>
      <w:r>
        <w:rPr>
          <w:sz w:val="22"/>
          <w:szCs w:val="22"/>
          <w:u w:val="single"/>
        </w:rPr>
        <w:t>Режим потребления тепловой энергии (мощности) и (или) теплоносителя, и (или) горячей воды:</w:t>
      </w:r>
    </w:p>
    <w:p>
      <w:pPr>
        <w:pStyle w:val="ListParagraph"/>
        <w:widowControl w:val="false"/>
        <w:numPr>
          <w:ilvl w:val="0"/>
          <w:numId w:val="9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Величина максимального расхода теплоносителя для нужд отопления указана в Приложении №1;</w:t>
      </w:r>
    </w:p>
    <w:p>
      <w:pPr>
        <w:pStyle w:val="ListParagraph"/>
        <w:widowControl w:val="false"/>
        <w:numPr>
          <w:ilvl w:val="0"/>
          <w:numId w:val="9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Величина максимального часового и величина среднего за сутки часового потребления (разбора) теплоносителя на нужды горячего водоснабжения, и (или) горячей воды указана в Приложении №1.</w:t>
      </w:r>
    </w:p>
    <w:p>
      <w:pPr>
        <w:pStyle w:val="ListParagraph"/>
        <w:widowControl w:val="false"/>
        <w:suppressLineNumbers/>
        <w:ind w:left="357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ind w:left="0" w:hanging="18"/>
        <w:jc w:val="center"/>
        <w:rPr>
          <w:b/>
          <w:b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ПРАВА И ОБЯЗАННОСТИ СТОРОН</w:t>
      </w:r>
      <w:r>
        <w:rPr>
          <w:b/>
          <w:sz w:val="22"/>
          <w:szCs w:val="22"/>
        </w:rPr>
        <w:t>.</w:t>
      </w:r>
    </w:p>
    <w:p>
      <w:pPr>
        <w:pStyle w:val="ListParagraph"/>
        <w:suppressAutoHyphens w:val="true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РСО обязана: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поставку тепловой энергии и (или) теплоносителя, и (или) горячей воды на внешнюю граница стены многоквартирного дома или иную границу балансовой принадлежности тепловых сетей и эксплуатационной ответственности, согласованную между РСО и исполнителем коммунальных услуг, под управлением которого находится данный многоквартирный дом, в необходимых для Потребителя объемах и надлежащего качества в соответствии с нормативными документами, за исключением следующих случаев:</w:t>
      </w:r>
    </w:p>
    <w:p>
      <w:pPr>
        <w:pStyle w:val="Normal"/>
        <w:numPr>
          <w:ilvl w:val="0"/>
          <w:numId w:val="4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форс-мажорные обстоятельства;</w:t>
      </w:r>
    </w:p>
    <w:p>
      <w:pPr>
        <w:pStyle w:val="Normal"/>
        <w:numPr>
          <w:ilvl w:val="0"/>
          <w:numId w:val="5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аварийный или планово-предупредительный ремонт тепловых сетей;</w:t>
      </w:r>
    </w:p>
    <w:p>
      <w:pPr>
        <w:pStyle w:val="Normal"/>
        <w:numPr>
          <w:ilvl w:val="0"/>
          <w:numId w:val="6"/>
        </w:numPr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ограничением или прекращением подачи тепловой энергии и теплоносителей, осуществленным по предписанию органов государственного энергетического надзора или Госгортехнадзора России;</w:t>
      </w:r>
    </w:p>
    <w:p>
      <w:pPr>
        <w:pStyle w:val="Normal"/>
        <w:numPr>
          <w:ilvl w:val="0"/>
          <w:numId w:val="6"/>
        </w:numPr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неисправности теплопотребляющих установок Потребителя.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Поддерживать параметры теплоносителя (в целях горячего водоснабжения при открытой системе теплоснабжения) в соответствии с графиком регулирования отпуска тепла с источника тепловой энергии, разработанным в соответствии с требованиями нормативных документов и законодательства РФ (Приложение №2).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>Поддерживать качество горячей воды (при закрытой системе теплоснабжения) в части водно-химического режима тепловых сетей в точке поставки в соответствии с действующими нормами и правилами.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Предупреждать Потребителя о предстоящем плановом перерыве подачи тепловой энергии и (или) теплоносителя, и (или) горячей воды в сроки, соответствующие Правилам предоставления коммунальных услуг, путем размещения указанной информации в официальных средствах массовой информации. 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Принимать от Потребителя показания индивидуальных приборов учета (Приложение № 4) и использовать их при расчете размера платы за коммунальные ресурсы, потребленные в расчетном периоде, а так же проводить проверки состояния указанных приборов учета и достоверности предоставленных Потребителем показаний этих приборов. </w:t>
      </w:r>
    </w:p>
    <w:p>
      <w:pPr>
        <w:pStyle w:val="Normal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РСО имеет право: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Требовать от Потребителя оплаты поставленного объема тепловой энергии и (или) теплоносителя, и (или) горячей воды, принятого в соответствии с условиями настоящего Договора.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Производить ограничения отпуска теплоносителя, и (или) горячей воды и отключение Потребителя полностью за неисполнение или ненадлежащее исполнение потребителем обязательств по оплате тепловой энергии и (или) теплоносителя, и (или) горячей воды,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договору теплоснабжения, выявление фактов бездоговорного потребления тепловой энергии и (или) теплоносителя, и (или) горячей воды.</w:t>
      </w:r>
    </w:p>
    <w:p>
      <w:pPr>
        <w:pStyle w:val="Normal"/>
        <w:numPr>
          <w:ilvl w:val="2"/>
          <w:numId w:val="1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иные права, предоставленные Ресурсоснабжающим организациям, по настоящему Договору и нормативными правовыми актами Российской Федерации.</w:t>
      </w:r>
    </w:p>
    <w:p>
      <w:pPr>
        <w:pStyle w:val="Normal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Потребитель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обязан: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Оплачивать потребленную тепловую энергию и (или) теплоноситель, и (или) горячую воду (коммунальные ресурсы) по установленным тарифам в размере, порядке и сроки, предусмотренные настоящим договором.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Ежемесячно в срок до 25 числа месяца, следующего за расчетным, направлять в адрес РСО данные о показаниях индивидуальных приборов учета потребления коммунальных ресурсов, установленных в принадлежащем Потребителю помещении.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Предоставлять в РСО сведения об уполномоченных должностных лицах, ответственных за исполнение договора и сообщать в течение 10 дней об изменении данных сведений (Приложение №3).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Установить прибор учета ГВС и обеспечивать его исправное состояние, а также обеспечить сохранность пломб и знаков поверки на приборах учета (узлах учета), кранах и задвижках на их обводах и других устройствах. Производить замену (ремонт) прибора учета в течение 30 дней с момента выхода его из строя.</w:t>
      </w:r>
    </w:p>
    <w:p>
      <w:pPr>
        <w:pStyle w:val="Normal"/>
        <w:numPr>
          <w:ilvl w:val="2"/>
          <w:numId w:val="1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Беспрепятственно допускать представителей РСО по их служебным документам для контроля за режимом теплопотребления, рациональным использованием тепловой энергии и (или) теплоносителя и (или) горячей воды, техническим состоянием и эксплуатацией систем потребления. В случае отказа в допуске представителей РСО к приборам учета (узлам учета) такие приборы учета (узлы учета) признаются неисправными. В таком случае применяется расчетный метод определения количества поданной (полученной) горячей воды и (или) теплоносителя за расчетный период (Приложение № 1).</w:t>
      </w:r>
    </w:p>
    <w:p>
      <w:pPr>
        <w:pStyle w:val="Normal"/>
        <w:numPr>
          <w:ilvl w:val="2"/>
          <w:numId w:val="1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Выполнять в установленные сроки предписания РСО об устранении недостатков в устройстве, эксплуатации и обслуживании систем теплопотребления, а также в режиме использования тепловой энергии и (или) теплоносителя и (или) и горячей воды.</w:t>
      </w:r>
    </w:p>
    <w:p>
      <w:pPr>
        <w:pStyle w:val="Normal"/>
        <w:numPr>
          <w:ilvl w:val="2"/>
          <w:numId w:val="1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Извещать письменно в течение 10 дней РСО о смене Потребителя, изменении юридического статуса, наименования, руководителя, главного бухгалтера, местонахождения, банковских реквизитов, реорганизации и ликвидации, а также других реквизитов, влияющих на надлежащее исполнение настоящего договора.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  <w:t>При отчуждении объектов заблаговременно направлять письмо в РСО о прекращении действия настоящего договора (контракта), произвести полный расчёт за потреблённую тепловую энергию и (или) теплоноситель и (или) горячую воду.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Соблюдать режим потребления тепловой энергии и (или) теплоноситель и (или) горячей воды:</w:t>
      </w:r>
    </w:p>
    <w:p>
      <w:pPr>
        <w:pStyle w:val="Normal"/>
        <w:numPr>
          <w:ilvl w:val="3"/>
          <w:numId w:val="1"/>
        </w:numPr>
        <w:tabs>
          <w:tab w:val="left" w:pos="1701" w:leader="none"/>
        </w:tabs>
        <w:ind w:left="0" w:firstLine="851"/>
        <w:rPr>
          <w:sz w:val="22"/>
          <w:szCs w:val="22"/>
        </w:rPr>
      </w:pPr>
      <w:r>
        <w:rPr>
          <w:sz w:val="22"/>
          <w:szCs w:val="22"/>
        </w:rPr>
        <w:t>не допускать ухудшения качества горячей воды в части водно-химического режима;</w:t>
      </w:r>
    </w:p>
    <w:p>
      <w:pPr>
        <w:pStyle w:val="Normal"/>
        <w:numPr>
          <w:ilvl w:val="3"/>
          <w:numId w:val="1"/>
        </w:numPr>
        <w:tabs>
          <w:tab w:val="left" w:pos="1701" w:leader="none"/>
        </w:tabs>
        <w:ind w:left="0" w:firstLine="851"/>
        <w:rPr>
          <w:sz w:val="22"/>
          <w:szCs w:val="22"/>
        </w:rPr>
      </w:pPr>
      <w:r>
        <w:rPr>
          <w:sz w:val="22"/>
          <w:szCs w:val="22"/>
        </w:rPr>
        <w:t>не допускать загрязнения теплоносителя (сетевой воды);</w:t>
      </w:r>
    </w:p>
    <w:p>
      <w:pPr>
        <w:pStyle w:val="Normal"/>
        <w:numPr>
          <w:ilvl w:val="3"/>
          <w:numId w:val="1"/>
        </w:numPr>
        <w:tabs>
          <w:tab w:val="left" w:pos="1701" w:leader="none"/>
        </w:tabs>
        <w:ind w:left="0" w:firstLine="851"/>
        <w:rPr>
          <w:sz w:val="22"/>
          <w:szCs w:val="22"/>
        </w:rPr>
      </w:pPr>
      <w:r>
        <w:rPr>
          <w:sz w:val="22"/>
          <w:szCs w:val="22"/>
        </w:rPr>
        <w:t>не производить слив теплоносителя из системы отопления (при закрытой системе теплоснабжения);</w:t>
      </w:r>
    </w:p>
    <w:p>
      <w:pPr>
        <w:pStyle w:val="Normal"/>
        <w:numPr>
          <w:ilvl w:val="3"/>
          <w:numId w:val="1"/>
        </w:numPr>
        <w:tabs>
          <w:tab w:val="left" w:pos="1701" w:leader="none"/>
        </w:tabs>
        <w:ind w:left="0" w:firstLine="851"/>
        <w:rPr>
          <w:sz w:val="22"/>
          <w:szCs w:val="22"/>
        </w:rPr>
      </w:pPr>
      <w:r>
        <w:rPr>
          <w:sz w:val="22"/>
          <w:szCs w:val="22"/>
        </w:rPr>
        <w:t>не вносить изменения в систему теплоснабжения МКД непредусмотренные проектной и (или) технической документацией на МКД.</w:t>
      </w:r>
    </w:p>
    <w:p>
      <w:pPr>
        <w:pStyle w:val="Normal"/>
        <w:numPr>
          <w:ilvl w:val="2"/>
          <w:numId w:val="1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 выявления нарушения Потребителем режима потребления тепловой энергии и (или) горячей воды, и (или) теплоносителя (в том числе самовольное подключение систем</w:t>
      </w:r>
      <w:r>
        <w:rPr>
          <w:bCs/>
          <w:sz w:val="22"/>
          <w:szCs w:val="22"/>
        </w:rPr>
        <w:t xml:space="preserve"> теплопотребления)</w:t>
      </w:r>
      <w:r>
        <w:rPr>
          <w:sz w:val="22"/>
          <w:szCs w:val="22"/>
        </w:rPr>
        <w:t xml:space="preserve"> при условии отсутствия у Потребителя коммерческого учета тепловой энергии и (или) горячей воды, и (или) теплоносителя, Потребитель обязан оплатить РСО объем сверхдоговорного, бездоговорного,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ListParagraph"/>
        <w:numPr>
          <w:ilvl w:val="1"/>
          <w:numId w:val="1"/>
        </w:numPr>
        <w:ind w:left="567" w:hanging="567"/>
        <w:rPr>
          <w:sz w:val="22"/>
          <w:szCs w:val="22"/>
        </w:rPr>
      </w:pPr>
      <w:r>
        <w:rPr>
          <w:b/>
          <w:sz w:val="22"/>
          <w:szCs w:val="22"/>
        </w:rPr>
        <w:t>Потребитель имеет право</w:t>
      </w:r>
      <w:r>
        <w:rPr>
          <w:sz w:val="22"/>
          <w:szCs w:val="22"/>
        </w:rPr>
        <w:t>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Требовать от РСО проведения проверок качества предоставляемых коммунальных услуг, оформления и предоставления акта проверки, акта об устранении выявленных недостатков;</w:t>
      </w:r>
    </w:p>
    <w:p>
      <w:pPr>
        <w:pStyle w:val="Normal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Вносить изменения в договорные величины теплопотребления на предстоящий период не позднее, чем за 1 месяц до намеченного изменения при наличии подтверждающих документов. Заявка направляется в письменной форме.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56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УЧЕТА И ОПРЕДЕЛЕНИЕ ОБЪЕМА.</w:t>
      </w:r>
    </w:p>
    <w:p>
      <w:pPr>
        <w:pStyle w:val="ListParagraph"/>
        <w:ind w:left="567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наличии приборов учета у Потребителя расчет за теплоноситель и (или) горячую воду производится по приборам учета, установленным у Потребителя (Приложение № 4). </w:t>
      </w:r>
    </w:p>
    <w:p>
      <w:pPr>
        <w:pStyle w:val="Normal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 случае отсутствия (при наличии технической возможности установки) или неисправности приборов учета свыше 2 месяцев порядок определения объемов потребления производится следующим образом: </w:t>
      </w:r>
    </w:p>
    <w:p>
      <w:pPr>
        <w:pStyle w:val="Normal"/>
        <w:numPr>
          <w:ilvl w:val="0"/>
          <w:numId w:val="7"/>
        </w:numPr>
        <w:ind w:left="851" w:hanging="425"/>
        <w:rPr>
          <w:sz w:val="22"/>
          <w:szCs w:val="22"/>
        </w:rPr>
      </w:pPr>
      <w:r>
        <w:rPr>
          <w:sz w:val="22"/>
          <w:szCs w:val="22"/>
        </w:rPr>
        <w:t>величина потребленного теплоносителя для нужд горячего водоснабжения, и (или) горячей воды определяется на основании расчетной величины расхода теплоносителя для нужд горячего водоснабжения, и (или) горячей воды в соответствии с нормой водопотребления, утвержденной органом местного самоуправления, при отсутствии утвержденной нормы, согласно СНиП 2.04.01-85*«Внутренний водопровод и канализация зданий» по тарифу, установленному уполномоченным государственным органом;</w:t>
      </w:r>
    </w:p>
    <w:p>
      <w:pPr>
        <w:pStyle w:val="Normal"/>
        <w:numPr>
          <w:ilvl w:val="0"/>
          <w:numId w:val="7"/>
        </w:numPr>
        <w:ind w:left="851" w:hanging="425"/>
        <w:rPr>
          <w:sz w:val="22"/>
          <w:szCs w:val="22"/>
        </w:rPr>
      </w:pPr>
      <w:r>
        <w:rPr>
          <w:sz w:val="22"/>
          <w:szCs w:val="22"/>
        </w:rPr>
        <w:t>объем теплоносителя для нужд горячего водоснабжения, и (или) горячей воды потребленных на общедомовые нужды определяется исходя из расчетной величины потребления, равной применяемому в таком многоквартирном доме нормативу потребления коммунальной услуги на общедомовые нужды;</w:t>
      </w:r>
    </w:p>
    <w:p>
      <w:pPr>
        <w:pStyle w:val="Normal"/>
        <w:numPr>
          <w:ilvl w:val="0"/>
          <w:numId w:val="7"/>
        </w:numPr>
        <w:ind w:left="851" w:hanging="425"/>
        <w:rPr>
          <w:sz w:val="22"/>
          <w:szCs w:val="22"/>
        </w:rPr>
      </w:pPr>
      <w:r>
        <w:rPr>
          <w:sz w:val="22"/>
          <w:szCs w:val="22"/>
        </w:rPr>
        <w:t>величина потребленной тепловой энергии на нужды отопления определяется в соответствии с Приложением N 2 к «Правилам предоставления коммунальных услуг…» (далее - Правила), утвержденным постановлением Правительства РФ от 06.05.2011 № 354, исходя из расчетной величины потребления тепловой энергии, равной применяемому в таком многоквартирном доме нормативу потребления коммунальной услуги отопления.</w:t>
      </w:r>
    </w:p>
    <w:p>
      <w:pPr>
        <w:pStyle w:val="Normal"/>
        <w:numPr>
          <w:ilvl w:val="0"/>
          <w:numId w:val="7"/>
        </w:numPr>
        <w:ind w:left="851" w:hanging="425"/>
        <w:rPr>
          <w:sz w:val="22"/>
          <w:szCs w:val="22"/>
        </w:rPr>
      </w:pPr>
      <w:r>
        <w:rPr>
          <w:sz w:val="22"/>
          <w:szCs w:val="22"/>
        </w:rPr>
        <w:t>размер платы за коммунальную услугу, предоставленную на общедомовые нужды в многоквартирном доме, определяется в соответствии с Приложением №2 к Правилам.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обнаружении осуществленного с нарушением установленного порядка подключения (далее - несанкционированное подключение) внутриквартирного оборудования потребителя к внутридомовым инженерным системам РСО обязан незамедлительно устранить (демонтировать) такое несанкционированное подключение и произвести доначисление платы за коммунальную услугу для потребителя, в интересах которого совершено такое подключение, за потребленные без надлежащего учета коммунальные услуги в соответствии с действующим законодательством РФ.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обнаружении РСО факта несанкционированного вмешательства в работу индивидуального прибора учета, расположенного в помещении Потребителя, повлекшего искажение показаний такого прибора учета, РСО обязана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ресурса, рассчитанных как произведение </w:t>
      </w:r>
      <w:r>
        <w:rPr>
          <w:rFonts w:eastAsia="Calibri"/>
          <w:sz w:val="22"/>
          <w:szCs w:val="22"/>
          <w:lang w:eastAsia="en-US"/>
        </w:rPr>
        <w:t>договорного объема потребления тепловой энергии и (или) теплоносителя и (или) горячей воды (Приложение №1) и тарифа на тепловую энергию и (или) теплоноситель</w:t>
      </w:r>
      <w:r>
        <w:rPr>
          <w:sz w:val="22"/>
          <w:szCs w:val="22"/>
        </w:rPr>
        <w:t xml:space="preserve"> за период начиная с даты несанкционированного вмешательства в работу прибора учета, указанной в акте проверки состояния прибора учета, составленном РСО, до даты устранения такого вмешательства.</w:t>
      </w:r>
    </w:p>
    <w:p>
      <w:pPr>
        <w:pStyle w:val="Normal"/>
        <w:ind w:left="0" w:firstLine="585"/>
        <w:rPr>
          <w:sz w:val="22"/>
          <w:szCs w:val="22"/>
        </w:rPr>
      </w:pPr>
      <w:r>
        <w:rPr>
          <w:sz w:val="22"/>
          <w:szCs w:val="22"/>
        </w:rPr>
        <w:t>Если дату осуществления несанкционированного подключения или вмешательства в работу прибора учета установить невозможно, то доначисление должно быть произведено начиная с даты проведения исполнителем предыдущей проверки, но не более чем за 6 месяцев, предшествующих месяцу, в котором выявлено несанкционированное подключение или вмешательство в работу прибора учета.</w:t>
      </w:r>
    </w:p>
    <w:p>
      <w:pPr>
        <w:pStyle w:val="Normal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РАСЧЕТОВ.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Расчетным периодом по настоящему договору является один календарный месяц.</w:t>
      </w:r>
    </w:p>
    <w:p>
      <w:pPr>
        <w:pStyle w:val="Normal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оплачивает приобретенный объем тепловой энергии и (или) теплоносителя в следующем порядке:</w:t>
      </w:r>
    </w:p>
    <w:p>
      <w:pPr>
        <w:pStyle w:val="Normal"/>
        <w:numPr>
          <w:ilvl w:val="0"/>
          <w:numId w:val="8"/>
        </w:numPr>
        <w:ind w:left="426" w:hanging="426"/>
        <w:rPr>
          <w:sz w:val="22"/>
          <w:szCs w:val="22"/>
        </w:rPr>
      </w:pPr>
      <w:r>
        <w:rPr>
          <w:b/>
          <w:sz w:val="22"/>
          <w:szCs w:val="22"/>
        </w:rPr>
        <w:t>35 процентов</w:t>
      </w:r>
      <w:r>
        <w:rPr>
          <w:sz w:val="22"/>
          <w:szCs w:val="22"/>
        </w:rPr>
        <w:t xml:space="preserve"> плановой общей стоимости тепловой энергии и (или) теплоносителя, потребляемой в месяце, за который осуществляется оплата, вносится до 18-го числа текущего месяца, и </w:t>
      </w:r>
    </w:p>
    <w:p>
      <w:pPr>
        <w:pStyle w:val="Normal"/>
        <w:numPr>
          <w:ilvl w:val="0"/>
          <w:numId w:val="8"/>
        </w:numPr>
        <w:ind w:left="426" w:hanging="426"/>
        <w:rPr>
          <w:sz w:val="22"/>
          <w:szCs w:val="22"/>
        </w:rPr>
      </w:pPr>
      <w:r>
        <w:rPr>
          <w:b/>
          <w:sz w:val="22"/>
          <w:szCs w:val="22"/>
        </w:rPr>
        <w:t>50 процентов</w:t>
      </w:r>
      <w:r>
        <w:rPr>
          <w:sz w:val="22"/>
          <w:szCs w:val="22"/>
        </w:rPr>
        <w:t xml:space="preserve"> плановой общей стоимости тепловой энергии и (или) теплоносителя, потребляемой в месяце, за который осуществляется оплата, вносится до истечения последнего числа текущего месяца;</w:t>
      </w:r>
    </w:p>
    <w:p>
      <w:pPr>
        <w:pStyle w:val="Normal"/>
        <w:numPr>
          <w:ilvl w:val="0"/>
          <w:numId w:val="8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оплата за фактически потребленную в истекшем месяце тепловую энергию и (или) теплоноситель с учетом средств, ранее внесенных потребителем в качестве оплаты за тепловую энергию в расчетном периоде, осуществляется до </w:t>
      </w:r>
      <w:r>
        <w:rPr>
          <w:b/>
          <w:sz w:val="22"/>
          <w:szCs w:val="22"/>
        </w:rPr>
        <w:t>10-го числа</w:t>
      </w:r>
      <w:r>
        <w:rPr>
          <w:sz w:val="22"/>
          <w:szCs w:val="22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(или) теплоносителя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Плановая </w:t>
      </w:r>
      <w:r>
        <w:rPr>
          <w:rFonts w:eastAsia="Calibri"/>
          <w:sz w:val="22"/>
          <w:szCs w:val="22"/>
          <w:lang w:eastAsia="en-US"/>
        </w:rPr>
        <w:t>общая стоимость потребляемой тепловой энергии и (или)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и (или) теплоносителя и (или) горячей воды в месяце, за который осуществляется оплата, и тарифа на тепловую энергию и (или) теплоноситель.</w:t>
      </w:r>
    </w:p>
    <w:p>
      <w:pPr>
        <w:pStyle w:val="Normal"/>
        <w:widowControl w:val="false"/>
        <w:ind w:left="0" w:hanging="0"/>
        <w:rPr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sz w:val="22"/>
          <w:szCs w:val="22"/>
        </w:rPr>
        <w:t xml:space="preserve">По окончании расчетного периода РСО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 подписанным руководителем и скрепленным печатью, </w:t>
      </w:r>
      <w:r>
        <w:rPr>
          <w:sz w:val="22"/>
          <w:szCs w:val="22"/>
          <w:lang w:eastAsia="en-US"/>
        </w:rPr>
        <w:t>в адрес РСО не позднее 5-ти рабочих дней с момента получения</w:t>
      </w:r>
      <w:r>
        <w:rPr>
          <w:color w:val="000000"/>
          <w:sz w:val="22"/>
          <w:szCs w:val="22"/>
          <w:lang w:eastAsia="en-US"/>
        </w:rPr>
        <w:t>. В случае н</w:t>
      </w:r>
      <w:r>
        <w:rPr>
          <w:rFonts w:eastAsia="Calibri"/>
          <w:color w:val="000000"/>
          <w:sz w:val="22"/>
          <w:szCs w:val="22"/>
          <w:lang w:eastAsia="en-US"/>
        </w:rPr>
        <w:t xml:space="preserve">евозврата </w:t>
      </w:r>
      <w:r>
        <w:rPr>
          <w:color w:val="000000"/>
          <w:sz w:val="22"/>
          <w:szCs w:val="22"/>
        </w:rPr>
        <w:t>Потребителем</w:t>
      </w:r>
      <w:r>
        <w:rPr>
          <w:rFonts w:eastAsia="Calibri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color w:val="000000"/>
          <w:sz w:val="22"/>
          <w:szCs w:val="22"/>
        </w:rPr>
        <w:t>Акт считается принятым, объемы энергоресурсов согласованными</w:t>
      </w:r>
      <w:r>
        <w:rPr>
          <w:sz w:val="22"/>
          <w:szCs w:val="22"/>
          <w:lang w:eastAsia="en-US"/>
        </w:rPr>
        <w:t>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частичного отказа от объема потребления коммунальных ресурсов, указанного в Акте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Потребитель обязан оплатить стоимость неоспариваемой части потребления в срок, установленный настоящим договором и направить в РСО обоснованный отказ от оплаты оспариваемой части объема потребления.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если Потребитель не направил в адрес РСО обоснования своего отказа в течение 5-ти рабочих дней с момента получения Акта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претензии по объему и качеству не принимаются. 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Порядок оплаты оспариваемой части определяется соглашением сторон, а в случае не достижения такого соглашения – в судебном порядке.</w:t>
      </w:r>
    </w:p>
    <w:p>
      <w:pPr>
        <w:pStyle w:val="Normal"/>
        <w:widowControl w:val="false"/>
        <w:ind w:left="0" w:firstLine="851"/>
        <w:rPr>
          <w:sz w:val="22"/>
          <w:szCs w:val="22"/>
        </w:rPr>
      </w:pPr>
      <w:r>
        <w:rPr>
          <w:sz w:val="22"/>
          <w:szCs w:val="22"/>
        </w:rPr>
        <w:t>Размер оспариваемых обязательств по оплате определяется Сторонами путём переговоров, а в случае не достижения согласия – в судебном порядке.</w:t>
      </w:r>
    </w:p>
    <w:p>
      <w:pPr>
        <w:pStyle w:val="ListParagraph"/>
        <w:widowControl w:val="false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оплате стоимости потребленной тепловой энергии (мощности) и (или) теплоносителя, и (или) горячей воды платежными поручениями Потребитель обязательно в поле «назначение платежа» указывает: оплата по договору №____от _____г. за тепловую энергию (мощность) и (или) теплоноситель, и (или) горячую воду, номер и дату счета-фактуры или счета, период за который производится оплата. В случае отсутствия в платежном поручении назначения платежа полученная сумма направляется РСО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ListParagraph"/>
        <w:widowControl w:val="false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Для изменения назначения платежа требуется обязательное письменное согласие обеих сторон.</w:t>
      </w:r>
    </w:p>
    <w:p>
      <w:pPr>
        <w:pStyle w:val="Normal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Исполнением обязательств по оплате считается дата поступления денежных средств на расчетный счет РСО.</w:t>
      </w:r>
    </w:p>
    <w:p>
      <w:pPr>
        <w:pStyle w:val="Normal"/>
        <w:widowControl w:val="false"/>
        <w:numPr>
          <w:ilvl w:val="1"/>
          <w:numId w:val="1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Расчет за тепловую энергию </w:t>
      </w:r>
      <w:r>
        <w:rPr>
          <w:rFonts w:eastAsia="Calibri"/>
          <w:sz w:val="22"/>
          <w:szCs w:val="22"/>
          <w:lang w:eastAsia="en-US"/>
        </w:rPr>
        <w:t xml:space="preserve">(мощность) </w:t>
      </w:r>
      <w:r>
        <w:rPr>
          <w:sz w:val="22"/>
          <w:szCs w:val="22"/>
        </w:rPr>
        <w:t xml:space="preserve">и (или) теплоноситель и (или) горячую воду </w:t>
      </w:r>
      <w:r>
        <w:rPr>
          <w:bCs/>
          <w:sz w:val="22"/>
          <w:szCs w:val="22"/>
        </w:rPr>
        <w:t>производится платежными поручениями или другими формами расчетов, не запрещенными действующим законодательством</w:t>
      </w:r>
      <w:r>
        <w:rPr>
          <w:sz w:val="22"/>
          <w:szCs w:val="22"/>
        </w:rPr>
        <w:t xml:space="preserve"> РФ.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Стороны обязуются ежеквартально проводить сверку взаимных расчетов с составлением Акта сверки. РСО по истечении квартала направляет Потребителю оформленный со своей стороны Акт сверки. Потребитель обязан в течение 10 дней с момента получения рассмотреть Акт сверки, подписать и направить один экземпляр РСО. Акт сверки расчетов считается согласованный обеими сторонами в случае невозврата Акта в течение установленного выше срока</w:t>
      </w:r>
      <w:r>
        <w:rPr>
          <w:sz w:val="22"/>
          <w:szCs w:val="22"/>
        </w:rPr>
        <w:t xml:space="preserve">. </w:t>
      </w:r>
    </w:p>
    <w:p>
      <w:pPr>
        <w:pStyle w:val="Normal"/>
        <w:ind w:left="0" w:firstLine="72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КОНТРОЛЯ КАЧЕСТВА ГОРЯЧЕЙ ВОДЫ.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Контроль качества подаваемой горячей воды осуществляется в соответствии с законодательством Российской Федерации в области обеспечения санитарно-эпидемиологического благополучия населения:</w:t>
      </w:r>
    </w:p>
    <w:p>
      <w:pPr>
        <w:pStyle w:val="ListParagraph"/>
        <w:ind w:left="0" w:firstLine="851"/>
        <w:rPr>
          <w:sz w:val="22"/>
          <w:szCs w:val="22"/>
        </w:rPr>
      </w:pPr>
      <w:r>
        <w:rPr>
          <w:sz w:val="22"/>
          <w:szCs w:val="22"/>
        </w:rPr>
        <w:t>а) по инициативе и за счет Потребителя;</w:t>
      </w:r>
    </w:p>
    <w:p>
      <w:pPr>
        <w:pStyle w:val="ListParagraph"/>
        <w:ind w:left="0" w:firstLine="851"/>
        <w:rPr>
          <w:sz w:val="22"/>
          <w:szCs w:val="22"/>
        </w:rPr>
      </w:pPr>
      <w:r>
        <w:rPr>
          <w:sz w:val="22"/>
          <w:szCs w:val="22"/>
        </w:rPr>
        <w:t>б) на основании программы производственного контроля качества горячей воды организации, осуществляющей горячее водоснабжение;</w:t>
      </w:r>
    </w:p>
    <w:p>
      <w:pPr>
        <w:pStyle w:val="ListParagraph"/>
        <w:ind w:left="0" w:firstLine="851"/>
        <w:rPr>
          <w:sz w:val="22"/>
          <w:szCs w:val="22"/>
        </w:rPr>
      </w:pPr>
      <w:r>
        <w:rPr>
          <w:sz w:val="22"/>
          <w:szCs w:val="22"/>
        </w:rPr>
        <w:t>в) при осуществлении федерального государственного санитарно-эпидемиологического контроля уполномоченным территориальным органом федерального органа исполнительной власти.</w:t>
      </w:r>
    </w:p>
    <w:p>
      <w:pPr>
        <w:pStyle w:val="ListParagraph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Контроль качества горячей воды, подаваемой Потребителю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 на границе балансовой принадлежности тепловых сетей и эксплуатационной ответственности, согласованной между РСО и исполнителем коммунальных услуг, под управлением которого находится данный многоквартирный дом.</w:t>
      </w:r>
    </w:p>
    <w:p>
      <w:pPr>
        <w:pStyle w:val="ListParagraph"/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ОТВЕТСТВЕННОСТЬ СТОРОН.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Стороны несут ответственность за неисполнение или ненадлежащее исполнение обязательств по настоящему договору, в случаях и порядке, определенных законодательством Российской Федерации и настоящим договором, в том числе за нарушение порядка полного и (или) частичного ограничения режима потребления. </w:t>
      </w:r>
    </w:p>
    <w:p>
      <w:pPr>
        <w:pStyle w:val="Normal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РСО несет ответственность за нарушение условий поставки, в том числе надежности качества 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 xml:space="preserve">и </w:t>
      </w:r>
      <w:r>
        <w:rPr>
          <w:sz w:val="22"/>
          <w:szCs w:val="22"/>
        </w:rPr>
        <w:t>(или) теплоносителя, и (или) горячей воды до точек раздела границ</w:t>
      </w:r>
      <w:r>
        <w:rPr>
          <w:rFonts w:eastAsia="Calibri"/>
          <w:sz w:val="22"/>
          <w:szCs w:val="22"/>
          <w:lang w:eastAsia="en-US"/>
        </w:rPr>
        <w:t>. Потребитель несет ответственность за нарушение порядка оплаты.</w:t>
      </w:r>
    </w:p>
    <w:p>
      <w:pPr>
        <w:pStyle w:val="Normal"/>
        <w:widowControl w:val="false"/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РСО не несет ответственности за недоотпуск </w:t>
      </w:r>
      <w:r>
        <w:rPr>
          <w:spacing w:val="5"/>
          <w:sz w:val="22"/>
          <w:szCs w:val="22"/>
        </w:rPr>
        <w:t>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</w:t>
      </w:r>
      <w:r>
        <w:rPr>
          <w:spacing w:val="5"/>
          <w:sz w:val="22"/>
          <w:szCs w:val="22"/>
        </w:rPr>
        <w:t xml:space="preserve">, произошедший по вине Потребителя, или вызванный </w:t>
      </w:r>
      <w:r>
        <w:rPr>
          <w:spacing w:val="2"/>
          <w:sz w:val="22"/>
          <w:szCs w:val="22"/>
        </w:rPr>
        <w:t xml:space="preserve">стихийным явлением, или ненадлежащим исполнением Потребителем своих обязательств, </w:t>
      </w:r>
      <w:r>
        <w:rPr>
          <w:sz w:val="22"/>
          <w:szCs w:val="22"/>
        </w:rPr>
        <w:t>предусмотренных настоящим договором или действующим законодательством РФ.</w:t>
      </w:r>
    </w:p>
    <w:p>
      <w:pPr>
        <w:pStyle w:val="Normal"/>
        <w:numPr>
          <w:ilvl w:val="1"/>
          <w:numId w:val="1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Потребитель несёт ответственность за предоставление недостоверных исходных данных, используемых РСО при расчётах потребления тепловой энергии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воды, и возмещает РСО разницу в потреблении за весь период в пределах срока исковой давности.</w:t>
      </w:r>
    </w:p>
    <w:p>
      <w:pPr>
        <w:pStyle w:val="Normal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случае несвоевременной и (или) неполной оплаты тепловой энергии (мощности) и (или) теплоносителя, и (или) горячей воды по настоящему договору Потребитель несет ответственность, предусмотренную действующим законодательством.</w:t>
      </w:r>
    </w:p>
    <w:p>
      <w:pPr>
        <w:pStyle w:val="Normal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>
      <w:pPr>
        <w:pStyle w:val="Normal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Уплата неустоек за просрочку, неисполнение или ненадлежащее исполнение обязательств по настоящему договору, а также возмещение убытков, причиненных ненадлежащим исполнением обязательств, не освобождает Стороны от исполнения обязательств по договору.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Все споры и разногласия, возникающие в связи с исполнением, заключением и расторжением настоящего договора, разрешаются сторонами в досудебном порядке, в случае недостижения согласия  подлежат разрешению в Арбитражном суде Камчатского края или суде общей юрисдикции, в зависимости от подсудности. Каждая из Сторон имеет право обратиться с заявлением об урегулировании разногласий, возникших при заключении, изменении настоящего контракта </w:t>
      </w:r>
      <w:r>
        <w:rPr>
          <w:sz w:val="22"/>
          <w:szCs w:val="22"/>
        </w:rPr>
        <w:t>после принятия мер по досудебному урегулированию по истечении десяти календарных дней со дня направления претензии (требования)</w:t>
      </w:r>
      <w:r>
        <w:rPr>
          <w:rFonts w:eastAsia="Calibri"/>
          <w:sz w:val="22"/>
          <w:szCs w:val="22"/>
          <w:lang w:eastAsia="en-US"/>
        </w:rPr>
        <w:t xml:space="preserve">. 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spacing w:val="1"/>
          <w:sz w:val="22"/>
          <w:szCs w:val="22"/>
        </w:rPr>
        <w:t>Перечень должностных лиц, имеющих право проведения переговоров по качеству и количеству 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</w:t>
      </w:r>
      <w:r>
        <w:rPr>
          <w:spacing w:val="1"/>
          <w:sz w:val="22"/>
          <w:szCs w:val="22"/>
        </w:rPr>
        <w:t xml:space="preserve">, снятия показаний приборов учета, а также по вопросам взаимных </w:t>
      </w:r>
      <w:r>
        <w:rPr>
          <w:sz w:val="22"/>
          <w:szCs w:val="22"/>
        </w:rPr>
        <w:t>обязательств, приведен в Приложении № 3.</w:t>
      </w:r>
    </w:p>
    <w:p>
      <w:pPr>
        <w:pStyle w:val="Normal"/>
        <w:numPr>
          <w:ilvl w:val="1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>
        <w:rPr>
          <w:rFonts w:eastAsia="Calibri"/>
          <w:sz w:val="22"/>
          <w:szCs w:val="22"/>
          <w:lang w:eastAsia="en-US"/>
        </w:rPr>
        <w:t>договору</w:t>
      </w:r>
      <w:r>
        <w:rPr>
          <w:sz w:val="22"/>
          <w:szCs w:val="22"/>
        </w:rPr>
        <w:t xml:space="preserve">, если это явилось следствием обстоятельств непреодолимой силы, возникших после заключения </w:t>
      </w:r>
      <w:r>
        <w:rPr>
          <w:rFonts w:eastAsia="Calibri"/>
          <w:sz w:val="22"/>
          <w:szCs w:val="22"/>
          <w:lang w:eastAsia="en-US"/>
        </w:rPr>
        <w:t>контракта</w:t>
      </w:r>
      <w:r>
        <w:rPr>
          <w:sz w:val="22"/>
          <w:szCs w:val="22"/>
        </w:rPr>
        <w:t xml:space="preserve">, как-то: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</w:t>
      </w:r>
      <w:r>
        <w:rPr>
          <w:rFonts w:eastAsia="Calibri"/>
          <w:sz w:val="22"/>
          <w:szCs w:val="22"/>
          <w:lang w:eastAsia="en-US"/>
        </w:rPr>
        <w:t>договора</w:t>
      </w:r>
      <w:r>
        <w:rPr>
          <w:sz w:val="22"/>
          <w:szCs w:val="22"/>
        </w:rPr>
        <w:t>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ДЕЙСТВИЕ, ИЗМЕНЕНИЕ И РАСТОРЖЕНИЕ ДОГОВОРА.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outlineLvl w:val="1"/>
        <w:rPr/>
      </w:pPr>
      <w:r>
        <w:rPr>
          <w:sz w:val="22"/>
          <w:szCs w:val="22"/>
        </w:rPr>
        <w:t xml:space="preserve">Договор вступает в силу с момента подписания, действует с _____ 20__ года по 31 декабря 20__ года включительно и считается продленным на каждый следующий календарный год и на тех же условиях, если за 1 (один) месяц до окончания срока его действия ни одна из сторон не заявит о его прекращении или изменении, либо о заключении договора на иных условиях. </w:t>
      </w:r>
    </w:p>
    <w:p>
      <w:pPr>
        <w:pStyle w:val="ListParagraph"/>
        <w:numPr>
          <w:ilvl w:val="1"/>
          <w:numId w:val="1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>Если одной из сторон до окончания срока действия договора внесено предложение об изменении или заключении нового договора, то отношения сторон до заключения нового договора регулируются в соответствии с условиями ранее заключенного договора.</w:t>
      </w:r>
    </w:p>
    <w:p>
      <w:pPr>
        <w:pStyle w:val="ListParagraph"/>
        <w:numPr>
          <w:ilvl w:val="1"/>
          <w:numId w:val="1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>Настоящий договор может быть расторгнут РСО в случае неоднократного нарушения Потребителем сроков оплаты по настоящему договору с момента получения Потребителем уведомления об одностороннем отказе от исполнения договора, если иной срок расторжения не предусмотрен в уведомлении.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18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ПРИЛОЖЕНИЯ. </w:t>
      </w:r>
    </w:p>
    <w:p>
      <w:pPr>
        <w:pStyle w:val="Normal"/>
        <w:ind w:left="1020" w:firstLine="357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left" w:pos="2127" w:leader="none"/>
        </w:tabs>
        <w:ind w:left="0" w:right="425" w:hanging="0"/>
        <w:rPr>
          <w:sz w:val="22"/>
          <w:szCs w:val="22"/>
        </w:rPr>
      </w:pPr>
      <w:r>
        <w:rPr>
          <w:sz w:val="22"/>
          <w:szCs w:val="22"/>
        </w:rPr>
        <w:t>Приложение № 1.</w:t>
        <w:tab/>
        <w:t xml:space="preserve">Договорные величины потребления тепловой энергии и (или)  </w:t>
      </w:r>
    </w:p>
    <w:p>
      <w:pPr>
        <w:pStyle w:val="Normal"/>
        <w:ind w:left="357" w:right="425" w:firstLine="1770"/>
        <w:rPr>
          <w:sz w:val="22"/>
          <w:szCs w:val="22"/>
        </w:rPr>
      </w:pPr>
      <w:r>
        <w:rPr>
          <w:sz w:val="22"/>
          <w:szCs w:val="22"/>
        </w:rPr>
        <w:t>теплоносителя, и (или) горячей воды по каждому объекту.</w:t>
      </w:r>
    </w:p>
    <w:p>
      <w:pPr>
        <w:pStyle w:val="Normal"/>
        <w:ind w:left="2127" w:right="425" w:hanging="2127"/>
        <w:rPr>
          <w:sz w:val="22"/>
          <w:szCs w:val="22"/>
        </w:rPr>
      </w:pPr>
      <w:r>
        <w:rPr>
          <w:sz w:val="22"/>
          <w:szCs w:val="22"/>
        </w:rPr>
        <w:t>Приложение № 2.</w:t>
        <w:tab/>
        <w:t>Температурный график регулирования отпуска тепла с источника тепловой энергии и (или) теплоносителя, и (или) горячей воды.</w:t>
      </w:r>
    </w:p>
    <w:p>
      <w:pPr>
        <w:pStyle w:val="Normal"/>
        <w:ind w:left="2127" w:hanging="2127"/>
        <w:rPr>
          <w:sz w:val="24"/>
          <w:szCs w:val="24"/>
        </w:rPr>
      </w:pPr>
      <w:r>
        <w:rPr>
          <w:sz w:val="22"/>
          <w:szCs w:val="22"/>
        </w:rPr>
        <w:t>Приложение № 3.</w:t>
        <w:tab/>
        <w:t>С</w:t>
      </w:r>
      <w:r>
        <w:rPr>
          <w:sz w:val="24"/>
          <w:szCs w:val="24"/>
        </w:rPr>
        <w:t>ведения об уполномоченных должностных лицах сторон, ответственных за выполнение условий договора.</w:t>
      </w:r>
    </w:p>
    <w:tbl>
      <w:tblPr>
        <w:tblW w:w="9464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234"/>
        <w:gridCol w:w="7229"/>
      </w:tblGrid>
      <w:tr>
        <w:trPr/>
        <w:tc>
          <w:tcPr>
            <w:tcW w:w="2234" w:type="dxa"/>
            <w:tcBorders/>
            <w:shd w:color="auto" w:fill="auto" w:val="clear"/>
          </w:tcPr>
          <w:p>
            <w:pPr>
              <w:pStyle w:val="Normal"/>
              <w:ind w:left="0" w:hanging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Приложение № 4 </w:t>
            </w:r>
          </w:p>
        </w:tc>
        <w:tc>
          <w:tcPr>
            <w:tcW w:w="7229" w:type="dxa"/>
            <w:tcBorders/>
            <w:shd w:color="auto" w:fill="auto" w:val="clear"/>
          </w:tcPr>
          <w:p>
            <w:pPr>
              <w:pStyle w:val="Normal"/>
              <w:ind w:left="-108" w:hanging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Перечень узлов (приборов) учета тепловой энергии (мощности) и (или) теплоносителя, и (или) горячей воды у Потребителя.</w:t>
            </w:r>
          </w:p>
        </w:tc>
      </w:tr>
    </w:tbl>
    <w:p>
      <w:pPr>
        <w:pStyle w:val="Normal"/>
        <w:ind w:left="2127" w:right="425" w:hanging="212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585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left="0" w:hanging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РЕКВИЗИТЫ СТОРОН.</w:t>
      </w:r>
    </w:p>
    <w:p>
      <w:pPr>
        <w:pStyle w:val="ListParagraph"/>
        <w:ind w:left="585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9889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08"/>
        <w:gridCol w:w="5280"/>
      </w:tblGrid>
      <w:tr>
        <w:trPr>
          <w:trHeight w:val="3745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Normal"/>
              <w:spacing w:lineRule="auto" w:line="240"/>
              <w:ind w:left="357" w:right="255" w:firstLine="357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РСО</w:t>
            </w:r>
          </w:p>
          <w:p>
            <w:pPr>
              <w:pStyle w:val="Normal"/>
              <w:spacing w:lineRule="auto" w:line="240"/>
              <w:ind w:left="357" w:right="255" w:firstLine="357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Style15"/>
              <w:spacing w:lineRule="auto" w:line="240"/>
              <w:ind w:right="310" w:hanging="0"/>
              <w:rPr/>
            </w:pPr>
            <w:r>
              <w:rPr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5"/>
              <w:spacing w:lineRule="auto" w:line="240"/>
              <w:ind w:hanging="0"/>
              <w:rPr/>
            </w:pPr>
            <w:r>
              <w:rPr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9"/>
                <w:sz w:val="22"/>
                <w:szCs w:val="22"/>
              </w:rPr>
              <w:t>kamenergo@rushydro.ru</w:t>
            </w:r>
          </w:p>
          <w:p>
            <w:pPr>
              <w:pStyle w:val="Style15"/>
              <w:spacing w:lineRule="auto" w:line="240"/>
              <w:ind w:left="0" w:right="255" w:hanging="0"/>
              <w:jc w:val="left"/>
              <w:rPr/>
            </w:pPr>
            <w:bookmarkStart w:id="0" w:name="__DdeLink__1218_587274678"/>
            <w:r>
              <w:rPr>
                <w:b/>
                <w:color w:val="000000"/>
                <w:sz w:val="22"/>
                <w:szCs w:val="22"/>
              </w:rPr>
              <w:t xml:space="preserve">Официальный сайт </w:t>
            </w:r>
          </w:p>
          <w:p>
            <w:pPr>
              <w:pStyle w:val="Style15"/>
              <w:spacing w:lineRule="auto" w:line="240"/>
              <w:ind w:left="0" w:right="255" w:hanging="0"/>
              <w:jc w:val="left"/>
              <w:rPr/>
            </w:pPr>
            <w:bookmarkStart w:id="1" w:name="__DdeLink__1218_587274678"/>
            <w:r>
              <w:rPr>
                <w:b/>
                <w:color w:val="000000"/>
                <w:sz w:val="22"/>
                <w:szCs w:val="22"/>
              </w:rPr>
              <w:t xml:space="preserve">ПАО «Камчатскэнерго»: </w:t>
            </w:r>
            <w:hyperlink r:id="rId4">
              <w:bookmarkEnd w:id="1"/>
              <w:r>
                <w:rPr>
                  <w:rStyle w:val="Style9"/>
                  <w:b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Normal"/>
              <w:spacing w:lineRule="auto" w:line="240"/>
              <w:ind w:left="0" w:right="255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80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Потребитель</w:t>
            </w:r>
          </w:p>
          <w:p>
            <w:pPr>
              <w:pStyle w:val="Normal"/>
              <w:ind w:left="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15"/>
              <w:rPr/>
            </w:pPr>
            <w:r>
              <w:rPr>
                <w:iCs/>
                <w:color w:val="0000FF"/>
                <w:sz w:val="22"/>
                <w:szCs w:val="22"/>
              </w:rPr>
              <w:t>____________________________________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Телефон______________________________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Факс_________________________________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электронной почты 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ИНН/КПП____________________________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ОКВЭД______________________________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ОГРН_______________________________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Банк ________________________________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_____________________________________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Р/счет 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БИК _________________________________</w:t>
            </w:r>
          </w:p>
          <w:p>
            <w:pPr>
              <w:pStyle w:val="Style1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Режим налогообложения___________</w:t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ListParagraph"/>
        <w:ind w:left="585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946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08"/>
        <w:gridCol w:w="4859"/>
      </w:tblGrid>
      <w:tr>
        <w:trPr>
          <w:trHeight w:val="675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Normal"/>
              <w:ind w:left="0" w:right="255" w:hanging="0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 </w:t>
            </w:r>
          </w:p>
          <w:p>
            <w:pPr>
              <w:pStyle w:val="Normal"/>
              <w:ind w:left="0" w:right="255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  <w:r>
              <w:rPr>
                <w:bCs/>
                <w:sz w:val="22"/>
                <w:szCs w:val="22"/>
              </w:rPr>
              <w:t>«___»______________20___</w:t>
            </w:r>
          </w:p>
        </w:tc>
        <w:tc>
          <w:tcPr>
            <w:tcW w:w="4859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  <w:r>
              <w:rPr>
                <w:b/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__________</w:t>
            </w:r>
          </w:p>
          <w:p>
            <w:pPr>
              <w:pStyle w:val="Normal"/>
              <w:ind w:left="0" w:hanging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м.п.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</w:t>
            </w:r>
            <w:r>
              <w:rPr>
                <w:bCs/>
                <w:sz w:val="22"/>
                <w:szCs w:val="22"/>
              </w:rPr>
              <w:t xml:space="preserve">«___»_______________20___ </w:t>
            </w:r>
          </w:p>
        </w:tc>
      </w:tr>
    </w:tbl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keepNext w:val="true"/>
        <w:numPr>
          <w:ilvl w:val="0"/>
          <w:numId w:val="0"/>
        </w:numPr>
        <w:ind w:left="357" w:firstLine="363"/>
        <w:jc w:val="right"/>
        <w:outlineLvl w:val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Приложение № 3</w:t>
      </w:r>
    </w:p>
    <w:p>
      <w:pPr>
        <w:pStyle w:val="Normal"/>
        <w:ind w:left="9072" w:hanging="9072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к договору теплоснабжения</w:t>
      </w:r>
    </w:p>
    <w:p>
      <w:pPr>
        <w:pStyle w:val="Normal"/>
        <w:ind w:left="9072" w:hanging="9072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и горячего водоснабжения</w:t>
      </w:r>
    </w:p>
    <w:p>
      <w:pPr>
        <w:pStyle w:val="Normal"/>
        <w:jc w:val="right"/>
        <w:rPr>
          <w:b/>
          <w:b/>
          <w:sz w:val="24"/>
          <w:szCs w:val="24"/>
        </w:rPr>
      </w:pPr>
      <w:r>
        <w:rPr>
          <w:rStyle w:val="125"/>
          <w:rFonts w:eastAsia="Calibri"/>
          <w:color w:val="00000A"/>
          <w:sz w:val="24"/>
          <w:szCs w:val="24"/>
        </w:rPr>
        <w:t>№ </w:t>
      </w:r>
      <w:r>
        <w:rPr>
          <w:b/>
          <w:sz w:val="24"/>
          <w:szCs w:val="24"/>
        </w:rPr>
        <w:t>_______ от ________</w:t>
      </w:r>
      <w:r>
        <w:rPr>
          <w:rStyle w:val="125"/>
          <w:rFonts w:eastAsia="Calibri"/>
          <w:color w:val="00000A"/>
          <w:sz w:val="24"/>
          <w:szCs w:val="24"/>
        </w:rPr>
        <w:t xml:space="preserve"> </w:t>
      </w:r>
    </w:p>
    <w:p>
      <w:pPr>
        <w:pStyle w:val="Normal"/>
        <w:ind w:lef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Сведения об уполномоченных должностных лицах сторон, ответственных за выполнение условий договора</w:t>
      </w:r>
    </w:p>
    <w:p>
      <w:pPr>
        <w:pStyle w:val="Style15"/>
        <w:rPr>
          <w:iCs/>
          <w:sz w:val="22"/>
          <w:szCs w:val="22"/>
        </w:rPr>
      </w:pPr>
      <w:r>
        <w:rPr>
          <w:iCs/>
          <w:sz w:val="22"/>
          <w:szCs w:val="22"/>
        </w:rPr>
        <w:t>РСО:</w:t>
      </w:r>
    </w:p>
    <w:tbl>
      <w:tblPr>
        <w:tblW w:w="9668" w:type="dxa"/>
        <w:jc w:val="left"/>
        <w:tblInd w:w="2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3892"/>
        <w:gridCol w:w="5246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 xml:space="preserve">№ </w:t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  <w:lang w:val="en-US"/>
              </w:rPr>
            </w:pPr>
            <w:r>
              <w:rPr>
                <w:iCs/>
                <w:sz w:val="21"/>
                <w:szCs w:val="21"/>
                <w:lang w:val="en-US"/>
              </w:rPr>
              <w:t>Фамилия, имя, отчество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 8 (415 31) 6-12-69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b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  <w:t>(41531) 6-14-30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4</w:t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Экономисты по договорной работе 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29-49-05 (внебюджет)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29-49-21 (бюджет)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299-345 Дрогайцева Наталья Анатольевна </w:t>
            </w:r>
            <w:hyperlink r:id="rId5">
              <w:r>
                <w:rPr>
                  <w:rStyle w:val="Style9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490-489 Мохова Наталья Витальевна  </w:t>
            </w:r>
            <w:hyperlink r:id="rId6">
              <w:r>
                <w:rPr>
                  <w:rStyle w:val="Style9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r>
              <w:rPr>
                <w:sz w:val="21"/>
                <w:szCs w:val="21"/>
              </w:rPr>
              <w:t>8 (415 31) 7-15-90</w:t>
            </w:r>
          </w:p>
          <w:p>
            <w:pPr>
              <w:pStyle w:val="Style15"/>
              <w:widowControl/>
              <w:bidi w:val="0"/>
              <w:spacing w:lineRule="auto" w:line="240"/>
              <w:ind w:left="57" w:right="0" w:hanging="0"/>
              <w:jc w:val="left"/>
              <w:rPr/>
            </w:pPr>
            <w:hyperlink r:id="rId7">
              <w:r>
                <w:rPr>
                  <w:rStyle w:val="Style9"/>
                  <w:sz w:val="21"/>
                  <w:szCs w:val="21"/>
                </w:rPr>
                <w:t>Balan_EV@kamch.dvec.ru</w:t>
              </w:r>
            </w:hyperlink>
          </w:p>
        </w:tc>
      </w:tr>
      <w:tr>
        <w:trPr/>
        <w:tc>
          <w:tcPr>
            <w:tcW w:w="96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spacing w:lineRule="auto" w:line="240" w:before="120" w:after="120"/>
              <w:jc w:val="left"/>
              <w:rPr/>
            </w:pPr>
            <w:r>
              <w:rPr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ind w:left="67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5"/>
              <w:ind w:left="67" w:hanging="0"/>
              <w:rPr/>
            </w:pPr>
            <w:r>
              <w:rPr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277-805;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/>
              <w:ind w:left="357" w:hanging="0"/>
              <w:jc w:val="left"/>
              <w:outlineLvl w:val="3"/>
              <w:rPr/>
            </w:pPr>
            <w:r>
              <w:rPr>
                <w:sz w:val="21"/>
                <w:szCs w:val="21"/>
              </w:rPr>
              <w:t>адрес местонахождения: ул. Степная, д. 50,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357" w:hanging="0"/>
              <w:jc w:val="left"/>
              <w:outlineLvl w:val="3"/>
              <w:rPr/>
            </w:pPr>
            <w:r>
              <w:rPr>
                <w:sz w:val="21"/>
                <w:szCs w:val="21"/>
              </w:rPr>
              <w:t>г. Петропавловск-Камчатский;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ind w:left="67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5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307-684,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307-865</w:t>
            </w:r>
          </w:p>
          <w:p>
            <w:pPr>
              <w:pStyle w:val="Style15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5"/>
        <w:rPr>
          <w:iCs/>
        </w:rPr>
      </w:pPr>
      <w:r>
        <w:rPr>
          <w:iCs/>
        </w:rPr>
      </w:r>
    </w:p>
    <w:p>
      <w:pPr>
        <w:pStyle w:val="Style15"/>
        <w:rPr>
          <w:iCs/>
          <w:sz w:val="22"/>
          <w:szCs w:val="22"/>
        </w:rPr>
      </w:pPr>
      <w:r>
        <w:rPr>
          <w:iCs/>
          <w:color w:val="0000FF"/>
        </w:rPr>
        <w:t xml:space="preserve">   </w:t>
      </w:r>
      <w:r>
        <w:rPr>
          <w:iCs/>
          <w:sz w:val="22"/>
          <w:szCs w:val="22"/>
        </w:rPr>
        <w:t>Потребитель:</w:t>
      </w:r>
    </w:p>
    <w:tbl>
      <w:tblPr>
        <w:tblW w:w="9668" w:type="dxa"/>
        <w:jc w:val="left"/>
        <w:tblInd w:w="2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5420"/>
        <w:gridCol w:w="28"/>
        <w:gridCol w:w="3690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0"/>
              <w:rPr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spacing w:before="120" w:after="120"/>
              <w:jc w:val="center"/>
              <w:rPr>
                <w:iCs/>
                <w:sz w:val="21"/>
                <w:szCs w:val="21"/>
                <w:highlight w:val="yellow"/>
              </w:rPr>
            </w:pPr>
            <w:r>
              <w:rPr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67" w:hanging="0"/>
              <w:outlineLvl w:val="3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uppressAutoHyphens w:val="true"/>
              <w:ind w:left="67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bottom"/>
          </w:tcPr>
          <w:p>
            <w:pPr>
              <w:pStyle w:val="Normal"/>
              <w:suppressAutoHyphens w:val="true"/>
              <w:ind w:left="67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5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0" distT="0" distB="127000" distL="114300" distR="114300" simplePos="0" locked="0" layoutInCell="1" allowOverlap="1" relativeHeight="2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4735" cy="871855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040" cy="87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  <w:t>РСО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2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color w:val="00000A"/>
                                      <w:sz w:val="24"/>
                                      <w:szCs w:val="24"/>
                                      <w:lang w:val="ru-RU" w:eastAsia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rPr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9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bookmarkStart w:id="2" w:name="__UnoMark__7209_2318926630"/>
                                  <w:bookmarkEnd w:id="2"/>
                                  <w:r>
                                    <w:rPr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  <w:t xml:space="preserve">____________________  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bookmarkStart w:id="3" w:name="__UnoMark__7210_2318926630"/>
                                  <w:bookmarkEnd w:id="3"/>
                                  <w:r>
                                    <w:rPr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  <w:t>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A"/>
                                      <w:sz w:val="24"/>
                                      <w:szCs w:val="24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3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-5.4pt;margin-top:14.65pt;width:482.95pt;height:68.55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  <w:t>РСО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2"/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eastAsia="Arial Unicode MS" w:ascii="Times New Roman" w:hAnsi="Times New Roman"/>
                                <w:color w:val="00000A"/>
                                <w:sz w:val="24"/>
                                <w:szCs w:val="24"/>
                                <w:lang w:val="ru-RU" w:eastAsia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rPr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9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bookmarkStart w:id="4" w:name="__UnoMark__7209_2318926630"/>
                            <w:bookmarkEnd w:id="4"/>
                            <w:r>
                              <w:rPr>
                                <w:bCs/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  <w:t xml:space="preserve">____________________  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bookmarkStart w:id="5" w:name="__UnoMark__7210_2318926630"/>
                            <w:bookmarkEnd w:id="5"/>
                            <w:r>
                              <w:rPr>
                                <w:bCs/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bCs/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  <w:t>___________________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bCs/>
                                <w:color w:val="00000A"/>
                                <w:sz w:val="24"/>
                                <w:szCs w:val="24"/>
                                <w:lang w:eastAsia="en-US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3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rPr/>
      </w:pPr>
      <w:r>
        <w:rPr/>
      </w:r>
    </w:p>
    <w:sectPr>
      <w:footerReference w:type="default" r:id="rId8"/>
      <w:type w:val="nextPage"/>
      <w:pgSz w:w="11906" w:h="16838"/>
      <w:pgMar w:left="851" w:right="851" w:header="0" w:top="992" w:footer="544" w:bottom="992" w:gutter="0"/>
      <w:pgNumType w:fmt="decimal"/>
      <w:formProt w:val="false"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>
        <w:i/>
        <w:i/>
        <w:sz w:val="16"/>
        <w:szCs w:val="16"/>
      </w:rPr>
    </w:pPr>
    <w:r>
      <w:rPr>
        <w:i/>
        <w:sz w:val="16"/>
        <w:szCs w:val="16"/>
      </w:rPr>
      <w:t xml:space="preserve">Договор теплоснабжения и горячего водоснабжения </w:t>
    </w:r>
  </w:p>
  <w:p>
    <w:pPr>
      <w:pStyle w:val="Style20"/>
      <w:jc w:val="center"/>
      <w:rPr>
        <w:i/>
        <w:i/>
        <w:sz w:val="16"/>
        <w:szCs w:val="16"/>
      </w:rPr>
    </w:pPr>
    <w:r>
      <w:rPr>
        <w:i/>
        <w:sz w:val="16"/>
        <w:szCs w:val="16"/>
      </w:rPr>
      <w:t>с Потребителем – собственником нежилого помещения в МКД. ВНЕБЮДЖЕТ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decimal"/>
      <w:lvlText w:val="%1."/>
      <w:lvlJc w:val="left"/>
      <w:pPr>
        <w:ind w:left="585" w:hanging="585"/>
      </w:pPr>
      <w:rPr>
        <w:sz w:val="24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2"/>
        <w:i w:val="false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sz w:val="22"/>
        <w:b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sz w:val="22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2"/>
      <w:numFmt w:val="decimal"/>
      <w:lvlText w:val="%1."/>
      <w:lvlJc w:val="left"/>
      <w:pPr>
        <w:ind w:left="2864" w:hanging="1020"/>
      </w:pPr>
      <w:rPr>
        <w:sz w:val="22"/>
        <w:b/>
        <w:rFonts w:cs="Times New Roman"/>
      </w:rPr>
    </w:lvl>
    <w:lvl w:ilvl="1">
      <w:start w:val="1"/>
      <w:numFmt w:val="decimal"/>
      <w:lvlText w:val="%1.%2."/>
      <w:lvlJc w:val="left"/>
      <w:pPr>
        <w:ind w:left="1162" w:hanging="1020"/>
      </w:pPr>
      <w:rPr>
        <w:sz w:val="22"/>
        <w:b/>
        <w:rFonts w:cs="Times New Roman"/>
      </w:rPr>
    </w:lvl>
    <w:lvl w:ilvl="2">
      <w:start w:val="1"/>
      <w:numFmt w:val="decimal"/>
      <w:lvlText w:val="%1.%2.%3."/>
      <w:lvlJc w:val="left"/>
      <w:pPr>
        <w:ind w:left="2438" w:hanging="1020"/>
      </w:pPr>
      <w:rPr>
        <w:b w:val="false"/>
        <w:rFonts w:cs="Times New Roman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qFormat/>
    <w:rsid w:val="0016533c"/>
    <w:pPr>
      <w:keepNext w:val="true"/>
      <w:outlineLvl w:val="4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9">
    <w:name w:val="Интернет-ссылка"/>
    <w:rsid w:val="00c8498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link w:val="a3"/>
    <w:qFormat/>
    <w:rsid w:val="003a33d4"/>
    <w:rPr/>
  </w:style>
  <w:style w:type="character" w:styleId="11" w:customStyle="1">
    <w:name w:val="Стиль1_св-ва документа Знак"/>
    <w:link w:val="1-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1"/>
    <w:qFormat/>
    <w:rsid w:val="003c61f8"/>
    <w:rPr>
      <w:color w:val="0000FF"/>
    </w:rPr>
  </w:style>
  <w:style w:type="character" w:styleId="102" w:customStyle="1">
    <w:name w:val="Тр_10_Жир Знак"/>
    <w:link w:val="103"/>
    <w:qFormat/>
    <w:rsid w:val="008910fe"/>
    <w:rPr>
      <w:b/>
      <w:color w:val="3333FF"/>
    </w:rPr>
  </w:style>
  <w:style w:type="character" w:styleId="21" w:customStyle="1">
    <w:name w:val="Заголовок 2 Знак"/>
    <w:link w:val="2"/>
    <w:qFormat/>
    <w:rsid w:val="00aa10ca"/>
    <w:rPr>
      <w:rFonts w:ascii="Arial" w:hAnsi="Arial"/>
      <w:b/>
      <w:sz w:val="22"/>
      <w:lang w:val="en-US"/>
    </w:rPr>
  </w:style>
  <w:style w:type="character" w:styleId="Annotationreference">
    <w:name w:val="annotation reference"/>
    <w:qFormat/>
    <w:rsid w:val="001667b2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f2"/>
    <w:qFormat/>
    <w:rsid w:val="001667b2"/>
    <w:rPr/>
  </w:style>
  <w:style w:type="character" w:styleId="Style12" w:customStyle="1">
    <w:name w:val="Тема примечания Знак"/>
    <w:link w:val="af4"/>
    <w:qFormat/>
    <w:rsid w:val="001667b2"/>
    <w:rPr>
      <w:b/>
      <w:bCs/>
    </w:rPr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033d73"/>
    <w:rPr/>
  </w:style>
  <w:style w:type="character" w:styleId="131" w:customStyle="1">
    <w:name w:val="ТР_13_жирный Знак"/>
    <w:link w:val="131"/>
    <w:qFormat/>
    <w:rsid w:val="00e01c71"/>
    <w:rPr>
      <w:b/>
      <w:color w:val="421CE2"/>
      <w:sz w:val="26"/>
    </w:rPr>
  </w:style>
  <w:style w:type="character" w:styleId="ListLabel1">
    <w:name w:val="ListLabel 1"/>
    <w:qFormat/>
    <w:rPr>
      <w:b/>
      <w:i w:val="false"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  <w:sz w:val="20"/>
      <w:szCs w:val="20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b w:val="false"/>
      <w:sz w:val="24"/>
      <w:szCs w:val="24"/>
    </w:rPr>
  </w:style>
  <w:style w:type="character" w:styleId="ListLabel15">
    <w:name w:val="ListLabel 15"/>
    <w:qFormat/>
    <w:rPr>
      <w:b w:val="false"/>
      <w:i w:val="false"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 w:val="false"/>
      <w:color w:val="00000A"/>
      <w:sz w:val="24"/>
      <w:szCs w:val="24"/>
    </w:rPr>
  </w:style>
  <w:style w:type="character" w:styleId="ListLabel18">
    <w:name w:val="ListLabel 18"/>
    <w:qFormat/>
    <w:rPr>
      <w:b w:val="false"/>
      <w:i w:val="false"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 w:val="false"/>
      <w:i w:val="false"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b w:val="false"/>
      <w:i w:val="false"/>
    </w:rPr>
  </w:style>
  <w:style w:type="character" w:styleId="ListLabel25">
    <w:name w:val="ListLabel 25"/>
    <w:qFormat/>
    <w:rPr>
      <w:b/>
    </w:rPr>
  </w:style>
  <w:style w:type="character" w:styleId="ListLabel26">
    <w:name w:val="ListLabel 26"/>
    <w:qFormat/>
    <w:rPr>
      <w:b w:val="false"/>
      <w:i w:val="false"/>
    </w:rPr>
  </w:style>
  <w:style w:type="character" w:styleId="ListLabel27">
    <w:name w:val="ListLabel 27"/>
    <w:qFormat/>
    <w:rPr>
      <w:b/>
    </w:rPr>
  </w:style>
  <w:style w:type="character" w:styleId="ListLabel28">
    <w:name w:val="ListLabel 28"/>
    <w:qFormat/>
    <w:rPr>
      <w:b w:val="false"/>
      <w:i w:val="false"/>
    </w:rPr>
  </w:style>
  <w:style w:type="character" w:styleId="ListLabel29">
    <w:name w:val="ListLabel 29"/>
    <w:qFormat/>
    <w:rPr>
      <w:b/>
    </w:rPr>
  </w:style>
  <w:style w:type="character" w:styleId="ListLabel30">
    <w:name w:val="ListLabel 30"/>
    <w:qFormat/>
    <w:rPr>
      <w:rFonts w:eastAsia="Calibri" w:cs="Times New Roman"/>
    </w:rPr>
  </w:style>
  <w:style w:type="character" w:styleId="ListLabel31">
    <w:name w:val="ListLabel 31"/>
    <w:qFormat/>
    <w:rPr>
      <w:b/>
      <w:sz w:val="24"/>
    </w:rPr>
  </w:style>
  <w:style w:type="character" w:styleId="ListLabel32">
    <w:name w:val="ListLabel 32"/>
    <w:qFormat/>
    <w:rPr>
      <w:b/>
      <w:i w:val="false"/>
      <w:sz w:val="22"/>
    </w:rPr>
  </w:style>
  <w:style w:type="character" w:styleId="ListLabel33">
    <w:name w:val="ListLabel 33"/>
    <w:qFormat/>
    <w:rPr>
      <w:b/>
      <w:sz w:val="22"/>
    </w:rPr>
  </w:style>
  <w:style w:type="character" w:styleId="ListLabel34">
    <w:name w:val="ListLabel 34"/>
    <w:qFormat/>
    <w:rPr>
      <w:b/>
      <w:sz w:val="22"/>
    </w:rPr>
  </w:style>
  <w:style w:type="character" w:styleId="ListLabel35">
    <w:name w:val="ListLabel 35"/>
    <w:qFormat/>
    <w:rPr>
      <w:b/>
    </w:rPr>
  </w:style>
  <w:style w:type="character" w:styleId="ListLabel36">
    <w:name w:val="ListLabel 36"/>
    <w:qFormat/>
    <w:rPr>
      <w:b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b/>
      <w:i w:val="false"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b/>
    </w:rPr>
  </w:style>
  <w:style w:type="character" w:styleId="ListLabel58">
    <w:name w:val="ListLabel 58"/>
    <w:qFormat/>
    <w:rPr>
      <w:b/>
    </w:rPr>
  </w:style>
  <w:style w:type="character" w:styleId="ListLabel59">
    <w:name w:val="ListLabel 59"/>
    <w:qFormat/>
    <w:rPr>
      <w:b/>
    </w:rPr>
  </w:style>
  <w:style w:type="character" w:styleId="ListLabel60">
    <w:name w:val="ListLabel 60"/>
    <w:qFormat/>
    <w:rPr>
      <w:b/>
    </w:rPr>
  </w:style>
  <w:style w:type="character" w:styleId="ListLabel61">
    <w:name w:val="ListLabel 61"/>
    <w:qFormat/>
    <w:rPr>
      <w:b/>
    </w:rPr>
  </w:style>
  <w:style w:type="character" w:styleId="ListLabel62">
    <w:name w:val="ListLabel 62"/>
    <w:qFormat/>
    <w:rPr>
      <w:rFonts w:eastAsia="Times New Roman" w:cs="Times New Roman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b/>
    </w:rPr>
  </w:style>
  <w:style w:type="character" w:styleId="ListLabel76">
    <w:name w:val="ListLabel 76"/>
    <w:qFormat/>
    <w:rPr>
      <w:b/>
      <w:i w:val="false"/>
    </w:rPr>
  </w:style>
  <w:style w:type="character" w:styleId="ListLabel77">
    <w:name w:val="ListLabel 77"/>
    <w:qFormat/>
    <w:rPr>
      <w:b/>
    </w:rPr>
  </w:style>
  <w:style w:type="character" w:styleId="ListLabel78">
    <w:name w:val="ListLabel 78"/>
    <w:qFormat/>
    <w:rPr>
      <w:b/>
    </w:rPr>
  </w:style>
  <w:style w:type="character" w:styleId="ListLabel79">
    <w:name w:val="ListLabel 79"/>
    <w:qFormat/>
    <w:rPr>
      <w:rFonts w:cs="Times New Roman"/>
      <w:b/>
      <w:sz w:val="22"/>
    </w:rPr>
  </w:style>
  <w:style w:type="character" w:styleId="ListLabel80">
    <w:name w:val="ListLabel 80"/>
    <w:qFormat/>
    <w:rPr>
      <w:rFonts w:cs="Times New Roman"/>
      <w:b/>
      <w:sz w:val="22"/>
    </w:rPr>
  </w:style>
  <w:style w:type="character" w:styleId="ListLabel81">
    <w:name w:val="ListLabel 81"/>
    <w:qFormat/>
    <w:rPr>
      <w:rFonts w:cs="Times New Roman"/>
      <w:b w:val="false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color w:val="00000A"/>
      <w:sz w:val="22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color w:val="00000A"/>
      <w:sz w:val="22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color w:val="00000A"/>
      <w:sz w:val="22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b/>
    </w:rPr>
  </w:style>
  <w:style w:type="character" w:styleId="ListLabel101">
    <w:name w:val="ListLabel 101"/>
    <w:qFormat/>
    <w:rPr>
      <w:b/>
      <w:i w:val="false"/>
    </w:rPr>
  </w:style>
  <w:style w:type="character" w:styleId="ListLabel102">
    <w:name w:val="ListLabel 102"/>
    <w:qFormat/>
    <w:rPr>
      <w:b/>
    </w:rPr>
  </w:style>
  <w:style w:type="character" w:styleId="ListLabel103">
    <w:name w:val="ListLabel 103"/>
    <w:qFormat/>
    <w:rPr>
      <w:b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Courier New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Courier New"/>
    </w:rPr>
  </w:style>
  <w:style w:type="character" w:styleId="ListLabel110">
    <w:name w:val="ListLabel 110"/>
    <w:qFormat/>
    <w:rPr>
      <w:rFonts w:cs="Times New Roman"/>
    </w:rPr>
  </w:style>
  <w:style w:type="character" w:styleId="ListLabel111">
    <w:name w:val="ListLabel 111"/>
    <w:qFormat/>
    <w:rPr>
      <w:rFonts w:cs="Times New Roman"/>
      <w:b w:val="false"/>
    </w:rPr>
  </w:style>
  <w:style w:type="character" w:styleId="ListLabel112">
    <w:name w:val="ListLabel 112"/>
    <w:qFormat/>
    <w:rPr>
      <w:rFonts w:cs="Times New Roman"/>
      <w:b w:val="false"/>
    </w:rPr>
  </w:style>
  <w:style w:type="character" w:styleId="ListLabel113">
    <w:name w:val="ListLabel 113"/>
    <w:qFormat/>
    <w:rPr>
      <w:rFonts w:cs="Times New Roman"/>
    </w:rPr>
  </w:style>
  <w:style w:type="character" w:styleId="ListLabel114">
    <w:name w:val="ListLabel 114"/>
    <w:qFormat/>
    <w:rPr>
      <w:rFonts w:cs="Times New Roman"/>
    </w:rPr>
  </w:style>
  <w:style w:type="character" w:styleId="ListLabel115">
    <w:name w:val="ListLabel 115"/>
    <w:qFormat/>
    <w:rPr>
      <w:rFonts w:cs="Times New Roman"/>
    </w:rPr>
  </w:style>
  <w:style w:type="character" w:styleId="ListLabel116">
    <w:name w:val="ListLabel 116"/>
    <w:qFormat/>
    <w:rPr>
      <w:rFonts w:cs="Times New Roman"/>
    </w:rPr>
  </w:style>
  <w:style w:type="character" w:styleId="ListLabel117">
    <w:name w:val="ListLabel 117"/>
    <w:qFormat/>
    <w:rPr>
      <w:rFonts w:cs="Times New Roman"/>
    </w:rPr>
  </w:style>
  <w:style w:type="character" w:styleId="ListLabel118">
    <w:name w:val="ListLabel 118"/>
    <w:qFormat/>
    <w:rPr>
      <w:rFonts w:cs="Times New Roman"/>
    </w:rPr>
  </w:style>
  <w:style w:type="character" w:styleId="ListLabel119">
    <w:name w:val="ListLabel 119"/>
    <w:qFormat/>
    <w:rPr>
      <w:rFonts w:eastAsia="Times New Roman" w:cs="Times New Roman"/>
      <w:sz w:val="22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Courier New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Courier New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b/>
      <w:sz w:val="24"/>
    </w:rPr>
  </w:style>
  <w:style w:type="character" w:styleId="ListLabel127">
    <w:name w:val="ListLabel 127"/>
    <w:qFormat/>
    <w:rPr>
      <w:b/>
      <w:i w:val="false"/>
      <w:sz w:val="22"/>
    </w:rPr>
  </w:style>
  <w:style w:type="character" w:styleId="ListLabel128">
    <w:name w:val="ListLabel 128"/>
    <w:qFormat/>
    <w:rPr>
      <w:b/>
      <w:sz w:val="22"/>
    </w:rPr>
  </w:style>
  <w:style w:type="character" w:styleId="ListLabel129">
    <w:name w:val="ListLabel 129"/>
    <w:qFormat/>
    <w:rPr>
      <w:b/>
      <w:sz w:val="22"/>
    </w:rPr>
  </w:style>
  <w:style w:type="character" w:styleId="ListLabel130">
    <w:name w:val="ListLabel 130"/>
    <w:qFormat/>
    <w:rPr>
      <w:b/>
    </w:rPr>
  </w:style>
  <w:style w:type="character" w:styleId="ListLabel131">
    <w:name w:val="ListLabel 131"/>
    <w:qFormat/>
    <w:rPr>
      <w:rFonts w:cs="Times New Roman"/>
      <w:b/>
      <w:sz w:val="22"/>
    </w:rPr>
  </w:style>
  <w:style w:type="character" w:styleId="ListLabel132">
    <w:name w:val="ListLabel 132"/>
    <w:qFormat/>
    <w:rPr>
      <w:rFonts w:cs="Times New Roman"/>
      <w:b/>
      <w:sz w:val="22"/>
    </w:rPr>
  </w:style>
  <w:style w:type="character" w:styleId="ListLabel133">
    <w:name w:val="ListLabel 133"/>
    <w:qFormat/>
    <w:rPr>
      <w:rFonts w:cs="Times New Roman"/>
      <w:b w:val="false"/>
    </w:rPr>
  </w:style>
  <w:style w:type="character" w:styleId="ListLabel134">
    <w:name w:val="ListLabel 134"/>
    <w:qFormat/>
    <w:rPr>
      <w:rFonts w:cs="Times New Roman"/>
    </w:rPr>
  </w:style>
  <w:style w:type="character" w:styleId="ListLabel135">
    <w:name w:val="ListLabel 135"/>
    <w:qFormat/>
    <w:rPr>
      <w:rFonts w:cs="Times New Roman"/>
    </w:rPr>
  </w:style>
  <w:style w:type="character" w:styleId="ListLabel136">
    <w:name w:val="ListLabel 136"/>
    <w:qFormat/>
    <w:rPr>
      <w:rFonts w:cs="Times New Roman"/>
    </w:rPr>
  </w:style>
  <w:style w:type="character" w:styleId="ListLabel137">
    <w:name w:val="ListLabel 137"/>
    <w:qFormat/>
    <w:rPr>
      <w:rFonts w:cs="Times New Roman"/>
    </w:rPr>
  </w:style>
  <w:style w:type="character" w:styleId="ListLabel138">
    <w:name w:val="ListLabel 138"/>
    <w:qFormat/>
    <w:rPr>
      <w:rFonts w:cs="Times New Roman"/>
    </w:rPr>
  </w:style>
  <w:style w:type="character" w:styleId="ListLabel139">
    <w:name w:val="ListLabel 139"/>
    <w:qFormat/>
    <w:rPr>
      <w:rFonts w:cs="Times New Roman"/>
    </w:rPr>
  </w:style>
  <w:style w:type="character" w:styleId="ListLabel140">
    <w:name w:val="ListLabel 140"/>
    <w:qFormat/>
    <w:rPr>
      <w:rFonts w:cs="Symbol"/>
      <w:color w:val="00000A"/>
      <w:sz w:val="22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Wingdings"/>
    </w:rPr>
  </w:style>
  <w:style w:type="character" w:styleId="ListLabel146">
    <w:name w:val="ListLabel 146"/>
    <w:qFormat/>
    <w:rPr>
      <w:rFonts w:cs="Symbol"/>
    </w:rPr>
  </w:style>
  <w:style w:type="character" w:styleId="ListLabel147">
    <w:name w:val="ListLabel 147"/>
    <w:qFormat/>
    <w:rPr>
      <w:rFonts w:cs="Courier New"/>
    </w:rPr>
  </w:style>
  <w:style w:type="character" w:styleId="ListLabel148">
    <w:name w:val="ListLabel 148"/>
    <w:qFormat/>
    <w:rPr>
      <w:rFonts w:cs="Wingdings"/>
    </w:rPr>
  </w:style>
  <w:style w:type="character" w:styleId="ListLabel149">
    <w:name w:val="ListLabel 149"/>
    <w:qFormat/>
    <w:rPr>
      <w:rFonts w:cs="Symbol"/>
      <w:color w:val="00000A"/>
      <w:sz w:val="22"/>
    </w:rPr>
  </w:style>
  <w:style w:type="character" w:styleId="ListLabel150">
    <w:name w:val="ListLabel 150"/>
    <w:qFormat/>
    <w:rPr>
      <w:rFonts w:cs="Courier New"/>
    </w:rPr>
  </w:style>
  <w:style w:type="character" w:styleId="ListLabel151">
    <w:name w:val="ListLabel 151"/>
    <w:qFormat/>
    <w:rPr>
      <w:rFonts w:cs="Wingdings"/>
    </w:rPr>
  </w:style>
  <w:style w:type="character" w:styleId="ListLabel152">
    <w:name w:val="ListLabel 152"/>
    <w:qFormat/>
    <w:rPr>
      <w:rFonts w:cs="Symbol"/>
    </w:rPr>
  </w:style>
  <w:style w:type="character" w:styleId="ListLabel153">
    <w:name w:val="ListLabel 153"/>
    <w:qFormat/>
    <w:rPr>
      <w:rFonts w:cs="Courier New"/>
    </w:rPr>
  </w:style>
  <w:style w:type="character" w:styleId="ListLabel154">
    <w:name w:val="ListLabel 154"/>
    <w:qFormat/>
    <w:rPr>
      <w:rFonts w:cs="Wingdings"/>
    </w:rPr>
  </w:style>
  <w:style w:type="character" w:styleId="ListLabel155">
    <w:name w:val="ListLabel 155"/>
    <w:qFormat/>
    <w:rPr>
      <w:rFonts w:cs="Symbol"/>
    </w:rPr>
  </w:style>
  <w:style w:type="character" w:styleId="ListLabel156">
    <w:name w:val="ListLabel 156"/>
    <w:qFormat/>
    <w:rPr>
      <w:rFonts w:cs="Courier New"/>
    </w:rPr>
  </w:style>
  <w:style w:type="character" w:styleId="ListLabel157">
    <w:name w:val="ListLabel 157"/>
    <w:qFormat/>
    <w:rPr>
      <w:rFonts w:cs="Wingdings"/>
    </w:rPr>
  </w:style>
  <w:style w:type="character" w:styleId="ListLabel158">
    <w:name w:val="ListLabel 158"/>
    <w:qFormat/>
    <w:rPr>
      <w:rFonts w:cs="Symbol"/>
      <w:color w:val="00000A"/>
      <w:sz w:val="22"/>
    </w:rPr>
  </w:style>
  <w:style w:type="character" w:styleId="ListLabel159">
    <w:name w:val="ListLabel 159"/>
    <w:qFormat/>
    <w:rPr>
      <w:rFonts w:cs="Courier New"/>
    </w:rPr>
  </w:style>
  <w:style w:type="character" w:styleId="ListLabel160">
    <w:name w:val="ListLabel 160"/>
    <w:qFormat/>
    <w:rPr>
      <w:rFonts w:cs="Wingdings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Symbol"/>
      <w:sz w:val="22"/>
    </w:rPr>
  </w:style>
  <w:style w:type="character" w:styleId="ListLabel168">
    <w:name w:val="ListLabel 168"/>
    <w:qFormat/>
    <w:rPr>
      <w:rFonts w:cs="Courier New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Courier New"/>
    </w:rPr>
  </w:style>
  <w:style w:type="character" w:styleId="ListLabel172">
    <w:name w:val="ListLabel 172"/>
    <w:qFormat/>
    <w:rPr>
      <w:rFonts w:cs="Wingdings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Courier New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  <w:sz w:val="22"/>
    </w:rPr>
  </w:style>
  <w:style w:type="character" w:styleId="ListLabel177">
    <w:name w:val="ListLabel 177"/>
    <w:qFormat/>
    <w:rPr>
      <w:rFonts w:cs="Courier New"/>
    </w:rPr>
  </w:style>
  <w:style w:type="character" w:styleId="ListLabel178">
    <w:name w:val="ListLabel 178"/>
    <w:qFormat/>
    <w:rPr>
      <w:rFonts w:cs="Wingdings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Wingdings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Courier New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cs="Times New Roman"/>
      <w:sz w:val="22"/>
    </w:rPr>
  </w:style>
  <w:style w:type="character" w:styleId="ListLabel186">
    <w:name w:val="ListLabel 186"/>
    <w:qFormat/>
    <w:rPr>
      <w:rFonts w:cs="Courier New"/>
    </w:rPr>
  </w:style>
  <w:style w:type="character" w:styleId="ListLabel187">
    <w:name w:val="ListLabel 187"/>
    <w:qFormat/>
    <w:rPr>
      <w:rFonts w:cs="Wingdings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Courier New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Symbol"/>
    </w:rPr>
  </w:style>
  <w:style w:type="character" w:styleId="ListLabel192">
    <w:name w:val="ListLabel 192"/>
    <w:qFormat/>
    <w:rPr>
      <w:rFonts w:cs="Courier New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Symbol"/>
      <w:b/>
      <w:sz w:val="22"/>
    </w:rPr>
  </w:style>
  <w:style w:type="character" w:styleId="ListLabel195">
    <w:name w:val="ListLabel 195"/>
    <w:qFormat/>
    <w:rPr>
      <w:rFonts w:cs="Courier New"/>
    </w:rPr>
  </w:style>
  <w:style w:type="character" w:styleId="ListLabel196">
    <w:name w:val="ListLabel 196"/>
    <w:qFormat/>
    <w:rPr>
      <w:rFonts w:cs="Wingdings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Courier New"/>
    </w:rPr>
  </w:style>
  <w:style w:type="character" w:styleId="ListLabel199">
    <w:name w:val="ListLabel 199"/>
    <w:qFormat/>
    <w:rPr>
      <w:rFonts w:cs="Wingdings"/>
    </w:rPr>
  </w:style>
  <w:style w:type="character" w:styleId="ListLabel200">
    <w:name w:val="ListLabel 200"/>
    <w:qFormat/>
    <w:rPr>
      <w:rFonts w:cs="Symbol"/>
    </w:rPr>
  </w:style>
  <w:style w:type="character" w:styleId="ListLabel201">
    <w:name w:val="ListLabel 201"/>
    <w:qFormat/>
    <w:rPr>
      <w:rFonts w:cs="Courier New"/>
    </w:rPr>
  </w:style>
  <w:style w:type="character" w:styleId="ListLabel202">
    <w:name w:val="ListLabel 202"/>
    <w:qFormat/>
    <w:rPr>
      <w:rFonts w:cs="Wingdings"/>
    </w:rPr>
  </w:style>
  <w:style w:type="character" w:styleId="ListLabel203">
    <w:name w:val="ListLabel 203"/>
    <w:qFormat/>
    <w:rPr>
      <w:b/>
      <w:sz w:val="24"/>
    </w:rPr>
  </w:style>
  <w:style w:type="character" w:styleId="ListLabel204">
    <w:name w:val="ListLabel 204"/>
    <w:qFormat/>
    <w:rPr>
      <w:b/>
      <w:i w:val="false"/>
      <w:sz w:val="22"/>
    </w:rPr>
  </w:style>
  <w:style w:type="character" w:styleId="ListLabel205">
    <w:name w:val="ListLabel 205"/>
    <w:qFormat/>
    <w:rPr>
      <w:b/>
      <w:sz w:val="22"/>
    </w:rPr>
  </w:style>
  <w:style w:type="character" w:styleId="ListLabel206">
    <w:name w:val="ListLabel 206"/>
    <w:qFormat/>
    <w:rPr>
      <w:b/>
      <w:sz w:val="22"/>
    </w:rPr>
  </w:style>
  <w:style w:type="character" w:styleId="ListLabel207">
    <w:name w:val="ListLabel 207"/>
    <w:qFormat/>
    <w:rPr>
      <w:b/>
    </w:rPr>
  </w:style>
  <w:style w:type="character" w:styleId="ListLabel208">
    <w:name w:val="ListLabel 208"/>
    <w:qFormat/>
    <w:rPr>
      <w:rFonts w:cs="Times New Roman"/>
      <w:b/>
      <w:sz w:val="22"/>
    </w:rPr>
  </w:style>
  <w:style w:type="character" w:styleId="ListLabel209">
    <w:name w:val="ListLabel 209"/>
    <w:qFormat/>
    <w:rPr>
      <w:rFonts w:cs="Times New Roman"/>
      <w:b/>
      <w:sz w:val="22"/>
    </w:rPr>
  </w:style>
  <w:style w:type="character" w:styleId="ListLabel210">
    <w:name w:val="ListLabel 210"/>
    <w:qFormat/>
    <w:rPr>
      <w:rFonts w:cs="Times New Roman"/>
      <w:b w:val="false"/>
    </w:rPr>
  </w:style>
  <w:style w:type="character" w:styleId="ListLabel211">
    <w:name w:val="ListLabel 211"/>
    <w:qFormat/>
    <w:rPr>
      <w:rFonts w:cs="Times New Roman"/>
    </w:rPr>
  </w:style>
  <w:style w:type="character" w:styleId="ListLabel212">
    <w:name w:val="ListLabel 212"/>
    <w:qFormat/>
    <w:rPr>
      <w:rFonts w:cs="Times New Roman"/>
    </w:rPr>
  </w:style>
  <w:style w:type="character" w:styleId="ListLabel213">
    <w:name w:val="ListLabel 213"/>
    <w:qFormat/>
    <w:rPr>
      <w:rFonts w:cs="Times New Roman"/>
    </w:rPr>
  </w:style>
  <w:style w:type="character" w:styleId="ListLabel214">
    <w:name w:val="ListLabel 214"/>
    <w:qFormat/>
    <w:rPr>
      <w:rFonts w:cs="Times New Roman"/>
    </w:rPr>
  </w:style>
  <w:style w:type="character" w:styleId="ListLabel215">
    <w:name w:val="ListLabel 215"/>
    <w:qFormat/>
    <w:rPr>
      <w:rFonts w:cs="Times New Roman"/>
    </w:rPr>
  </w:style>
  <w:style w:type="character" w:styleId="ListLabel216">
    <w:name w:val="ListLabel 216"/>
    <w:qFormat/>
    <w:rPr>
      <w:rFonts w:cs="Times New Roman"/>
    </w:rPr>
  </w:style>
  <w:style w:type="character" w:styleId="ListLabel217">
    <w:name w:val="ListLabel 217"/>
    <w:qFormat/>
    <w:rPr>
      <w:rFonts w:cs="Symbol"/>
      <w:color w:val="00000A"/>
      <w:sz w:val="22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Symbol"/>
      <w:color w:val="00000A"/>
      <w:sz w:val="22"/>
    </w:rPr>
  </w:style>
  <w:style w:type="character" w:styleId="ListLabel227">
    <w:name w:val="ListLabel 227"/>
    <w:qFormat/>
    <w:rPr>
      <w:rFonts w:cs="Courier New"/>
    </w:rPr>
  </w:style>
  <w:style w:type="character" w:styleId="ListLabel228">
    <w:name w:val="ListLabel 228"/>
    <w:qFormat/>
    <w:rPr>
      <w:rFonts w:cs="Wingdings"/>
    </w:rPr>
  </w:style>
  <w:style w:type="character" w:styleId="ListLabel229">
    <w:name w:val="ListLabel 229"/>
    <w:qFormat/>
    <w:rPr>
      <w:rFonts w:cs="Symbol"/>
    </w:rPr>
  </w:style>
  <w:style w:type="character" w:styleId="ListLabel230">
    <w:name w:val="ListLabel 230"/>
    <w:qFormat/>
    <w:rPr>
      <w:rFonts w:cs="Courier New"/>
    </w:rPr>
  </w:style>
  <w:style w:type="character" w:styleId="ListLabel231">
    <w:name w:val="ListLabel 231"/>
    <w:qFormat/>
    <w:rPr>
      <w:rFonts w:cs="Wingdings"/>
    </w:rPr>
  </w:style>
  <w:style w:type="character" w:styleId="ListLabel232">
    <w:name w:val="ListLabel 232"/>
    <w:qFormat/>
    <w:rPr>
      <w:rFonts w:cs="Symbol"/>
    </w:rPr>
  </w:style>
  <w:style w:type="character" w:styleId="ListLabel233">
    <w:name w:val="ListLabel 233"/>
    <w:qFormat/>
    <w:rPr>
      <w:rFonts w:cs="Courier New"/>
    </w:rPr>
  </w:style>
  <w:style w:type="character" w:styleId="ListLabel234">
    <w:name w:val="ListLabel 234"/>
    <w:qFormat/>
    <w:rPr>
      <w:rFonts w:cs="Wingdings"/>
    </w:rPr>
  </w:style>
  <w:style w:type="character" w:styleId="ListLabel235">
    <w:name w:val="ListLabel 235"/>
    <w:qFormat/>
    <w:rPr>
      <w:rFonts w:cs="Symbol"/>
      <w:color w:val="00000A"/>
      <w:sz w:val="22"/>
    </w:rPr>
  </w:style>
  <w:style w:type="character" w:styleId="ListLabel236">
    <w:name w:val="ListLabel 236"/>
    <w:qFormat/>
    <w:rPr>
      <w:rFonts w:cs="Courier New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Symbol"/>
    </w:rPr>
  </w:style>
  <w:style w:type="character" w:styleId="ListLabel239">
    <w:name w:val="ListLabel 239"/>
    <w:qFormat/>
    <w:rPr>
      <w:rFonts w:cs="Courier New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Symbol"/>
      <w:sz w:val="22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Symbol"/>
      <w:sz w:val="22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Times New Roman"/>
      <w:sz w:val="22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  <w:b/>
      <w:sz w:val="22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Courier New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b/>
      <w:sz w:val="24"/>
    </w:rPr>
  </w:style>
  <w:style w:type="character" w:styleId="ListLabel281">
    <w:name w:val="ListLabel 281"/>
    <w:qFormat/>
    <w:rPr>
      <w:b/>
      <w:i w:val="false"/>
      <w:sz w:val="22"/>
    </w:rPr>
  </w:style>
  <w:style w:type="character" w:styleId="ListLabel282">
    <w:name w:val="ListLabel 282"/>
    <w:qFormat/>
    <w:rPr>
      <w:b/>
      <w:sz w:val="22"/>
    </w:rPr>
  </w:style>
  <w:style w:type="character" w:styleId="ListLabel283">
    <w:name w:val="ListLabel 283"/>
    <w:qFormat/>
    <w:rPr>
      <w:b/>
      <w:sz w:val="22"/>
    </w:rPr>
  </w:style>
  <w:style w:type="character" w:styleId="ListLabel284">
    <w:name w:val="ListLabel 284"/>
    <w:qFormat/>
    <w:rPr>
      <w:b/>
    </w:rPr>
  </w:style>
  <w:style w:type="character" w:styleId="ListLabel285">
    <w:name w:val="ListLabel 285"/>
    <w:qFormat/>
    <w:rPr>
      <w:rFonts w:cs="Times New Roman"/>
      <w:b/>
      <w:sz w:val="22"/>
    </w:rPr>
  </w:style>
  <w:style w:type="character" w:styleId="ListLabel286">
    <w:name w:val="ListLabel 286"/>
    <w:qFormat/>
    <w:rPr>
      <w:rFonts w:cs="Times New Roman"/>
      <w:b/>
      <w:sz w:val="22"/>
    </w:rPr>
  </w:style>
  <w:style w:type="character" w:styleId="ListLabel287">
    <w:name w:val="ListLabel 287"/>
    <w:qFormat/>
    <w:rPr>
      <w:rFonts w:cs="Times New Roman"/>
      <w:b w:val="false"/>
    </w:rPr>
  </w:style>
  <w:style w:type="character" w:styleId="ListLabel288">
    <w:name w:val="ListLabel 288"/>
    <w:qFormat/>
    <w:rPr>
      <w:rFonts w:cs="Times New Roman"/>
    </w:rPr>
  </w:style>
  <w:style w:type="character" w:styleId="ListLabel289">
    <w:name w:val="ListLabel 289"/>
    <w:qFormat/>
    <w:rPr>
      <w:rFonts w:cs="Times New Roman"/>
    </w:rPr>
  </w:style>
  <w:style w:type="character" w:styleId="ListLabel290">
    <w:name w:val="ListLabel 290"/>
    <w:qFormat/>
    <w:rPr>
      <w:rFonts w:cs="Times New Roman"/>
    </w:rPr>
  </w:style>
  <w:style w:type="character" w:styleId="ListLabel291">
    <w:name w:val="ListLabel 291"/>
    <w:qFormat/>
    <w:rPr>
      <w:rFonts w:cs="Times New Roman"/>
    </w:rPr>
  </w:style>
  <w:style w:type="character" w:styleId="ListLabel292">
    <w:name w:val="ListLabel 292"/>
    <w:qFormat/>
    <w:rPr>
      <w:rFonts w:cs="Times New Roman"/>
    </w:rPr>
  </w:style>
  <w:style w:type="character" w:styleId="ListLabel293">
    <w:name w:val="ListLabel 293"/>
    <w:qFormat/>
    <w:rPr>
      <w:rFonts w:cs="Times New Roman"/>
    </w:rPr>
  </w:style>
  <w:style w:type="character" w:styleId="ListLabel294">
    <w:name w:val="ListLabel 294"/>
    <w:qFormat/>
    <w:rPr>
      <w:rFonts w:cs="Symbol"/>
      <w:color w:val="00000A"/>
      <w:sz w:val="22"/>
    </w:rPr>
  </w:style>
  <w:style w:type="character" w:styleId="ListLabel295">
    <w:name w:val="ListLabel 295"/>
    <w:qFormat/>
    <w:rPr>
      <w:rFonts w:cs="Courier New"/>
    </w:rPr>
  </w:style>
  <w:style w:type="character" w:styleId="ListLabel296">
    <w:name w:val="ListLabel 296"/>
    <w:qFormat/>
    <w:rPr>
      <w:rFonts w:cs="Wingdings"/>
    </w:rPr>
  </w:style>
  <w:style w:type="character" w:styleId="ListLabel297">
    <w:name w:val="ListLabel 297"/>
    <w:qFormat/>
    <w:rPr>
      <w:rFonts w:cs="Symbol"/>
    </w:rPr>
  </w:style>
  <w:style w:type="character" w:styleId="ListLabel298">
    <w:name w:val="ListLabel 298"/>
    <w:qFormat/>
    <w:rPr>
      <w:rFonts w:cs="Courier New"/>
    </w:rPr>
  </w:style>
  <w:style w:type="character" w:styleId="ListLabel299">
    <w:name w:val="ListLabel 299"/>
    <w:qFormat/>
    <w:rPr>
      <w:rFonts w:cs="Wingdings"/>
    </w:rPr>
  </w:style>
  <w:style w:type="character" w:styleId="ListLabel300">
    <w:name w:val="ListLabel 300"/>
    <w:qFormat/>
    <w:rPr>
      <w:rFonts w:cs="Symbol"/>
    </w:rPr>
  </w:style>
  <w:style w:type="character" w:styleId="ListLabel301">
    <w:name w:val="ListLabel 301"/>
    <w:qFormat/>
    <w:rPr>
      <w:rFonts w:cs="Courier New"/>
    </w:rPr>
  </w:style>
  <w:style w:type="character" w:styleId="ListLabel302">
    <w:name w:val="ListLabel 302"/>
    <w:qFormat/>
    <w:rPr>
      <w:rFonts w:cs="Wingdings"/>
    </w:rPr>
  </w:style>
  <w:style w:type="character" w:styleId="ListLabel303">
    <w:name w:val="ListLabel 303"/>
    <w:qFormat/>
    <w:rPr>
      <w:rFonts w:cs="Symbol"/>
      <w:color w:val="00000A"/>
      <w:sz w:val="22"/>
    </w:rPr>
  </w:style>
  <w:style w:type="character" w:styleId="ListLabel304">
    <w:name w:val="ListLabel 304"/>
    <w:qFormat/>
    <w:rPr>
      <w:rFonts w:cs="Courier New"/>
    </w:rPr>
  </w:style>
  <w:style w:type="character" w:styleId="ListLabel305">
    <w:name w:val="ListLabel 305"/>
    <w:qFormat/>
    <w:rPr>
      <w:rFonts w:cs="Wingdings"/>
    </w:rPr>
  </w:style>
  <w:style w:type="character" w:styleId="ListLabel306">
    <w:name w:val="ListLabel 306"/>
    <w:qFormat/>
    <w:rPr>
      <w:rFonts w:cs="Symbol"/>
    </w:rPr>
  </w:style>
  <w:style w:type="character" w:styleId="ListLabel307">
    <w:name w:val="ListLabel 307"/>
    <w:qFormat/>
    <w:rPr>
      <w:rFonts w:cs="Courier New"/>
    </w:rPr>
  </w:style>
  <w:style w:type="character" w:styleId="ListLabel308">
    <w:name w:val="ListLabel 308"/>
    <w:qFormat/>
    <w:rPr>
      <w:rFonts w:cs="Wingdings"/>
    </w:rPr>
  </w:style>
  <w:style w:type="character" w:styleId="ListLabel309">
    <w:name w:val="ListLabel 309"/>
    <w:qFormat/>
    <w:rPr>
      <w:rFonts w:cs="Symbol"/>
    </w:rPr>
  </w:style>
  <w:style w:type="character" w:styleId="ListLabel310">
    <w:name w:val="ListLabel 310"/>
    <w:qFormat/>
    <w:rPr>
      <w:rFonts w:cs="Courier New"/>
    </w:rPr>
  </w:style>
  <w:style w:type="character" w:styleId="ListLabel311">
    <w:name w:val="ListLabel 311"/>
    <w:qFormat/>
    <w:rPr>
      <w:rFonts w:cs="Wingdings"/>
    </w:rPr>
  </w:style>
  <w:style w:type="character" w:styleId="ListLabel312">
    <w:name w:val="ListLabel 312"/>
    <w:qFormat/>
    <w:rPr>
      <w:rFonts w:cs="Symbol"/>
      <w:color w:val="00000A"/>
      <w:sz w:val="22"/>
    </w:rPr>
  </w:style>
  <w:style w:type="character" w:styleId="ListLabel313">
    <w:name w:val="ListLabel 313"/>
    <w:qFormat/>
    <w:rPr>
      <w:rFonts w:cs="Courier New"/>
    </w:rPr>
  </w:style>
  <w:style w:type="character" w:styleId="ListLabel314">
    <w:name w:val="ListLabel 314"/>
    <w:qFormat/>
    <w:rPr>
      <w:rFonts w:cs="Wingdings"/>
    </w:rPr>
  </w:style>
  <w:style w:type="character" w:styleId="ListLabel315">
    <w:name w:val="ListLabel 315"/>
    <w:qFormat/>
    <w:rPr>
      <w:rFonts w:cs="Symbol"/>
    </w:rPr>
  </w:style>
  <w:style w:type="character" w:styleId="ListLabel316">
    <w:name w:val="ListLabel 316"/>
    <w:qFormat/>
    <w:rPr>
      <w:rFonts w:cs="Courier New"/>
    </w:rPr>
  </w:style>
  <w:style w:type="character" w:styleId="ListLabel317">
    <w:name w:val="ListLabel 317"/>
    <w:qFormat/>
    <w:rPr>
      <w:rFonts w:cs="Wingdings"/>
    </w:rPr>
  </w:style>
  <w:style w:type="character" w:styleId="ListLabel318">
    <w:name w:val="ListLabel 318"/>
    <w:qFormat/>
    <w:rPr>
      <w:rFonts w:cs="Symbol"/>
    </w:rPr>
  </w:style>
  <w:style w:type="character" w:styleId="ListLabel319">
    <w:name w:val="ListLabel 319"/>
    <w:qFormat/>
    <w:rPr>
      <w:rFonts w:cs="Courier New"/>
    </w:rPr>
  </w:style>
  <w:style w:type="character" w:styleId="ListLabel320">
    <w:name w:val="ListLabel 320"/>
    <w:qFormat/>
    <w:rPr>
      <w:rFonts w:cs="Wingdings"/>
    </w:rPr>
  </w:style>
  <w:style w:type="character" w:styleId="ListLabel321">
    <w:name w:val="ListLabel 321"/>
    <w:qFormat/>
    <w:rPr>
      <w:rFonts w:cs="Symbol"/>
      <w:sz w:val="22"/>
    </w:rPr>
  </w:style>
  <w:style w:type="character" w:styleId="ListLabel322">
    <w:name w:val="ListLabel 322"/>
    <w:qFormat/>
    <w:rPr>
      <w:rFonts w:cs="Courier New"/>
    </w:rPr>
  </w:style>
  <w:style w:type="character" w:styleId="ListLabel323">
    <w:name w:val="ListLabel 323"/>
    <w:qFormat/>
    <w:rPr>
      <w:rFonts w:cs="Wingdings"/>
    </w:rPr>
  </w:style>
  <w:style w:type="character" w:styleId="ListLabel324">
    <w:name w:val="ListLabel 324"/>
    <w:qFormat/>
    <w:rPr>
      <w:rFonts w:cs="Symbol"/>
    </w:rPr>
  </w:style>
  <w:style w:type="character" w:styleId="ListLabel325">
    <w:name w:val="ListLabel 325"/>
    <w:qFormat/>
    <w:rPr>
      <w:rFonts w:cs="Courier New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Symbol"/>
    </w:rPr>
  </w:style>
  <w:style w:type="character" w:styleId="ListLabel328">
    <w:name w:val="ListLabel 328"/>
    <w:qFormat/>
    <w:rPr>
      <w:rFonts w:cs="Courier New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Symbol"/>
      <w:sz w:val="22"/>
    </w:rPr>
  </w:style>
  <w:style w:type="character" w:styleId="ListLabel331">
    <w:name w:val="ListLabel 331"/>
    <w:qFormat/>
    <w:rPr>
      <w:rFonts w:cs="Courier New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cs="Symbo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Times New Roman"/>
      <w:sz w:val="22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cs="Symbol"/>
    </w:rPr>
  </w:style>
  <w:style w:type="character" w:styleId="ListLabel343">
    <w:name w:val="ListLabel 343"/>
    <w:qFormat/>
    <w:rPr>
      <w:rFonts w:cs="Courier New"/>
    </w:rPr>
  </w:style>
  <w:style w:type="character" w:styleId="ListLabel344">
    <w:name w:val="ListLabel 344"/>
    <w:qFormat/>
    <w:rPr>
      <w:rFonts w:cs="Wingdings"/>
    </w:rPr>
  </w:style>
  <w:style w:type="character" w:styleId="ListLabel345">
    <w:name w:val="ListLabel 345"/>
    <w:qFormat/>
    <w:rPr>
      <w:rFonts w:cs="Symbol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  <w:b/>
      <w:sz w:val="22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cs="Symbol"/>
    </w:rPr>
  </w:style>
  <w:style w:type="character" w:styleId="ListLabel355">
    <w:name w:val="ListLabel 355"/>
    <w:qFormat/>
    <w:rPr>
      <w:rFonts w:cs="Courier New"/>
    </w:rPr>
  </w:style>
  <w:style w:type="character" w:styleId="ListLabel356">
    <w:name w:val="ListLabel 356"/>
    <w:qFormat/>
    <w:rPr>
      <w:rFonts w:cs="Wingdings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rsid w:val="0016533c"/>
    <w:pPr/>
    <w:rPr>
      <w:sz w:val="24"/>
    </w:rPr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Header"/>
    <w:basedOn w:val="Normal"/>
    <w:link w:val="a4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0">
    <w:name w:val="Footer"/>
    <w:basedOn w:val="Normal"/>
    <w:link w:val="a6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Style21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5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Style22">
    <w:name w:val="Title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link w:val="1-0"/>
    <w:qFormat/>
    <w:rsid w:val="00f26e59"/>
    <w:pPr>
      <w:ind w:left="-13" w:hanging="0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link w:val="1250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link w:val="120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2" w:customStyle="1">
    <w:name w:val="Об_13_Жир"/>
    <w:basedOn w:val="Normal"/>
    <w:link w:val="130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0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2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4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Annotationtext">
    <w:name w:val="annotation text"/>
    <w:basedOn w:val="Normal"/>
    <w:link w:val="af3"/>
    <w:qFormat/>
    <w:rsid w:val="001667b2"/>
    <w:pPr/>
    <w:rPr/>
  </w:style>
  <w:style w:type="paragraph" w:styleId="Annotationsubject">
    <w:name w:val="annotation subject"/>
    <w:basedOn w:val="Annotationtext"/>
    <w:link w:val="af5"/>
    <w:qFormat/>
    <w:rsid w:val="001667b2"/>
    <w:pPr/>
    <w:rPr>
      <w:b/>
      <w:bCs/>
    </w:rPr>
  </w:style>
  <w:style w:type="paragraph" w:styleId="ListParagraph">
    <w:name w:val="List Paragraph"/>
    <w:basedOn w:val="Normal"/>
    <w:uiPriority w:val="34"/>
    <w:qFormat/>
    <w:rsid w:val="00ec5e22"/>
    <w:pPr>
      <w:spacing w:before="0" w:after="0"/>
      <w:ind w:left="720" w:firstLine="357"/>
      <w:contextualSpacing/>
    </w:pPr>
    <w:rPr/>
  </w:style>
  <w:style w:type="paragraph" w:styleId="15" w:customStyle="1">
    <w:name w:val="Стиль1"/>
    <w:basedOn w:val="Normal"/>
    <w:qFormat/>
    <w:rsid w:val="000a2366"/>
    <w:pPr>
      <w:widowControl w:val="false"/>
      <w:suppressAutoHyphens w:val="true"/>
      <w:ind w:left="0" w:firstLine="709"/>
    </w:pPr>
    <w:rPr>
      <w:sz w:val="28"/>
      <w:szCs w:val="28"/>
    </w:rPr>
  </w:style>
  <w:style w:type="paragraph" w:styleId="133" w:customStyle="1">
    <w:name w:val="ТР_13_жирный"/>
    <w:basedOn w:val="Style22"/>
    <w:link w:val="132"/>
    <w:qFormat/>
    <w:rsid w:val="00e01c71"/>
    <w:pPr>
      <w:ind w:left="0" w:hanging="0"/>
    </w:pPr>
    <w:rPr>
      <w:bCs w:val="false"/>
      <w:color w:val="421CE2"/>
      <w:sz w:val="26"/>
      <w:szCs w:val="20"/>
    </w:rPr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1"/>
    <w:uiPriority w:val="59"/>
    <w:rsid w:val="002020c4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rsid w:val="00957bd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garantf1://70055456.0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hyperlink" Target="mailto:Drogaytseva_N&#1040;@kamch.dvec.ru" TargetMode="External"/><Relationship Id="rId6" Type="http://schemas.openxmlformats.org/officeDocument/2006/relationships/hyperlink" Target="mailto:Mokhova_NV@kamch.dvec.ru" TargetMode="External"/><Relationship Id="rId7" Type="http://schemas.openxmlformats.org/officeDocument/2006/relationships/hyperlink" Target="mailto:Balan_EV@kamch.dvec.ru" TargetMode="Externa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A7BD7-EC60-4636-B046-ECC7B76CA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LibreOffice/5.3.6.1$Linux_X86_64 LibreOffice_project/30$Build-1</Application>
  <Pages>9</Pages>
  <Words>3744</Words>
  <Characters>27173</Characters>
  <CharactersWithSpaces>30698</CharactersWithSpaces>
  <Paragraphs>233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2022-02-17T03:13:00Z</dcterms:created>
  <dc:creator>Тимошенко Анастасия Александровна</dc:creator>
  <dc:description/>
  <dc:language>ru-RU</dc:language>
  <cp:lastModifiedBy/>
  <cp:lastPrinted>2015-04-14T03:24:00Z</cp:lastPrinted>
  <dcterms:modified xsi:type="dcterms:W3CDTF">2025-07-10T09:46:08Z</dcterms:modified>
  <cp:revision>8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Abonent">
    <vt:lpwstr>683003, Камчатский край, Петропавловск-Камчатский г, Пограничная ул, д. 2, </vt:lpwstr>
  </property>
  <property fmtid="{D5CDD505-2E9C-101B-9397-08002B2CF9AE}" pid="3" name="AppVersion">
    <vt:lpwstr>16.0000</vt:lpwstr>
  </property>
  <property fmtid="{D5CDD505-2E9C-101B-9397-08002B2CF9AE}" pid="4" name="Company">
    <vt:lpwstr>LENENERGO</vt:lpwstr>
  </property>
  <property fmtid="{D5CDD505-2E9C-101B-9397-08002B2CF9AE}" pid="5" name="DateContact">
    <vt:lpwstr>23.06.2014</vt:lpwstr>
  </property>
  <property fmtid="{D5CDD505-2E9C-101B-9397-08002B2CF9AE}" pid="6" name="DirectNameRP">
    <vt:lpwstr>Жителева ВиталияВалерьевича</vt:lpwstr>
  </property>
  <property fmtid="{D5CDD505-2E9C-101B-9397-08002B2CF9AE}" pid="7" name="DocSecurity">
    <vt:i4>0</vt:i4>
  </property>
  <property fmtid="{D5CDD505-2E9C-101B-9397-08002B2CF9AE}" pid="8" name="HyperlinksChanged">
    <vt:bool>0</vt:bool>
  </property>
  <property fmtid="{D5CDD505-2E9C-101B-9397-08002B2CF9AE}" pid="9" name="LinksUpToDate">
    <vt:bool>0</vt:bool>
  </property>
  <property fmtid="{D5CDD505-2E9C-101B-9397-08002B2CF9AE}" pid="10" name="NContract">
    <vt:lpwstr>80557КЭКП</vt:lpwstr>
  </property>
  <property fmtid="{D5CDD505-2E9C-101B-9397-08002B2CF9AE}" pid="11" name="NContractNumOnly">
    <vt:lpwstr>80557</vt:lpwstr>
  </property>
  <property fmtid="{D5CDD505-2E9C-101B-9397-08002B2CF9AE}" pid="12" name="NameAbonent">
    <vt:lpwstr>Общество с ограниченной ответственностью "Торговый дом Сам"</vt:lpwstr>
  </property>
  <property fmtid="{D5CDD505-2E9C-101B-9397-08002B2CF9AE}" pid="13" name="NameDirectAbonent">
    <vt:lpwstr>Жителев В. В.</vt:lpwstr>
  </property>
  <property fmtid="{D5CDD505-2E9C-101B-9397-08002B2CF9AE}" pid="14" name="PostRP">
    <vt:lpwstr>генерального директора</vt:lpwstr>
  </property>
  <property fmtid="{D5CDD505-2E9C-101B-9397-08002B2CF9AE}" pid="15" name="ScaleCrop">
    <vt:bool>0</vt:bool>
  </property>
  <property fmtid="{D5CDD505-2E9C-101B-9397-08002B2CF9AE}" pid="16" name="ShareDoc">
    <vt:bool>0</vt:bool>
  </property>
</Properties>
</file>