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4.wmf" ContentType="image/x-wmf"/>
  <Override PartName="/word/media/image3.wmf" ContentType="image/x-wmf"/>
  <Override PartName="/word/media/image2.wmf" ContentType="image/x-wmf"/>
  <Override PartName="/word/media/image1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60" w:after="60"/>
        <w:ind w:left="0" w:hanging="0"/>
        <w:jc w:val="center"/>
        <w:rPr>
          <w:b/>
          <w:b/>
          <w:sz w:val="23"/>
          <w:szCs w:val="23"/>
        </w:rPr>
      </w:pPr>
      <w:r>
        <w:rPr>
          <w:sz w:val="23"/>
          <w:szCs w:val="23"/>
        </w:rPr>
        <w:t xml:space="preserve">     </w:t>
      </w:r>
      <w:r>
        <w:rPr>
          <w:sz w:val="23"/>
          <w:szCs w:val="23"/>
        </w:rPr>
        <w:drawing>
          <wp:inline distT="0" distB="0" distL="0" distR="0">
            <wp:extent cx="2541270" cy="436245"/>
            <wp:effectExtent l="0" t="0" r="0" b="0"/>
            <wp:docPr id="1" name="Рисунок 1" descr="Камчатскэнерго-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Камчатскэнерго-лого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43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120" w:after="0"/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ДОГОВОР</w:t>
      </w:r>
    </w:p>
    <w:p>
      <w:pPr>
        <w:pStyle w:val="BodyTextIndent2"/>
        <w:spacing w:lineRule="auto" w:line="240" w:before="0" w:after="0"/>
        <w:ind w:left="0" w:hanging="73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ТЕПЛОСНАБЖЕНИЯ И ГОРЯЧЕГО ВОДОСНАБЖЕНИЯ</w:t>
      </w:r>
    </w:p>
    <w:p>
      <w:pPr>
        <w:pStyle w:val="BodyTextIndent2"/>
        <w:spacing w:lineRule="auto" w:line="240" w:before="0" w:after="0"/>
        <w:ind w:left="0" w:hanging="73"/>
        <w:jc w:val="center"/>
        <w:rPr>
          <w:rStyle w:val="125"/>
          <w:b w:val="false"/>
          <w:b w:val="false"/>
          <w:sz w:val="22"/>
          <w:szCs w:val="22"/>
        </w:rPr>
      </w:pPr>
      <w:r>
        <w:rPr>
          <w:b/>
          <w:sz w:val="22"/>
          <w:szCs w:val="22"/>
        </w:rPr>
        <w:t xml:space="preserve">при открытой и закрытой системах теплоснабжения </w:t>
      </w:r>
      <w:r>
        <w:rPr>
          <w:rStyle w:val="125"/>
          <w:color w:val="00000A"/>
          <w:sz w:val="22"/>
          <w:szCs w:val="22"/>
        </w:rPr>
        <w:t>№ </w:t>
      </w:r>
      <w:r>
        <w:rPr>
          <w:b/>
          <w:sz w:val="22"/>
          <w:szCs w:val="22"/>
        </w:rPr>
        <w:t>____________</w:t>
      </w:r>
    </w:p>
    <w:p>
      <w:pPr>
        <w:pStyle w:val="BodyTextIndent2"/>
        <w:spacing w:lineRule="auto" w:line="240" w:before="0" w:after="0"/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BodyTextIndent2"/>
        <w:spacing w:lineRule="auto" w:line="240" w:before="0" w:after="0"/>
        <w:ind w:left="0" w:hanging="0"/>
        <w:jc w:val="left"/>
        <w:rPr>
          <w:sz w:val="22"/>
          <w:szCs w:val="22"/>
        </w:rPr>
      </w:pPr>
      <w:r>
        <w:rPr>
          <w:b/>
          <w:sz w:val="22"/>
          <w:szCs w:val="22"/>
        </w:rPr>
        <w:t>г. Петропавловск-Камчатский</w:t>
      </w:r>
      <w:r>
        <w:rPr>
          <w:sz w:val="22"/>
          <w:szCs w:val="22"/>
        </w:rPr>
        <w:t xml:space="preserve">      </w:t>
        <w:tab/>
        <w:tab/>
        <w:tab/>
        <w:tab/>
        <w:tab/>
        <w:tab/>
        <w:t xml:space="preserve">                  </w:t>
      </w:r>
      <w:r>
        <w:rPr>
          <w:b/>
          <w:color w:val="3107A9"/>
          <w:sz w:val="22"/>
          <w:szCs w:val="22"/>
        </w:rPr>
        <w:t>______________</w:t>
      </w:r>
    </w:p>
    <w:p>
      <w:pPr>
        <w:pStyle w:val="Normal"/>
        <w:tabs>
          <w:tab w:val="left" w:pos="142" w:leader="none"/>
        </w:tabs>
        <w:spacing w:before="120" w:after="120"/>
        <w:ind w:left="0" w:firstLine="1134"/>
        <w:rPr>
          <w:sz w:val="22"/>
          <w:szCs w:val="22"/>
        </w:rPr>
      </w:pPr>
      <w:r>
        <w:rPr>
          <w:b/>
          <w:sz w:val="22"/>
          <w:szCs w:val="22"/>
        </w:rPr>
        <w:t>Публичное акционерное общество энергетики и электрификации «Камчатскэнерго»</w:t>
      </w:r>
      <w:r>
        <w:rPr>
          <w:sz w:val="22"/>
          <w:szCs w:val="22"/>
        </w:rPr>
        <w:t xml:space="preserve">, именуемое в дальнейшем </w:t>
      </w:r>
      <w:r>
        <w:rPr>
          <w:b/>
          <w:sz w:val="22"/>
          <w:szCs w:val="22"/>
        </w:rPr>
        <w:t>«Теплоснабжающая организация» – далее по тексту «ТСО»</w:t>
      </w:r>
      <w:r>
        <w:rPr>
          <w:sz w:val="22"/>
          <w:szCs w:val="22"/>
        </w:rPr>
        <w:t xml:space="preserve">, в лице </w:t>
      </w:r>
      <w:r>
        <w:rPr>
          <w:b/>
          <w:sz w:val="22"/>
          <w:szCs w:val="22"/>
        </w:rPr>
        <w:t>_______________________ филиала Публичного акционерного общества «Дальневосточная энергетическая компания» «Камчатскэнергосбыт» ____________________,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действующего на основании </w:t>
      </w:r>
      <w:r>
        <w:rPr>
          <w:b/>
          <w:bCs/>
          <w:iCs/>
          <w:sz w:val="22"/>
          <w:szCs w:val="22"/>
        </w:rPr>
        <w:t xml:space="preserve">доверенности </w:t>
      </w:r>
      <w:r>
        <w:rPr>
          <w:b/>
          <w:sz w:val="22"/>
          <w:szCs w:val="22"/>
        </w:rPr>
        <w:t>№ ______________ от _____________</w:t>
      </w:r>
      <w:r>
        <w:rPr>
          <w:sz w:val="22"/>
          <w:szCs w:val="22"/>
        </w:rPr>
        <w:t>, с одной стороны, и</w:t>
      </w:r>
    </w:p>
    <w:p>
      <w:pPr>
        <w:pStyle w:val="Normal"/>
        <w:ind w:left="0" w:firstLine="851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______________, </w:t>
      </w:r>
      <w:r>
        <w:rPr>
          <w:sz w:val="22"/>
          <w:szCs w:val="22"/>
        </w:rPr>
        <w:t xml:space="preserve">именуемое в дальнейшем </w:t>
      </w:r>
      <w:r>
        <w:rPr>
          <w:b/>
          <w:sz w:val="22"/>
          <w:szCs w:val="22"/>
        </w:rPr>
        <w:t>«Потребитель</w:t>
      </w:r>
      <w:r>
        <w:rPr>
          <w:b/>
          <w:bCs/>
          <w:sz w:val="22"/>
          <w:szCs w:val="22"/>
        </w:rPr>
        <w:t xml:space="preserve">», </w:t>
      </w:r>
      <w:r>
        <w:rPr>
          <w:sz w:val="22"/>
          <w:szCs w:val="22"/>
        </w:rPr>
        <w:t xml:space="preserve">в лице </w:t>
      </w:r>
      <w:r>
        <w:rPr>
          <w:b/>
          <w:sz w:val="22"/>
          <w:szCs w:val="22"/>
        </w:rPr>
        <w:t xml:space="preserve">________________, </w:t>
      </w:r>
      <w:r>
        <w:rPr>
          <w:sz w:val="22"/>
          <w:szCs w:val="22"/>
        </w:rPr>
        <w:t>действующего на основании ____________________________________, с другой стороны (далее по тексту – «Стороны»), заключили настоящий договор о нижеследующем.</w:t>
      </w:r>
    </w:p>
    <w:p>
      <w:pPr>
        <w:pStyle w:val="Normal"/>
        <w:ind w:left="0" w:firstLine="85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3"/>
        </w:numPr>
        <w:ind w:left="357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ОБЩИЕ ПОЛОЖЕНИЯ.</w:t>
      </w:r>
    </w:p>
    <w:p>
      <w:pPr>
        <w:pStyle w:val="ListParagraph"/>
        <w:ind w:left="36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before="0" w:after="0"/>
        <w:ind w:left="0" w:firstLine="709"/>
        <w:contextualSpacing/>
        <w:rPr>
          <w:sz w:val="22"/>
          <w:szCs w:val="22"/>
        </w:rPr>
      </w:pPr>
      <w:r>
        <w:rPr>
          <w:sz w:val="22"/>
          <w:szCs w:val="22"/>
        </w:rPr>
        <w:t>Понятия, используемые в тексте настоящего контракта, имеют значения, определенные Федеральным законом «О теплоснабжении», иными федеральными законами и нормативно-правовыми актами.</w:t>
      </w:r>
    </w:p>
    <w:p>
      <w:pPr>
        <w:pStyle w:val="Normal"/>
        <w:ind w:left="0" w:firstLine="709"/>
        <w:rPr>
          <w:sz w:val="22"/>
          <w:szCs w:val="22"/>
        </w:rPr>
      </w:pPr>
      <w:r>
        <w:rPr>
          <w:sz w:val="22"/>
          <w:szCs w:val="22"/>
        </w:rPr>
        <w:t>По всем вопросам, не оговоренным настоящим контрактом, Стороны обязуются руководствоваться следующими документами:</w:t>
      </w:r>
    </w:p>
    <w:p>
      <w:pPr>
        <w:pStyle w:val="Normal"/>
        <w:keepNext w:val="true"/>
        <w:numPr>
          <w:ilvl w:val="0"/>
          <w:numId w:val="9"/>
        </w:numPr>
        <w:spacing w:before="0" w:after="0"/>
        <w:ind w:left="0" w:hanging="0"/>
        <w:contextualSpacing/>
        <w:outlineLvl w:val="0"/>
        <w:rPr>
          <w:sz w:val="22"/>
          <w:szCs w:val="22"/>
        </w:rPr>
      </w:pPr>
      <w:r>
        <w:rPr>
          <w:sz w:val="22"/>
          <w:szCs w:val="22"/>
        </w:rPr>
        <w:t>Гражданским кодексом РФ;</w:t>
      </w:r>
    </w:p>
    <w:p>
      <w:pPr>
        <w:pStyle w:val="Normal"/>
        <w:numPr>
          <w:ilvl w:val="0"/>
          <w:numId w:val="9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Федеральным законом от 27.07.2010 № 190-ФЗ «О теплоснабжении»;</w:t>
      </w:r>
    </w:p>
    <w:p>
      <w:pPr>
        <w:pStyle w:val="Normal"/>
        <w:numPr>
          <w:ilvl w:val="0"/>
          <w:numId w:val="9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Федеральным законом от 07.12.2011 № 416-ФЗ «О водоснабжении и водоотведении»;</w:t>
      </w:r>
    </w:p>
    <w:p>
      <w:pPr>
        <w:pStyle w:val="Normal"/>
        <w:widowControl w:val="false"/>
        <w:numPr>
          <w:ilvl w:val="0"/>
          <w:numId w:val="9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bCs/>
          <w:sz w:val="22"/>
          <w:szCs w:val="22"/>
        </w:rPr>
        <w:t>Постановлением Правительства РФ от</w:t>
      </w:r>
      <w:r>
        <w:rPr>
          <w:sz w:val="22"/>
          <w:szCs w:val="22"/>
        </w:rPr>
        <w:t xml:space="preserve"> 29.07.2013 № 642 «Об утверждении Правил горячего водоснабжения и внесении изменения в постановление Правительства РФ от 13.02.2006 № 83;</w:t>
      </w:r>
    </w:p>
    <w:p>
      <w:pPr>
        <w:pStyle w:val="Normal"/>
        <w:widowControl w:val="false"/>
        <w:numPr>
          <w:ilvl w:val="0"/>
          <w:numId w:val="9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«Правилами организации теплоснабжения в Российской Федерации», утвержденными постановлением Правительства РФ от 08.08.2012 № 808;</w:t>
      </w:r>
    </w:p>
    <w:p>
      <w:pPr>
        <w:pStyle w:val="Normal"/>
        <w:widowControl w:val="false"/>
        <w:numPr>
          <w:ilvl w:val="0"/>
          <w:numId w:val="9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bCs/>
          <w:sz w:val="22"/>
          <w:szCs w:val="22"/>
        </w:rPr>
        <w:t>Фе</w:t>
      </w:r>
      <w:r>
        <w:rPr>
          <w:sz w:val="22"/>
          <w:szCs w:val="22"/>
        </w:rPr>
        <w:t>деральным законом от 23.11.2009 № 261-ФЗ «Об энергосбережении и о повышении энергетической эффективности» с изменениями в редакции от 27.09.2017;</w:t>
      </w:r>
    </w:p>
    <w:p>
      <w:pPr>
        <w:pStyle w:val="Normal"/>
        <w:widowControl w:val="false"/>
        <w:numPr>
          <w:ilvl w:val="0"/>
          <w:numId w:val="9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bCs/>
          <w:sz w:val="22"/>
          <w:szCs w:val="22"/>
        </w:rPr>
        <w:t>Постановлением Правительства РФ от 18 ноября 2013 № 1034 «О коммерческом учете тепловой энергии, теплоносителя»;</w:t>
      </w:r>
    </w:p>
    <w:p>
      <w:pPr>
        <w:pStyle w:val="Normal"/>
        <w:widowControl w:val="false"/>
        <w:numPr>
          <w:ilvl w:val="0"/>
          <w:numId w:val="9"/>
        </w:numPr>
        <w:spacing w:before="0" w:after="0"/>
        <w:ind w:left="0" w:hanging="0"/>
        <w:contextualSpacing/>
        <w:rPr/>
      </w:pPr>
      <w:r>
        <w:rPr>
          <w:sz w:val="22"/>
          <w:szCs w:val="22"/>
        </w:rPr>
        <w:t xml:space="preserve">«Правилами технической эксплуатации тепловых энергоустановок», утвержденными </w:t>
      </w:r>
      <w:hyperlink w:anchor="sub_0">
        <w:r>
          <w:rPr>
            <w:rStyle w:val="Style9"/>
            <w:sz w:val="22"/>
            <w:szCs w:val="22"/>
          </w:rPr>
          <w:t>приказом</w:t>
        </w:r>
      </w:hyperlink>
      <w:r>
        <w:rPr>
          <w:sz w:val="22"/>
          <w:szCs w:val="22"/>
        </w:rPr>
        <w:t xml:space="preserve"> Минэнерго РФ от 24.03.2003 № 115;</w:t>
      </w:r>
    </w:p>
    <w:p>
      <w:pPr>
        <w:pStyle w:val="Normal"/>
        <w:widowControl w:val="false"/>
        <w:numPr>
          <w:ilvl w:val="0"/>
          <w:numId w:val="9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Методикой осуществления коммерческого учета тепловой энергии и теплоносителя, утвержденной Приказом Минстроя России от 17.03.2014 № 99/пр «Об утверждении Методики осуществления коммерческого учета тепловой энергии, теплоносителя» (Зарегистрировано в Минюсте России 12.09.2014 № 34040);</w:t>
      </w:r>
    </w:p>
    <w:p>
      <w:pPr>
        <w:pStyle w:val="Normal"/>
        <w:widowControl w:val="false"/>
        <w:numPr>
          <w:ilvl w:val="0"/>
          <w:numId w:val="9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Постановлением Правительства РФ от 04.09.2013 № 776 «Об утверждении Правил организации коммерческого учета воды, сточных вод»;</w:t>
      </w:r>
    </w:p>
    <w:p>
      <w:pPr>
        <w:pStyle w:val="Normal"/>
        <w:widowControl w:val="false"/>
        <w:numPr>
          <w:ilvl w:val="0"/>
          <w:numId w:val="9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«Правилами предоставления коммунальных услуг собственникам (пользователям) помещений в многоквартирных домах и жилых домов», утвержденными Постановлением Правительства РФ от 06.05.2011 № 354; </w:t>
      </w:r>
    </w:p>
    <w:p>
      <w:pPr>
        <w:pStyle w:val="Normal"/>
        <w:widowControl w:val="false"/>
        <w:numPr>
          <w:ilvl w:val="0"/>
          <w:numId w:val="9"/>
        </w:numPr>
        <w:spacing w:before="0" w:after="0"/>
        <w:ind w:left="0" w:hanging="0"/>
        <w:contextualSpacing/>
        <w:rPr/>
      </w:pPr>
      <w:r>
        <w:rPr>
          <w:sz w:val="22"/>
          <w:szCs w:val="22"/>
        </w:rPr>
        <w:t xml:space="preserve">Приказом от 17.10.2014 № 640/пр «Об утверждении </w:t>
      </w:r>
      <w:hyperlink r:id="rId3">
        <w:r>
          <w:rPr>
            <w:rStyle w:val="Style9"/>
            <w:color w:val="000000"/>
            <w:sz w:val="22"/>
            <w:szCs w:val="22"/>
          </w:rPr>
          <w:t>Методических указаний по расчету потерь горячей, питьевой, технической воды в централизованных системах водоснабжения при ее производстве и транспортировке</w:t>
        </w:r>
      </w:hyperlink>
      <w:r>
        <w:rPr>
          <w:color w:val="000000"/>
          <w:sz w:val="22"/>
          <w:szCs w:val="22"/>
        </w:rPr>
        <w:t>»;</w:t>
      </w:r>
    </w:p>
    <w:p>
      <w:pPr>
        <w:pStyle w:val="Normal"/>
        <w:widowControl w:val="false"/>
        <w:numPr>
          <w:ilvl w:val="0"/>
          <w:numId w:val="9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Приказом Министерства энергетики РФ от 30.12.2008 № 325 «Об утверждении порядка определения нормативов технологических потерь при передаче тепловой энергии, теплоносителя», зарегистрированным в Минюсте России 16.03.2009 № 13513.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Другими документами, регламентирующими взаимоотношения между потребителями тепловой энергии (мощности) и (или) теплоносителя, и (или) горячей воды и теплоснабжающей организацией.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2"/>
        </w:numPr>
        <w:ind w:left="357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ПРЕДМЕТ ДОГОВОРА.</w:t>
      </w:r>
    </w:p>
    <w:p>
      <w:pPr>
        <w:pStyle w:val="ListParagraph"/>
        <w:ind w:left="39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widowControl w:val="false"/>
        <w:numPr>
          <w:ilvl w:val="1"/>
          <w:numId w:val="2"/>
        </w:numPr>
        <w:suppressLineNumbers/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ТСО обязуется поставить (отпустить) Потребителю через присоединенную сеть тепловую энергию (мощность) и (или) теплоноситель, и (или) горячую воду в точки поставки на объекты, указанные в Приложении №1, а Потребитель обязуется принять тепловую энергию (мощность) и (или) теплоноситель, и (или) горячую воду на условиях, предусмотренных настоящим договором, действующим законодательством РФ, и оплатить ее в порядке, сроки в соответствии с условиями настоящего договора и требованиями, отраженными в приложениях к нему, а также выполнять иные обязательства, возложенные на Потребителя в соответствие с условиями настоящего договора.</w:t>
      </w:r>
    </w:p>
    <w:p>
      <w:pPr>
        <w:pStyle w:val="Normal"/>
        <w:widowControl w:val="false"/>
        <w:numPr>
          <w:ilvl w:val="1"/>
          <w:numId w:val="2"/>
        </w:numPr>
        <w:suppressLineNumbers/>
        <w:spacing w:before="0" w:after="0"/>
        <w:ind w:left="0" w:hanging="0"/>
        <w:contextualSpacing/>
        <w:rPr>
          <w:sz w:val="22"/>
          <w:szCs w:val="22"/>
        </w:rPr>
      </w:pPr>
      <w:r>
        <w:rPr>
          <w:spacing w:val="-1"/>
          <w:sz w:val="22"/>
          <w:szCs w:val="22"/>
        </w:rPr>
        <w:t>Точки поставки тепловой энергии</w:t>
      </w:r>
      <w:r>
        <w:rPr>
          <w:sz w:val="22"/>
          <w:szCs w:val="22"/>
        </w:rPr>
        <w:t xml:space="preserve"> (мощности) и (или) теплоносителя, и (или) горячей воды </w:t>
      </w:r>
      <w:r>
        <w:rPr>
          <w:spacing w:val="-1"/>
          <w:sz w:val="22"/>
          <w:szCs w:val="22"/>
        </w:rPr>
        <w:t>определены в Актах разграничения балансовой принадлежности тепловых сетей и эксплуатационной ответственности сторон, оформленных</w:t>
      </w:r>
      <w:r>
        <w:rPr>
          <w:spacing w:val="9"/>
          <w:sz w:val="22"/>
          <w:szCs w:val="22"/>
        </w:rPr>
        <w:t xml:space="preserve"> между </w:t>
      </w:r>
      <w:r>
        <w:rPr>
          <w:sz w:val="22"/>
          <w:szCs w:val="22"/>
        </w:rPr>
        <w:t>ТСО и Потребителем по каждой точке поставки, которые являются неотъемлемой частью договора (Приложение №2).</w:t>
      </w:r>
    </w:p>
    <w:p>
      <w:pPr>
        <w:pStyle w:val="Normal"/>
        <w:widowControl w:val="false"/>
        <w:suppressLineNumbers/>
        <w:ind w:left="0" w:firstLine="720"/>
        <w:rPr>
          <w:sz w:val="22"/>
          <w:szCs w:val="22"/>
        </w:rPr>
      </w:pPr>
      <w:r>
        <w:rPr>
          <w:sz w:val="22"/>
          <w:szCs w:val="22"/>
        </w:rPr>
        <w:t>При осуществлении теплоснабжения нежилого (жилого) помещения, расположенного в многоквартирном доме, точкой поставки определена внешняя граница стены многоквартирного дома или согласованная граница балансовой принадлежности тепловых сетей и эксплуатационной ответственности между ТСО и исполнителем коммунальных услуг, под управлением которого находится данный многоквартирный дом.</w:t>
      </w:r>
    </w:p>
    <w:p>
      <w:pPr>
        <w:pStyle w:val="Normal"/>
        <w:widowControl w:val="false"/>
        <w:numPr>
          <w:ilvl w:val="1"/>
          <w:numId w:val="2"/>
        </w:numPr>
        <w:suppressLineNumbers/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В случае принятия нормативно-правовых актов, регулирующих вопросы в сфере теплоснабжения и горячего водоснабжения, в том числе, устанавливающих иной, по сравнению с настоящим договором, порядок организации отношений сторон, стороны применяют  указанные нормативно-правовые акты в целях исполнения договора  с даты их вступления в законную силу без внесения соответствующих изменений в настоящий договор.</w:t>
      </w:r>
    </w:p>
    <w:p>
      <w:pPr>
        <w:pStyle w:val="Normal"/>
        <w:widowControl w:val="false"/>
        <w:suppressLineNumbers/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2"/>
        </w:numPr>
        <w:suppressAutoHyphens w:val="true"/>
        <w:ind w:left="357" w:hanging="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ЦЕНА ДОГОВОРА.</w:t>
      </w:r>
    </w:p>
    <w:p>
      <w:pPr>
        <w:pStyle w:val="ListParagraph"/>
        <w:suppressAutoHyphens w:val="true"/>
        <w:ind w:left="39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1"/>
          <w:numId w:val="2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Расчеты за тепловую энергию (мощность) и (или) теплоноситель, и (или) горячую воду, в том числе за повышенный расход, связанный с авариями и (или) технологическими отказами на сетях и во внутренних системах Потребителя, производятся по тарифам, установленным для Теплоснабжающей организации в порядке, определенном действующим законодательством Российской Федерации о государственном регулировании цен (тарифов), и (или) по ценам, определяемым по соглашению сторон в случаях, установленных действующим законодательством РФ. </w:t>
      </w:r>
    </w:p>
    <w:p>
      <w:pPr>
        <w:pStyle w:val="ListParagraph"/>
        <w:ind w:left="0" w:firstLine="720"/>
        <w:rPr>
          <w:sz w:val="22"/>
          <w:szCs w:val="22"/>
        </w:rPr>
      </w:pPr>
      <w:r>
        <w:rPr>
          <w:sz w:val="22"/>
          <w:szCs w:val="22"/>
        </w:rPr>
        <w:t>Объем сверхдоговорного, безучетного потребления или потребления с нарушением режима потребления потребитель оплачивает с применением к тарифам в сфере теплоснабжения повышающих коэффициентов, установленных в соответствии с действующим законодательством РФ.</w:t>
      </w:r>
    </w:p>
    <w:p>
      <w:pPr>
        <w:pStyle w:val="ListParagraph"/>
        <w:numPr>
          <w:ilvl w:val="1"/>
          <w:numId w:val="2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Изменение тарифов в период действия настоящего договора не требует его переоформления. Величины тарифов доводятся до Потребителя специальным сообщением в средствах массовой информации, и подлежат применению с даты, установленной постановлениями уполномоченного органа исполнительной власти в области государственного регулирования цен (тарифов).</w:t>
      </w:r>
    </w:p>
    <w:p>
      <w:pPr>
        <w:pStyle w:val="ListParagraph"/>
        <w:widowControl w:val="false"/>
        <w:numPr>
          <w:ilvl w:val="1"/>
          <w:numId w:val="2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Договорные объемы тепловой энергии (мощности) и (или) теплоносителя, и (или) горячей воды, поставляемые ТСО и приобретаемые Потребителем, с указанием тепловой нагрузки по каждому объекту и видам теплопотребления, с учетом объема тепловых потерь тепловой энергии (мощности) и (или) теплоносителя, и (или) горячей воды в тепловых сетях Потребителя от границы балансовой принадлежности до теплового узла, указаны в Приложении №1.</w:t>
      </w:r>
    </w:p>
    <w:p>
      <w:pPr>
        <w:pStyle w:val="Normal"/>
        <w:widowControl w:val="false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2"/>
        </w:numPr>
        <w:suppressAutoHyphens w:val="true"/>
        <w:ind w:left="0" w:hanging="0"/>
        <w:jc w:val="center"/>
        <w:rPr>
          <w:b/>
          <w:b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 xml:space="preserve">КОЛИЧЕСТВО И КАЧЕСТВО ТЕПЛОВОЙ ЭНЕРГИИ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(МОЩНОСТИ)</w:t>
      </w:r>
      <w:r>
        <w:rPr>
          <w:sz w:val="22"/>
          <w:szCs w:val="22"/>
        </w:rPr>
        <w:t xml:space="preserve"> </w:t>
      </w:r>
      <w:r>
        <w:rPr>
          <w:b/>
          <w:bCs/>
          <w:spacing w:val="-1"/>
          <w:sz w:val="22"/>
          <w:szCs w:val="22"/>
        </w:rPr>
        <w:t>И (ИЛИ) ТЕПЛОНОСИТЕЛЯ И (ИЛИ) ГОРЯЧЕЙ ВОДЫ</w:t>
      </w:r>
      <w:r>
        <w:rPr>
          <w:b/>
          <w:sz w:val="22"/>
          <w:szCs w:val="22"/>
        </w:rPr>
        <w:t>.</w:t>
      </w:r>
    </w:p>
    <w:p>
      <w:pPr>
        <w:pStyle w:val="ListParagraph"/>
        <w:suppressAutoHyphens w:val="true"/>
        <w:ind w:left="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widowControl w:val="false"/>
        <w:numPr>
          <w:ilvl w:val="1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ТСО несет обязательства по поставке тепловой энергии (мощности) и (или) теплоносителя, и (или) горячей воды Потребителю в точку поставки в объемах, предусмотренных настоящим договором.</w:t>
      </w:r>
    </w:p>
    <w:p>
      <w:pPr>
        <w:pStyle w:val="Normal"/>
        <w:widowControl w:val="false"/>
        <w:numPr>
          <w:ilvl w:val="1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Потребитель несет ответственность за соблюдение режима потребления тепловой энергии (мощности) и (или) теплоносителя, и (или) горячей воды.</w:t>
      </w:r>
    </w:p>
    <w:p>
      <w:pPr>
        <w:pStyle w:val="Normal"/>
        <w:widowControl w:val="false"/>
        <w:numPr>
          <w:ilvl w:val="1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Расшифровка договорных величин потребления тепловой энергии (мощности) и (или) теплоносителя, и (или) горячей воды Потребителя (с учетом субабонентов) по группам потребления по каждой точке поставки указана в Приложении №1.</w:t>
      </w:r>
    </w:p>
    <w:p>
      <w:pPr>
        <w:pStyle w:val="Normal"/>
        <w:widowControl w:val="false"/>
        <w:numPr>
          <w:ilvl w:val="1"/>
          <w:numId w:val="1"/>
        </w:numPr>
        <w:suppressLineNumbers/>
        <w:tabs>
          <w:tab w:val="left" w:pos="567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  <w:u w:val="single"/>
        </w:rPr>
        <w:t>Показатели качества в точке поставки</w:t>
      </w:r>
      <w:r>
        <w:rPr>
          <w:sz w:val="22"/>
          <w:szCs w:val="22"/>
        </w:rPr>
        <w:t xml:space="preserve">: </w:t>
      </w:r>
    </w:p>
    <w:p>
      <w:pPr>
        <w:pStyle w:val="ListParagraph"/>
        <w:widowControl w:val="false"/>
        <w:numPr>
          <w:ilvl w:val="0"/>
          <w:numId w:val="4"/>
        </w:numPr>
        <w:suppressLineNumbers/>
        <w:tabs>
          <w:tab w:val="left" w:pos="567" w:leader="none"/>
        </w:tabs>
        <w:ind w:left="0" w:firstLine="142"/>
        <w:rPr>
          <w:sz w:val="22"/>
          <w:szCs w:val="22"/>
        </w:rPr>
      </w:pPr>
      <w:r>
        <w:rPr>
          <w:sz w:val="22"/>
          <w:szCs w:val="22"/>
        </w:rPr>
        <w:t xml:space="preserve">Параметры тепловой энергии и теплоносителя  в системе отопления,  должны соответствовать </w:t>
      </w:r>
      <w:r>
        <w:rPr>
          <w:sz w:val="22"/>
          <w:szCs w:val="22"/>
          <w:lang w:eastAsia="en-US"/>
        </w:rPr>
        <w:t>графику регулирования отпуска тепла с источника тепловой энергии</w:t>
      </w:r>
      <w:r>
        <w:rPr>
          <w:sz w:val="22"/>
          <w:szCs w:val="22"/>
        </w:rPr>
        <w:t xml:space="preserve"> (мощности)</w:t>
      </w:r>
      <w:r>
        <w:rPr>
          <w:sz w:val="22"/>
          <w:szCs w:val="22"/>
          <w:lang w:eastAsia="en-US"/>
        </w:rPr>
        <w:t xml:space="preserve">, разработанному в соответствии с требованиями законодательства РФ к качеству теплоснабжения и теплоносителей </w:t>
      </w:r>
      <w:r>
        <w:rPr>
          <w:sz w:val="22"/>
          <w:szCs w:val="22"/>
        </w:rPr>
        <w:t>(Приложение №3).</w:t>
      </w:r>
    </w:p>
    <w:p>
      <w:pPr>
        <w:pStyle w:val="ListParagraph"/>
        <w:widowControl w:val="false"/>
        <w:numPr>
          <w:ilvl w:val="0"/>
          <w:numId w:val="4"/>
        </w:numPr>
        <w:tabs>
          <w:tab w:val="left" w:pos="567" w:leader="none"/>
        </w:tabs>
        <w:ind w:left="0" w:firstLine="142"/>
        <w:outlineLvl w:val="0"/>
        <w:rPr>
          <w:sz w:val="22"/>
          <w:szCs w:val="22"/>
        </w:rPr>
      </w:pPr>
      <w:r>
        <w:rPr>
          <w:sz w:val="22"/>
          <w:szCs w:val="22"/>
        </w:rPr>
        <w:t>Температура горячей воды соответствует СП 30.13330.2012 «Свод правил. Внутренний водопровод и канализация зданий», утвержден Приказом Минрегиона России от 29.12.2011 № 626, СанПиН 2.1.4.1074-01;</w:t>
      </w:r>
    </w:p>
    <w:p>
      <w:pPr>
        <w:pStyle w:val="ListParagraph"/>
        <w:widowControl w:val="false"/>
        <w:numPr>
          <w:ilvl w:val="0"/>
          <w:numId w:val="4"/>
        </w:numPr>
        <w:suppressLineNumbers/>
        <w:tabs>
          <w:tab w:val="left" w:pos="567" w:leader="none"/>
        </w:tabs>
        <w:ind w:left="0" w:firstLine="142"/>
        <w:rPr>
          <w:sz w:val="22"/>
          <w:szCs w:val="22"/>
        </w:rPr>
      </w:pPr>
      <w:r>
        <w:rPr>
          <w:sz w:val="22"/>
          <w:szCs w:val="22"/>
        </w:rPr>
        <w:t>Диапазон давления теплоносителя в подающем трубопроводе системы теплоснабжения поддерживается с учетом гидравлического режима работы тепловых сетей (пьезометрического графика).</w:t>
      </w:r>
    </w:p>
    <w:p>
      <w:pPr>
        <w:pStyle w:val="ListParagraph"/>
        <w:widowControl w:val="false"/>
        <w:numPr>
          <w:ilvl w:val="0"/>
          <w:numId w:val="4"/>
        </w:numPr>
        <w:suppressLineNumbers/>
        <w:tabs>
          <w:tab w:val="left" w:pos="567" w:leader="none"/>
        </w:tabs>
        <w:ind w:left="0" w:firstLine="142"/>
        <w:rPr>
          <w:sz w:val="22"/>
          <w:szCs w:val="22"/>
        </w:rPr>
      </w:pPr>
      <w:r>
        <w:rPr>
          <w:sz w:val="22"/>
          <w:szCs w:val="22"/>
        </w:rPr>
        <w:t>Гарантированный уровень давления горячей воды в системе горячего водоснабжения поддерживается в диапазоне 0,3 ÷ 4,5 кгс/см2 и выше статического не менее чем на 0,05 МПа (0,5 кгс/см2).При расчетном давлении в сети, превышающем указанное давление, Потребителю необходимо предусматривать устройства (регуляторы давления) в соответствии с требованиями строительных норм и правил по устройству внутреннего водопровода.</w:t>
      </w:r>
    </w:p>
    <w:p>
      <w:pPr>
        <w:pStyle w:val="ListParagraph"/>
        <w:widowControl w:val="false"/>
        <w:numPr>
          <w:ilvl w:val="0"/>
          <w:numId w:val="4"/>
        </w:numPr>
        <w:suppressLineNumbers/>
        <w:tabs>
          <w:tab w:val="left" w:pos="567" w:leader="none"/>
        </w:tabs>
        <w:ind w:left="0" w:firstLine="142"/>
        <w:rPr>
          <w:sz w:val="22"/>
          <w:szCs w:val="22"/>
        </w:rPr>
      </w:pPr>
      <w:r>
        <w:rPr>
          <w:sz w:val="22"/>
          <w:szCs w:val="22"/>
        </w:rPr>
        <w:t>Физико-химические характеристики теплоносителя, используемого для нужд горячего водоснабжения, поддерживаются не ниже показателей, установленных законодательством Российской Федерации в  сфере обеспечения санитарно-эпидемиологического благополучия населения.</w:t>
      </w:r>
    </w:p>
    <w:p>
      <w:pPr>
        <w:pStyle w:val="Normal"/>
        <w:widowControl w:val="false"/>
        <w:suppressLineNumbers/>
        <w:ind w:left="0" w:hanging="0"/>
        <w:rPr>
          <w:sz w:val="22"/>
          <w:szCs w:val="22"/>
          <w:u w:val="single"/>
        </w:rPr>
      </w:pPr>
      <w:r>
        <w:rPr>
          <w:b/>
          <w:sz w:val="22"/>
          <w:szCs w:val="22"/>
        </w:rPr>
        <w:t xml:space="preserve">4.5.  </w:t>
      </w:r>
      <w:r>
        <w:rPr>
          <w:sz w:val="22"/>
          <w:szCs w:val="22"/>
          <w:u w:val="single"/>
        </w:rPr>
        <w:t xml:space="preserve"> Режим потребления тепловой энергии (мощности) и (или) теплоносителя, и (или) горячей воды:</w:t>
      </w:r>
    </w:p>
    <w:p>
      <w:pPr>
        <w:pStyle w:val="ListParagraph"/>
        <w:widowControl w:val="false"/>
        <w:numPr>
          <w:ilvl w:val="0"/>
          <w:numId w:val="4"/>
        </w:numPr>
        <w:suppressLineNumbers/>
        <w:ind w:left="0" w:firstLine="142"/>
        <w:rPr>
          <w:sz w:val="22"/>
          <w:szCs w:val="22"/>
        </w:rPr>
      </w:pPr>
      <w:r>
        <w:rPr>
          <w:sz w:val="22"/>
          <w:szCs w:val="22"/>
        </w:rPr>
        <w:t>Величина максимального расхода теплоносителя для нужд отопления указана в Приложении №1;</w:t>
      </w:r>
    </w:p>
    <w:p>
      <w:pPr>
        <w:pStyle w:val="ListParagraph"/>
        <w:widowControl w:val="false"/>
        <w:numPr>
          <w:ilvl w:val="0"/>
          <w:numId w:val="4"/>
        </w:numPr>
        <w:suppressLineNumbers/>
        <w:ind w:left="0" w:firstLine="142"/>
        <w:rPr>
          <w:sz w:val="22"/>
          <w:szCs w:val="22"/>
        </w:rPr>
      </w:pPr>
      <w:r>
        <w:rPr>
          <w:sz w:val="22"/>
          <w:szCs w:val="22"/>
        </w:rPr>
        <w:t>Величина максимального часового и величина среднего за сутки часового потребления (разбора) теплоносителя на нужды горячего водоснабжения, и (или) горячей воды указана в Приложении №1;</w:t>
      </w:r>
    </w:p>
    <w:p>
      <w:pPr>
        <w:pStyle w:val="ListParagraph"/>
        <w:widowControl w:val="false"/>
        <w:numPr>
          <w:ilvl w:val="0"/>
          <w:numId w:val="4"/>
        </w:numPr>
        <w:suppressLineNumbers/>
        <w:ind w:left="0" w:firstLine="142"/>
        <w:rPr>
          <w:sz w:val="22"/>
          <w:szCs w:val="22"/>
        </w:rPr>
      </w:pPr>
      <w:r>
        <w:rPr>
          <w:sz w:val="22"/>
          <w:szCs w:val="22"/>
        </w:rPr>
        <w:t>Среднесуточная температура возвращаемого в сеть теплоснабжения теплоносителя не должна превышать заданную температурным графиком температуру более чем на 5%.</w:t>
      </w:r>
    </w:p>
    <w:p>
      <w:pPr>
        <w:pStyle w:val="ListParagraph"/>
        <w:widowControl w:val="false"/>
        <w:suppressLineNumbers/>
        <w:ind w:left="357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1"/>
        </w:numPr>
        <w:suppressAutoHyphens w:val="true"/>
        <w:jc w:val="center"/>
        <w:rPr>
          <w:sz w:val="22"/>
          <w:szCs w:val="22"/>
        </w:rPr>
      </w:pPr>
      <w:r>
        <w:rPr>
          <w:b/>
          <w:bCs/>
          <w:spacing w:val="-2"/>
          <w:sz w:val="22"/>
          <w:szCs w:val="22"/>
        </w:rPr>
        <w:t>ОБЯЗАННОСТИ И ПРАВА ТСО.</w:t>
      </w:r>
    </w:p>
    <w:p>
      <w:pPr>
        <w:pStyle w:val="ListParagraph"/>
        <w:numPr>
          <w:ilvl w:val="1"/>
          <w:numId w:val="1"/>
        </w:numPr>
        <w:suppressAutoHyphens w:val="true"/>
        <w:ind w:left="0" w:hanging="0"/>
        <w:rPr>
          <w:sz w:val="22"/>
          <w:szCs w:val="22"/>
        </w:rPr>
      </w:pPr>
      <w:r>
        <w:rPr>
          <w:b/>
          <w:bCs/>
          <w:sz w:val="22"/>
          <w:szCs w:val="22"/>
        </w:rPr>
        <w:t>ТСО обязуется: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Поставлять тепловую энергию (мощность) и (или) теплоноситель и (или) горячую воду Потребителю (с учетом его субабонентов) в объеме, установленном в Приложении №1 по каждой точке поставки, кроме перерывов  (технологических, аварийных ремонтов), с максимумом тепловой нагрузки при температуре наружного воздуха -20</w:t>
      </w:r>
      <w:r>
        <w:rPr>
          <w:sz w:val="22"/>
          <w:szCs w:val="22"/>
          <w:vertAlign w:val="superscript"/>
        </w:rPr>
        <w:t>о</w:t>
      </w:r>
      <w:r>
        <w:rPr>
          <w:sz w:val="22"/>
          <w:szCs w:val="22"/>
        </w:rPr>
        <w:t>С и минимумом при отсутствии отопительной нагрузки.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Поддерживать в точке поставки тепловой энергии (мощности) и (или) теплоносителя, и (или) горячей воды параметры качества в соответствии с п. 4.4.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Уведомлять Потребителя специальным сообщением в средствах массовой информации (данная информация размещается на сайтах органов местного самоуправления и в официальных изданиях органов местного самоуправления) о причинах, начале и сроках перерывов в поставке тепловой энергии (мощности) и (или) теплоносителя, и (или) горячей воды:</w:t>
      </w:r>
    </w:p>
    <w:p>
      <w:pPr>
        <w:pStyle w:val="ListParagraph"/>
        <w:widowControl w:val="false"/>
        <w:numPr>
          <w:ilvl w:val="0"/>
          <w:numId w:val="5"/>
        </w:numPr>
        <w:suppressLineNumbers/>
        <w:rPr>
          <w:sz w:val="22"/>
          <w:szCs w:val="22"/>
        </w:rPr>
      </w:pPr>
      <w:r>
        <w:rPr>
          <w:sz w:val="22"/>
          <w:szCs w:val="22"/>
        </w:rPr>
        <w:t>в день, предшествующий дню производства работ – при производстве  внеплановых работ в любое время года; не менее чем за 15 дней для централизованных систем горячего водоснабжения.</w:t>
      </w:r>
    </w:p>
    <w:p>
      <w:pPr>
        <w:pStyle w:val="ListParagraph"/>
        <w:widowControl w:val="false"/>
        <w:numPr>
          <w:ilvl w:val="0"/>
          <w:numId w:val="5"/>
        </w:numPr>
        <w:suppressLineNumbers/>
        <w:rPr>
          <w:sz w:val="22"/>
          <w:szCs w:val="22"/>
        </w:rPr>
      </w:pPr>
      <w:r>
        <w:rPr>
          <w:sz w:val="22"/>
          <w:szCs w:val="22"/>
        </w:rPr>
        <w:t>в течение 1 часа после введенного ограничения (отключения) в случае аварийной ситуации; в течение 1 дня при аварии на централизованных системах горячего водоснабжения и в случае существенного ухудшения качества горячей воды.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Ежегодно проверять техническое состояние и готовность теплопотребляющего оборудования Потребителя к работе в отопительный период с оформлением двухстороннего акта.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Выдавать технические условия на установку узла (прибора) учета</w:t>
      </w:r>
      <w:r>
        <w:rPr>
          <w:i/>
          <w:iCs/>
          <w:sz w:val="22"/>
          <w:szCs w:val="22"/>
        </w:rPr>
        <w:t xml:space="preserve">, </w:t>
      </w:r>
      <w:r>
        <w:rPr>
          <w:iCs/>
          <w:sz w:val="22"/>
          <w:szCs w:val="22"/>
        </w:rPr>
        <w:t>присоединение дополнительной нагрузки</w:t>
      </w:r>
      <w:r>
        <w:rPr>
          <w:sz w:val="22"/>
          <w:szCs w:val="22"/>
        </w:rPr>
        <w:t>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pacing w:val="-1"/>
          <w:sz w:val="22"/>
          <w:szCs w:val="22"/>
        </w:rPr>
        <w:t xml:space="preserve">Осуществлять допуск в эксплуатацию и пломбирование узла (прибора) учета, </w:t>
      </w:r>
      <w:r>
        <w:rPr>
          <w:spacing w:val="9"/>
          <w:sz w:val="22"/>
          <w:szCs w:val="22"/>
        </w:rPr>
        <w:t xml:space="preserve">установленного у Потребителя, по согласованному ТСО </w:t>
      </w:r>
      <w:r>
        <w:rPr>
          <w:spacing w:val="-5"/>
          <w:sz w:val="22"/>
          <w:szCs w:val="22"/>
        </w:rPr>
        <w:t xml:space="preserve">проекту. </w:t>
      </w:r>
      <w:r>
        <w:rPr>
          <w:sz w:val="22"/>
          <w:szCs w:val="22"/>
        </w:rPr>
        <w:t xml:space="preserve">Принимать узел (приборы) учета, </w:t>
      </w:r>
      <w:r>
        <w:rPr>
          <w:spacing w:val="9"/>
          <w:sz w:val="22"/>
          <w:szCs w:val="22"/>
        </w:rPr>
        <w:t>установленного у Потребителя,</w:t>
      </w:r>
      <w:r>
        <w:rPr>
          <w:sz w:val="22"/>
          <w:szCs w:val="22"/>
        </w:rPr>
        <w:t xml:space="preserve"> на коммерческий учет перед началом каждого отопительного периода.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b/>
          <w:b/>
          <w:sz w:val="22"/>
          <w:szCs w:val="22"/>
        </w:rPr>
      </w:pPr>
      <w:r>
        <w:rPr>
          <w:sz w:val="22"/>
          <w:szCs w:val="22"/>
        </w:rPr>
        <w:t>Исполнять другие обязательства, предусмотренные настоящим договором.</w:t>
      </w:r>
    </w:p>
    <w:p>
      <w:pPr>
        <w:pStyle w:val="ListParagraph"/>
        <w:widowControl w:val="false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Сообщать Потребителю в письменной форме об изменении своего адреса и банковских реквизитов, на которые должна поступать оплата за тепловую энергию (мощность) и (или) теплоноситель, и (или) горячую воду.</w:t>
      </w:r>
    </w:p>
    <w:p>
      <w:pPr>
        <w:pStyle w:val="ListParagraph"/>
        <w:numPr>
          <w:ilvl w:val="1"/>
          <w:numId w:val="1"/>
        </w:numPr>
        <w:suppressAutoHyphens w:val="true"/>
        <w:ind w:left="0" w:hanging="0"/>
        <w:jc w:val="left"/>
        <w:rPr>
          <w:sz w:val="22"/>
          <w:szCs w:val="22"/>
        </w:rPr>
      </w:pPr>
      <w:r>
        <w:rPr>
          <w:b/>
          <w:bCs/>
          <w:sz w:val="22"/>
          <w:szCs w:val="22"/>
        </w:rPr>
        <w:t>ТСО имеет право: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Производить ограничения отпуска тепловой энергии (мощности) и (или) теплоносителя,  и отключение Потребителя полностью или частично в соответствии с графиками ограничения потребления и отключения тепловой энергии (мощности) и (или) теплоносителя при возникновении (угрозе возникновения) аварийных ситуаций в системе теплоснабжения без согласования с Потребителем с последующим оповещением Потребителя о причинах и предполагаемой продолжительности ограничения или отключения.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Производить ограничения отпуска тепловой энергии (мощности) и (или) теплоносителя, и (или) горячей воды и отключение Потребителя полностью за неисполнение или ненадлежащее исполнение потребителем обязательств по оплате тепловой энергии (мощности) и (или) теплоносителя, и (или) горячей воды, в том числе обязательств по их предварительной оплате, а также нарушение условий договора о количестве, качестве и значениях термодинамических параметров возвращаемого теплоносителя и (или) нарушения режима потребления тепловой энергии (мощности) и (или) теплоносителя, и (или) горячей воды, существенно влияющих на теплоснабжение других потребителей в данной системе теплоснабжения, а также в случае несоблюдения установленных техническими регламентами обязательных требований безопасной эксплуатации теплопотребляющих установок, прекращение обязательств сторон по договору теплоснабжения, выявление фактов бездоговорного потребления тепловой энергии (мощности) и (или) теплоносителя, и (или) горячей воды.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Временно прекратить или ограничить горячее водоснабжение в случае:</w:t>
      </w:r>
    </w:p>
    <w:p>
      <w:pPr>
        <w:pStyle w:val="ListParagraph"/>
        <w:widowControl w:val="false"/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а) возникновения аварии, инцидента и (или) устранения последствий аварии и инцидента на централизованных системах горячего водоснабжения;</w:t>
      </w:r>
    </w:p>
    <w:p>
      <w:pPr>
        <w:pStyle w:val="ListParagraph"/>
        <w:widowControl w:val="false"/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б) существенного ухудшения качества горячей воды. Критерии существенного ухудшения качества горячей воды устанавливаются федеральным органом исполнительной власти, осуществляющим федеральный государственный санитарно-эпидемиологический надзор;</w:t>
      </w:r>
    </w:p>
    <w:p>
      <w:pPr>
        <w:pStyle w:val="ListParagraph"/>
        <w:widowControl w:val="false"/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в) проведения планово-предупредительного, внепланового и капитального ремонта;</w:t>
      </w:r>
    </w:p>
    <w:p>
      <w:pPr>
        <w:pStyle w:val="ListParagraph"/>
        <w:widowControl w:val="false"/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г) проведения работ по подключению (присоединению) объектов заявителей.</w:t>
      </w:r>
    </w:p>
    <w:p>
      <w:pPr>
        <w:pStyle w:val="Normal"/>
        <w:tabs>
          <w:tab w:val="left" w:pos="993" w:leader="none"/>
        </w:tabs>
        <w:ind w:left="0" w:hanging="0"/>
        <w:rPr>
          <w:sz w:val="22"/>
          <w:szCs w:val="22"/>
        </w:rPr>
      </w:pPr>
      <w:r>
        <w:rPr>
          <w:b/>
          <w:sz w:val="22"/>
          <w:szCs w:val="22"/>
        </w:rPr>
        <w:t>5.2.4</w:t>
      </w:r>
      <w:r>
        <w:rPr>
          <w:sz w:val="22"/>
          <w:szCs w:val="22"/>
        </w:rPr>
        <w:t>. При наличии оснований для прекращения подачи ресурсов установить следующие объемы допустимого ограничения:</w:t>
      </w:r>
    </w:p>
    <w:p>
      <w:pPr>
        <w:pStyle w:val="Normal"/>
        <w:numPr>
          <w:ilvl w:val="0"/>
          <w:numId w:val="10"/>
        </w:numPr>
        <w:tabs>
          <w:tab w:val="left" w:pos="993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отопление - до 100%;</w:t>
      </w:r>
    </w:p>
    <w:p>
      <w:pPr>
        <w:pStyle w:val="Normal"/>
        <w:numPr>
          <w:ilvl w:val="0"/>
          <w:numId w:val="10"/>
        </w:numPr>
        <w:tabs>
          <w:tab w:val="left" w:pos="993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>горячее водоснабжение - до100%.</w:t>
      </w:r>
    </w:p>
    <w:p>
      <w:pPr>
        <w:pStyle w:val="Normal"/>
        <w:tabs>
          <w:tab w:val="left" w:pos="993" w:leader="none"/>
        </w:tabs>
        <w:ind w:left="0" w:firstLine="36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>В отношении социально значимых категорий «Потребителей» применяется специальный порядок введения ограничения режима потребления, в соответствии с Правилами организации теплоснабжения в Российской Федерации», утвержденными постановлением Правительства РФ от 08.08.2012 г. №808.</w:t>
      </w:r>
    </w:p>
    <w:p>
      <w:pPr>
        <w:pStyle w:val="ListParagraph"/>
        <w:widowControl w:val="false"/>
        <w:suppressLineNumbers/>
        <w:ind w:left="0" w:hanging="0"/>
        <w:rPr>
          <w:sz w:val="22"/>
          <w:szCs w:val="22"/>
        </w:rPr>
      </w:pPr>
      <w:r>
        <w:rPr>
          <w:b/>
          <w:sz w:val="22"/>
          <w:szCs w:val="22"/>
        </w:rPr>
        <w:t>5.2.5.</w:t>
      </w:r>
      <w:r>
        <w:rPr>
          <w:sz w:val="22"/>
          <w:szCs w:val="22"/>
        </w:rPr>
        <w:t xml:space="preserve"> Прекращение подачи тепловой энергии (мощности) и (или) теплоносителя, и (или) горячей воды производится в соответствии с законодательством РФ.</w:t>
      </w:r>
    </w:p>
    <w:p>
      <w:pPr>
        <w:pStyle w:val="Normal"/>
        <w:widowControl w:val="false"/>
        <w:suppressLineNumbers/>
        <w:ind w:left="0" w:hanging="0"/>
        <w:rPr>
          <w:sz w:val="22"/>
          <w:szCs w:val="22"/>
        </w:rPr>
      </w:pPr>
      <w:r>
        <w:rPr>
          <w:b/>
          <w:sz w:val="22"/>
          <w:szCs w:val="22"/>
        </w:rPr>
        <w:t>5.2.6.</w:t>
      </w:r>
      <w:r>
        <w:rPr>
          <w:sz w:val="22"/>
          <w:szCs w:val="22"/>
        </w:rPr>
        <w:t xml:space="preserve"> Беспрепятственного доступа (с предварительным уведомлением Потребителя) к тепловым сетям, находящимся на территории Потребителя, к теплоиспользующему оборудованию, узлам (приборам) учета в целях:</w:t>
      </w:r>
    </w:p>
    <w:p>
      <w:pPr>
        <w:pStyle w:val="Normal"/>
        <w:widowControl w:val="false"/>
        <w:numPr>
          <w:ilvl w:val="0"/>
          <w:numId w:val="11"/>
        </w:numPr>
        <w:suppressLineNumbers/>
        <w:tabs>
          <w:tab w:val="left" w:pos="709" w:leader="none"/>
        </w:tabs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ab/>
        <w:t>производства ремонтных работ в случае аварии - в любое время суток;</w:t>
        <w:tab/>
      </w:r>
    </w:p>
    <w:p>
      <w:pPr>
        <w:pStyle w:val="Normal"/>
        <w:numPr>
          <w:ilvl w:val="0"/>
          <w:numId w:val="11"/>
        </w:numPr>
        <w:tabs>
          <w:tab w:val="left" w:pos="709" w:leader="none"/>
        </w:tabs>
        <w:suppressAutoHyphens w:val="true"/>
        <w:spacing w:before="0" w:after="0"/>
        <w:ind w:left="0" w:hanging="0"/>
        <w:contextualSpacing/>
        <w:rPr>
          <w:sz w:val="22"/>
          <w:szCs w:val="22"/>
        </w:rPr>
      </w:pPr>
      <w:r>
        <w:rPr>
          <w:spacing w:val="4"/>
          <w:sz w:val="22"/>
          <w:szCs w:val="22"/>
        </w:rPr>
        <w:t xml:space="preserve">контроля над соблюдением установленных режимов и согласованных объемов </w:t>
      </w:r>
      <w:r>
        <w:rPr>
          <w:sz w:val="22"/>
          <w:szCs w:val="22"/>
        </w:rPr>
        <w:t>теплопотребления в рабочее время суток;</w:t>
      </w:r>
    </w:p>
    <w:p>
      <w:pPr>
        <w:pStyle w:val="ListParagraph"/>
        <w:widowControl w:val="false"/>
        <w:suppressLineNumbers/>
        <w:tabs>
          <w:tab w:val="left" w:pos="142" w:leader="none"/>
        </w:tabs>
        <w:ind w:left="0" w:hanging="0"/>
        <w:rPr>
          <w:sz w:val="22"/>
          <w:szCs w:val="22"/>
        </w:rPr>
      </w:pPr>
      <w:r>
        <w:rPr>
          <w:spacing w:val="3"/>
          <w:sz w:val="22"/>
          <w:szCs w:val="22"/>
        </w:rPr>
        <w:t xml:space="preserve">проведения замеров по определению качества </w:t>
      </w:r>
      <w:r>
        <w:rPr>
          <w:sz w:val="22"/>
          <w:szCs w:val="22"/>
        </w:rPr>
        <w:t>тепловой энергии (мощности) и (или) теплоносителя, и (или) горячей воды - в рабочее время суток.</w:t>
      </w:r>
    </w:p>
    <w:p>
      <w:pPr>
        <w:pStyle w:val="ListParagraph"/>
        <w:ind w:left="0" w:hanging="0"/>
        <w:rPr>
          <w:sz w:val="22"/>
          <w:szCs w:val="22"/>
        </w:rPr>
      </w:pPr>
      <w:r>
        <w:rPr>
          <w:b/>
          <w:sz w:val="22"/>
          <w:szCs w:val="22"/>
        </w:rPr>
        <w:t>5.2.7.</w:t>
      </w:r>
      <w:r>
        <w:rPr>
          <w:sz w:val="22"/>
          <w:szCs w:val="22"/>
        </w:rPr>
        <w:t xml:space="preserve"> При наличии на объекте Потребителя оборудования, подключенного к автоматизированной системе дистанционного снятия  показаний приборов учета тепловой энергии и (или) теплоносителя, и (или) горячей воды, ТСО имеет право самостоятельно производить снятие показаний с последующим уведомлением Потребителя в течение суток после снятия о полученной информации любым доступным способом, и использовать показания при расчете размера платы за коммунальные ресурсы, потребленные в расчетном периоде.</w:t>
      </w:r>
    </w:p>
    <w:p>
      <w:pPr>
        <w:pStyle w:val="ListParagraph"/>
        <w:tabs>
          <w:tab w:val="left" w:pos="142" w:leader="none"/>
        </w:tabs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ab/>
        <w:t>В случае невозможности снятия показаний прибора учета с использованием автоматизированной системы дистанционного снятия  показаний, ТСО информирует Потребителя в течение суток любым доступным способом, подтверждающим факт передачи информации.</w:t>
      </w:r>
    </w:p>
    <w:p>
      <w:pPr>
        <w:pStyle w:val="Normal"/>
        <w:ind w:left="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0"/>
          <w:numId w:val="1"/>
        </w:numPr>
        <w:ind w:left="357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ОБЯЗАННОСТИ И ПРАВА ПОТРЕБИТЕЛЯ.</w:t>
      </w:r>
    </w:p>
    <w:p>
      <w:pPr>
        <w:pStyle w:val="ListParagraph"/>
        <w:ind w:left="585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1"/>
          <w:numId w:val="1"/>
        </w:numPr>
        <w:ind w:left="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Потребитель обязуется: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Оплачивать стоимость потребленной тепловой энергии (мощности) и (или) теплоносителя, и (или) горячей воды за расчетный период в порядке, сроки и размере, предусмотренном настоящим договором.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Предоставлять данные  о плановом количестве тепловой энергии (мощности) и (или) теплоносителя, и (или) горячей воды на новый календарный год не позднее 01 марта текущего года. 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Представлять до 01 сентября ежегодно «Акт готовности потребителя к пользованию тепловой энергией (мощностью) и (или) теплоносителем в отопительный период» (технической возможности систем теплопотребления), а  также перечень ответственных лиц.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pacing w:val="5"/>
          <w:sz w:val="22"/>
          <w:szCs w:val="22"/>
        </w:rPr>
        <w:t xml:space="preserve">Обеспечивать исправное состояние узла (прибора) учета, </w:t>
      </w:r>
      <w:r>
        <w:rPr>
          <w:bCs/>
          <w:sz w:val="22"/>
          <w:szCs w:val="22"/>
        </w:rPr>
        <w:t>а также обеспечить сохранность пломб и знаков поверки на приборах учета (узлах учета), кранах и задвижках на их обводах и других устройствах, находящихся в границах эксплуатационной ответственности Потребителя</w:t>
      </w:r>
      <w:r>
        <w:rPr>
          <w:spacing w:val="-2"/>
          <w:sz w:val="22"/>
          <w:szCs w:val="22"/>
        </w:rPr>
        <w:t>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В случае временного выхода прибора учета из эксплуатации или утраты, обеспечить восстановление работоспособности прибора учета в течение 15 суток, с момента выхода его из строя,</w:t>
      </w:r>
      <w:r>
        <w:rPr>
          <w:spacing w:val="6"/>
          <w:sz w:val="22"/>
          <w:szCs w:val="22"/>
        </w:rPr>
        <w:t xml:space="preserve"> в соответствии с техническими условиями, выданными </w:t>
      </w:r>
      <w:r>
        <w:rPr>
          <w:spacing w:val="-2"/>
          <w:sz w:val="22"/>
          <w:szCs w:val="22"/>
        </w:rPr>
        <w:t>ТСО и согласованным с ней проектом.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pacing w:val="-2"/>
          <w:sz w:val="22"/>
          <w:szCs w:val="22"/>
        </w:rPr>
        <w:t>В</w:t>
      </w:r>
      <w:r>
        <w:rPr>
          <w:sz w:val="22"/>
          <w:szCs w:val="22"/>
        </w:rPr>
        <w:t xml:space="preserve"> случае не восстановления работы прибора учета в течение 2-х месяцев ТСО самостоятельно выполняет работы по ремонту (обслуживанию) прибора учета с последующим предъявлением понесенных затрат за выполненный объем работ. Потребитель обязан возместить затраты за выполненные работы в течение 30 дней с момента получения Акта выполненных работ от ТСО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pacing w:val="-1"/>
          <w:sz w:val="22"/>
          <w:szCs w:val="22"/>
        </w:rPr>
        <w:t>Незамедлительно в день обнаружения сообщать в диспетчерский пункт ТСО:</w:t>
      </w:r>
    </w:p>
    <w:p>
      <w:pPr>
        <w:pStyle w:val="Normal"/>
        <w:tabs>
          <w:tab w:val="left" w:pos="142" w:leader="none"/>
        </w:tabs>
        <w:suppressAutoHyphens w:val="true"/>
        <w:ind w:left="0" w:hanging="0"/>
        <w:rPr>
          <w:sz w:val="22"/>
          <w:szCs w:val="22"/>
        </w:rPr>
      </w:pPr>
      <w:r>
        <w:rPr>
          <w:spacing w:val="-1"/>
          <w:sz w:val="22"/>
          <w:szCs w:val="22"/>
        </w:rPr>
        <w:t>- </w:t>
        <w:tab/>
        <w:t>об обнаружении утечек (ликвидации аварии);</w:t>
      </w:r>
    </w:p>
    <w:p>
      <w:pPr>
        <w:pStyle w:val="Normal"/>
        <w:tabs>
          <w:tab w:val="left" w:pos="142" w:leader="none"/>
        </w:tabs>
        <w:suppressAutoHyphens w:val="true"/>
        <w:ind w:left="0" w:hanging="0"/>
        <w:rPr>
          <w:sz w:val="22"/>
          <w:szCs w:val="22"/>
        </w:rPr>
      </w:pPr>
      <w:r>
        <w:rPr>
          <w:spacing w:val="-1"/>
          <w:sz w:val="22"/>
          <w:szCs w:val="22"/>
        </w:rPr>
        <w:t>- </w:t>
        <w:tab/>
        <w:t>о неисправностях в работе и механических повреждениях узла (прибора) учета;</w:t>
      </w:r>
    </w:p>
    <w:p>
      <w:pPr>
        <w:pStyle w:val="Normal"/>
        <w:tabs>
          <w:tab w:val="left" w:pos="142" w:leader="none"/>
        </w:tabs>
        <w:suppressAutoHyphens w:val="true"/>
        <w:ind w:left="0" w:hanging="0"/>
        <w:rPr>
          <w:sz w:val="22"/>
          <w:szCs w:val="22"/>
        </w:rPr>
      </w:pPr>
      <w:r>
        <w:rPr>
          <w:spacing w:val="-1"/>
          <w:sz w:val="22"/>
          <w:szCs w:val="22"/>
        </w:rPr>
        <w:t>- </w:t>
        <w:tab/>
        <w:t>о нарушениях целостности пломб и повреждении приборов узла (прибора) учета;</w:t>
      </w:r>
    </w:p>
    <w:p>
      <w:pPr>
        <w:pStyle w:val="Normal"/>
        <w:tabs>
          <w:tab w:val="left" w:pos="142" w:leader="none"/>
        </w:tabs>
        <w:suppressAutoHyphens w:val="true"/>
        <w:ind w:left="0" w:hanging="0"/>
        <w:rPr>
          <w:sz w:val="22"/>
          <w:szCs w:val="22"/>
        </w:rPr>
      </w:pPr>
      <w:r>
        <w:rPr>
          <w:spacing w:val="-1"/>
          <w:sz w:val="22"/>
          <w:szCs w:val="22"/>
        </w:rPr>
        <w:t>- </w:t>
        <w:tab/>
        <w:t>об авариях, пожарах и иных нарушениях (в том числе и в случае обнаружения источника загрязнения теплоносителя), возникающих при эксплуатации систем теплопотребления Потребителя, узла (прибора) учета и автоматики;</w:t>
      </w:r>
    </w:p>
    <w:p>
      <w:pPr>
        <w:pStyle w:val="Normal"/>
        <w:tabs>
          <w:tab w:val="left" w:pos="142" w:leader="none"/>
        </w:tabs>
        <w:suppressAutoHyphens w:val="true"/>
        <w:ind w:left="0" w:hanging="0"/>
        <w:rPr>
          <w:spacing w:val="-1"/>
          <w:sz w:val="22"/>
          <w:szCs w:val="22"/>
        </w:rPr>
      </w:pPr>
      <w:r>
        <w:rPr>
          <w:spacing w:val="-1"/>
          <w:sz w:val="22"/>
          <w:szCs w:val="22"/>
        </w:rPr>
        <w:t>- </w:t>
        <w:tab/>
        <w:t>об изменении режимов теплопотребления.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При наличии автоматизированной системы дистанционного снятия показаний, принадлежащей Потребителю, предоставить ТСО доступ к данной системе для снятия показаний. </w:t>
      </w:r>
    </w:p>
    <w:p>
      <w:pPr>
        <w:pStyle w:val="Normal"/>
        <w:ind w:left="0" w:firstLine="720"/>
        <w:rPr>
          <w:sz w:val="22"/>
          <w:szCs w:val="22"/>
        </w:rPr>
      </w:pPr>
      <w:r>
        <w:rPr>
          <w:sz w:val="22"/>
          <w:szCs w:val="22"/>
        </w:rPr>
        <w:t>При снятии ТСО показаний приборов учета тепловой энергии и (или) теплоносителя, и (или) горячей воды с использованием автоматизированной системы дистанционного снятия показаний, принимать данные показания при расчетах за коммунальные ресурсы, потребленные в расчетном периоде.</w:t>
      </w:r>
    </w:p>
    <w:p>
      <w:pPr>
        <w:pStyle w:val="Normal"/>
        <w:ind w:left="0" w:firstLine="720"/>
        <w:rPr>
          <w:sz w:val="22"/>
          <w:szCs w:val="22"/>
        </w:rPr>
      </w:pPr>
      <w:r>
        <w:rPr>
          <w:sz w:val="22"/>
          <w:szCs w:val="22"/>
        </w:rPr>
        <w:t>В случае получения от ТСО сообщения о невозможности снятия показаний прибора учета с использованием автоматизированной системы дистанционного снятия показаний, предоставлять информацию о количестве потребленных коммунальных ресурсов за расчетный период в соответствии с настоящим договором.</w:t>
      </w:r>
    </w:p>
    <w:p>
      <w:pPr>
        <w:pStyle w:val="Normal"/>
        <w:ind w:left="0" w:firstLine="720"/>
        <w:rPr>
          <w:sz w:val="22"/>
          <w:szCs w:val="22"/>
        </w:rPr>
      </w:pPr>
      <w:r>
        <w:rPr>
          <w:sz w:val="22"/>
          <w:szCs w:val="22"/>
        </w:rPr>
        <w:t>При выявлении неисправностей в работе автоматизированной системы дистанционного снятия показаний незамедлительно извещать ТСО любым доступным способом, подтверждающим факт передачи информации.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pacing w:val="-1"/>
          <w:sz w:val="22"/>
          <w:szCs w:val="22"/>
        </w:rPr>
        <w:t xml:space="preserve">Обеспечивать беспрепятственный доступ (при предварительном уведомлении </w:t>
      </w:r>
      <w:r>
        <w:rPr>
          <w:sz w:val="22"/>
          <w:szCs w:val="22"/>
        </w:rPr>
        <w:t>Потребителя) представителей ТСО к теплопотребляющим установкам и узлу (прибору) учета с целью проверки условий их эксплуатации и сохранности и снятия контрольных показаний, установке системы диспетчеризации в случае инициативы РСО в установке такого оборудования, а также в любое время при несоблюдении режима потребления тепловой энергии (мощности) и (или) теплоносителя, и (или) горячей воды или подачи недостоверных показаний приборов.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Выполнять предписания ТСО в отношении режима потребления тепловой энергии (мощности) и (или) теплоносителя, и (или) горячей воды, нести ответственность за сохранность, изоляцию сооружений, коммуникаций и тепловых установок, находящихся на территории Потребителя, но принадлежащих ТСО.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Соблюдать условия договора о количестве, качестве и значениях термодинамических параметров возвращаемого теплоносителя, не допускать загрязнения теплоносителя (сетевой воды).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За самовольное подключение систем теплопотребления или подключение их до приборов учета оплачивать ТСО стоимость бездоговорного, безучетного потребления </w:t>
      </w:r>
      <w:r>
        <w:rPr>
          <w:sz w:val="22"/>
          <w:szCs w:val="22"/>
        </w:rPr>
        <w:t>тепловой энергии (мощности) и (или) теплоносителя, и (или) горячей воды</w:t>
      </w:r>
      <w:r>
        <w:rPr>
          <w:bCs/>
          <w:sz w:val="22"/>
          <w:szCs w:val="22"/>
        </w:rPr>
        <w:t>, рассчитанную в соответствии с нормативными документами, за период с даты предыдущей проверки, а при невозможности установить дату, за период исковой давности, по тарифам, действующим на момент обнаружения факта бездоговорного, безучетного потребления.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В случае выявления нарушения Потребителем режима потребления тепловой энергии (мощности) и (или) теплоносителя, и (или) горячей воды при условии отсутствия у Потребителя коммерческого учета тепловой энергии (мощности) и (или) теплоносителя, и (или) горячей воды, Потребитель обязан оплатить ТСО объем сверхдоговорного, бездоговорного, безучетного потребления или потребления с нарушением режима потребления с применением к тарифам в сфере теплоснабжения повышающих коэффициентов, установленных в соответствии с действующим законодательством РФ.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Сдавать узел (приборы) учета на коммерческий учет перед началом каждого отопительного периода.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Вместе с отчетом о показаниях прибора учета Потребитель представляет данные о часовых и суточных значениях параметров в электронном виде (в одном из следующих форматов: .</w:t>
      </w:r>
      <w:r>
        <w:rPr>
          <w:sz w:val="22"/>
          <w:szCs w:val="22"/>
          <w:lang w:val="en-US"/>
        </w:rPr>
        <w:t>bin</w:t>
      </w:r>
      <w:r>
        <w:rPr>
          <w:sz w:val="22"/>
          <w:szCs w:val="22"/>
        </w:rPr>
        <w:t>, 7</w:t>
      </w:r>
      <w:r>
        <w:rPr>
          <w:sz w:val="22"/>
          <w:szCs w:val="22"/>
          <w:lang w:val="en-US"/>
        </w:rPr>
        <w:t>kt</w:t>
      </w:r>
      <w:r>
        <w:rPr>
          <w:sz w:val="22"/>
          <w:szCs w:val="22"/>
        </w:rPr>
        <w:t>, .</w:t>
      </w:r>
      <w:r>
        <w:rPr>
          <w:sz w:val="22"/>
          <w:szCs w:val="22"/>
          <w:lang w:val="en-US"/>
        </w:rPr>
        <w:t>dtt</w:t>
      </w:r>
      <w:r>
        <w:rPr>
          <w:sz w:val="22"/>
          <w:szCs w:val="22"/>
        </w:rPr>
        <w:t>, .</w:t>
      </w:r>
      <w:r>
        <w:rPr>
          <w:sz w:val="22"/>
          <w:szCs w:val="22"/>
          <w:lang w:val="en-US"/>
        </w:rPr>
        <w:t>np</w:t>
      </w:r>
      <w:r>
        <w:rPr>
          <w:sz w:val="22"/>
          <w:szCs w:val="22"/>
        </w:rPr>
        <w:t>3, .</w:t>
      </w:r>
      <w:r>
        <w:rPr>
          <w:sz w:val="22"/>
          <w:szCs w:val="22"/>
          <w:lang w:val="en-US"/>
        </w:rPr>
        <w:t>xls</w:t>
      </w:r>
      <w:r>
        <w:rPr>
          <w:sz w:val="22"/>
          <w:szCs w:val="22"/>
        </w:rPr>
        <w:t>, или на переносчике архивных данных), а также другие материалы и сведения, касающиеся организации и ведения учета потребления за текущий месяц (журнал учета тепловой энергии (мощности) и (или) теплоносителя, и (или) горячей воды, паспорта приборов, номер модема, показания приборов, нефиксируемых в архиве тепловычислителя и т.д.).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Своевременно производить плановый предупредительный ремонт, испытания теплопроводов, теплопотребляющего оборудования, запорной и регулирующей арматуры, согласовывая с ТСО объём, сроки и графики ремонта.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При плановых отключениях, ремонтных, профилактических работах и других отключениях Потребитель обязан письменно уведомлять ТСО за 3 дня до начала работ. 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В случае включения и отключения объекта, не запланированного ТСО, возмещать расходы, связанные с включением и отключением объектов.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Потребитель возмещает ТСО стоимость повышенного расхода тепловой энергии (мощности) и (или) теплоносителя, и (или) горячей воды связанных с авариями и (или) технологическими отказами на сетях и во внутренних системах Потребителя, определенного на основании показаний приборов учета или по расчету ТСО по действующим тарифам.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Включение отремонтированных систем теплопотребления или их отдельных частей после планового или аварийного ремонта, а также новых объектов производить с письменного разрешения и в присутствии представителя ТСО с подписанием двустороннего акта.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Включение Потребителя в начале отопительного периода производится в соответствии с постановлением Главы муниципального образования (округа) «О начале отопительного сезона», при выполнении следующих условий: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наличие письменной заявки Потребителя;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наличие подписанного «Акта готовности потребителя к пользованию тепловой энергией (мощностью) и (или) теплоносителем в отопительный период»;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оплата авансового счета;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отсутствие дебиторской задолженности.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Отключение теплоснабжения в конце отопительного периода производится в соответствии с постановлением Главы муниципального образования (округа) «Об окончании отопительного сезона».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Внеплановое отключение теплоснабжения (до окончания отопительного периода (сезона) производится на основании заявки Потребителя, при условии, что она подана не позднее, чем за 10 дней до планируемой даты отключения, с составлением акта между ТСО и Потребителем.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Не допускать в охранных зонах теплотрасс возведение построек, складирования  материалов, посадки деревьев на расстоянии менее 5 м от теплопроводов, производства земляных работ без разрешения ТСО, а также нахождения людей в помещениях, по которым проходят магистральные теплопроводы.</w:t>
      </w:r>
    </w:p>
    <w:p>
      <w:pPr>
        <w:pStyle w:val="Normal"/>
        <w:tabs>
          <w:tab w:val="left" w:pos="567" w:leader="none"/>
        </w:tabs>
        <w:ind w:left="0" w:hanging="0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При несоблюдении условий настоящего пункта Потребитель возмещает ТСО все убытки, причиненные неисполнением обязательств по договору в соответствии с действующим законодательством РФ. </w:t>
      </w:r>
    </w:p>
    <w:p>
      <w:pPr>
        <w:pStyle w:val="ListParagraph"/>
        <w:numPr>
          <w:ilvl w:val="2"/>
          <w:numId w:val="1"/>
        </w:numPr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Поддерживать на границе раздела балансовой принадлежности тепловых сетей и (или) эксплуатационной ответственности сторон значения показателей качества тепловой энергии</w:t>
      </w:r>
      <w:r>
        <w:rPr>
          <w:sz w:val="22"/>
          <w:szCs w:val="22"/>
        </w:rPr>
        <w:t xml:space="preserve"> (мощности) и (или) теплоносителя, и (или) горячей воды</w:t>
      </w:r>
      <w:r>
        <w:rPr>
          <w:bCs/>
          <w:sz w:val="22"/>
          <w:szCs w:val="22"/>
        </w:rPr>
        <w:t xml:space="preserve"> в соответствии с п.4.5.</w:t>
      </w:r>
    </w:p>
    <w:p>
      <w:pPr>
        <w:pStyle w:val="ListParagraph"/>
        <w:numPr>
          <w:ilvl w:val="2"/>
          <w:numId w:val="1"/>
        </w:numPr>
        <w:ind w:left="0" w:hanging="0"/>
        <w:rPr/>
      </w:pPr>
      <w:r>
        <w:rPr>
          <w:bCs/>
          <w:sz w:val="22"/>
          <w:szCs w:val="22"/>
        </w:rPr>
        <w:t>Включение и выключение тепловых пунктов, систем теплопотребления, принадлежащих Потребителю, а так же установление расхода теплоносителя производится персоналом Потребителя с разрешения диспетчера и под контролем персонала теплоснабжающей организации.</w:t>
      </w:r>
    </w:p>
    <w:p>
      <w:pPr>
        <w:pStyle w:val="ListParagraph"/>
        <w:numPr>
          <w:ilvl w:val="2"/>
          <w:numId w:val="1"/>
        </w:numPr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Следить за теплоизоляцией трубопроводов, гидроизоляцией ввода тепловых сетей, находящихся в ведении Потребителя, и выполнять за свой счет мероприятия исключающие попадание воды в подвальные, полуподвальные и другие помещения.</w:t>
      </w:r>
    </w:p>
    <w:p>
      <w:pPr>
        <w:pStyle w:val="ListParagraph"/>
        <w:numPr>
          <w:ilvl w:val="2"/>
          <w:numId w:val="1"/>
        </w:numPr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Передавать тепловую энергию</w:t>
      </w:r>
      <w:r>
        <w:rPr>
          <w:sz w:val="22"/>
          <w:szCs w:val="22"/>
        </w:rPr>
        <w:t xml:space="preserve"> (мощность) и (или) теплоноситель, и (или) горячую воду </w:t>
      </w:r>
      <w:r>
        <w:rPr>
          <w:bCs/>
          <w:sz w:val="22"/>
          <w:szCs w:val="22"/>
        </w:rPr>
        <w:t>субабонентам, присоединенным к сетям Потребителя, только с письменного разрешения ТСО после внесения соответствующих изменений в настоящий договор.</w:t>
      </w:r>
    </w:p>
    <w:p>
      <w:pPr>
        <w:pStyle w:val="ListParagraph"/>
        <w:numPr>
          <w:ilvl w:val="2"/>
          <w:numId w:val="1"/>
        </w:numPr>
        <w:ind w:left="0" w:hanging="0"/>
        <w:rPr>
          <w:bCs/>
          <w:sz w:val="22"/>
          <w:szCs w:val="22"/>
        </w:rPr>
      </w:pPr>
      <w:r>
        <w:rPr>
          <w:bCs/>
          <w:sz w:val="22"/>
          <w:szCs w:val="22"/>
        </w:rPr>
        <w:t>При отчуждении объектов (освобождении  занимаемого помещения или прекращении деятельности):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за 30 дней направить письмо в ТСО о прекращении действия настоящего договора;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-</w:t>
        <w:tab/>
        <w:t>при выезде из занимаемого помещения Потребитель обязан уплатить задолженность за полученную тепловую энергию (мощность) и (или) теплоноситель, и (или) горячую воду и представить ТСО 2-хсторонний акт передачи объекта теплопотребления новому Потребителю, оформленный надлежащим образом.</w:t>
      </w:r>
    </w:p>
    <w:p>
      <w:pPr>
        <w:pStyle w:val="ListParagraph"/>
        <w:numPr>
          <w:ilvl w:val="2"/>
          <w:numId w:val="1"/>
        </w:numPr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 десятидневный срок с даты изменения, уведомлять ТСО об изменении реквизитов, в том числе: своего местонахождения и (или) почтового адреса, банковских реквизитов, наименования, состава субабонентов, изменении режима теплопотребления, а также информации о ликвидации или отчуждении теплоиспользующих установок.</w:t>
      </w:r>
    </w:p>
    <w:p>
      <w:pPr>
        <w:pStyle w:val="ListParagraph"/>
        <w:numPr>
          <w:ilvl w:val="2"/>
          <w:numId w:val="1"/>
        </w:numPr>
        <w:ind w:left="0" w:hanging="0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>Представить в Теплоснабжающую организацию сведения о действующем расчетном счете с соответствующими реквизитами банка. В случае смены банковских реквизитов, уведомить (в течении 3-х рабочих дней) Теплоснабжающую организацию сопроводительным письмом.</w:t>
      </w:r>
    </w:p>
    <w:p>
      <w:pPr>
        <w:pStyle w:val="ListParagraph"/>
        <w:numPr>
          <w:ilvl w:val="1"/>
          <w:numId w:val="1"/>
        </w:numPr>
        <w:ind w:left="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Потребитель имеет право: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С предварительного письменного согласия ТСО присоединять к своей сети  субабонентов после реализации технических условий на присоединение дополнительной нагрузки. </w:t>
      </w:r>
    </w:p>
    <w:p>
      <w:pPr>
        <w:pStyle w:val="ListParagraph"/>
        <w:numPr>
          <w:ilvl w:val="2"/>
          <w:numId w:val="1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Представлять заявки на изменение объема теплопотребления в порядке, предусмотренном п.22, гл.</w:t>
      </w:r>
      <w:r>
        <w:rPr>
          <w:sz w:val="22"/>
          <w:szCs w:val="22"/>
          <w:lang w:val="en-US"/>
        </w:rPr>
        <w:t>III</w:t>
      </w:r>
      <w:r>
        <w:rPr>
          <w:sz w:val="22"/>
          <w:szCs w:val="22"/>
        </w:rPr>
        <w:t xml:space="preserve"> Правил организации теплоснабжения в Российской Федерации, утвержденных Постановлением Правительства Российской Федерации от 08.08.2012 № 808.  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Заявки на корректировку объема в сторону увеличения рассматриваются ТСО при отсутствии дебиторской задолженности за потребленную тепловую энергию (мощность) и (или) теплоноситель, и (или) горячую воду.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Требовать поддержания показателей качества тепловой энергии (мощности) и (или) теплоносителя, и (или) горячей воды на границе раздела балансовой принадлежности тепловых сетей и (или) эксплуатационной ответственности сторон в соответствии с настоящим </w:t>
      </w:r>
      <w:r>
        <w:rPr>
          <w:spacing w:val="-2"/>
          <w:sz w:val="22"/>
          <w:szCs w:val="22"/>
        </w:rPr>
        <w:t>договором.</w:t>
      </w:r>
    </w:p>
    <w:p>
      <w:pPr>
        <w:pStyle w:val="ListParagraph"/>
        <w:widowControl w:val="false"/>
        <w:suppressLineNumbers/>
        <w:ind w:left="0" w:firstLine="720"/>
        <w:rPr>
          <w:sz w:val="22"/>
          <w:szCs w:val="22"/>
        </w:rPr>
      </w:pPr>
      <w:r>
        <w:rPr>
          <w:spacing w:val="-2"/>
          <w:sz w:val="22"/>
          <w:szCs w:val="22"/>
        </w:rPr>
        <w:t xml:space="preserve">В случае отклонения параметров </w:t>
      </w:r>
      <w:r>
        <w:rPr>
          <w:sz w:val="22"/>
          <w:szCs w:val="22"/>
        </w:rPr>
        <w:t xml:space="preserve">тепловой энергии (мощности) и (или) теплоносителя, и (или) горячей воды </w:t>
      </w:r>
      <w:r>
        <w:rPr>
          <w:spacing w:val="-2"/>
          <w:sz w:val="22"/>
          <w:szCs w:val="22"/>
        </w:rPr>
        <w:t xml:space="preserve">от показателей качества, предусмотренных настоящим контрактом, стороны подписывают 2-х сторонний акт по результатам проверки параметров </w:t>
      </w:r>
      <w:r>
        <w:rPr>
          <w:sz w:val="22"/>
          <w:szCs w:val="22"/>
        </w:rPr>
        <w:t>тепловой энергии (мощности) и (или) теплоносителя, и (или) горячей воды в точке поставки.</w:t>
      </w:r>
    </w:p>
    <w:p>
      <w:pPr>
        <w:pStyle w:val="ListParagraph"/>
        <w:widowControl w:val="false"/>
        <w:numPr>
          <w:ilvl w:val="2"/>
          <w:numId w:val="1"/>
        </w:numPr>
        <w:suppressLineNumbers/>
        <w:ind w:left="0" w:hanging="0"/>
        <w:rPr>
          <w:sz w:val="22"/>
          <w:szCs w:val="22"/>
        </w:rPr>
      </w:pPr>
      <w:r>
        <w:rPr>
          <w:spacing w:val="1"/>
          <w:sz w:val="22"/>
          <w:szCs w:val="22"/>
        </w:rPr>
        <w:t xml:space="preserve">Пользоваться другими правами, предусмотренными настоящим договором </w:t>
      </w:r>
      <w:r>
        <w:rPr>
          <w:spacing w:val="-1"/>
          <w:sz w:val="22"/>
          <w:szCs w:val="22"/>
        </w:rPr>
        <w:t>и законодательством РФ.</w:t>
      </w:r>
    </w:p>
    <w:p>
      <w:pPr>
        <w:pStyle w:val="ListParagraph"/>
        <w:widowControl w:val="false"/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widowControl w:val="false"/>
        <w:numPr>
          <w:ilvl w:val="0"/>
          <w:numId w:val="1"/>
        </w:numPr>
        <w:suppressAutoHyphens w:val="true"/>
        <w:ind w:left="0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ПОРЯДОК УЧЕТА И ОПРЕДЕЛЕНИЯ ОБЪЕМА.</w:t>
      </w:r>
    </w:p>
    <w:p>
      <w:pPr>
        <w:pStyle w:val="ListParagraph"/>
        <w:widowControl w:val="false"/>
        <w:suppressAutoHyphens w:val="true"/>
        <w:ind w:left="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1"/>
          <w:numId w:val="8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Учет отпускаемой тепловой энергии (мощности) и (или) теплоносителя, и (или) горячей воды производится в соответствии с </w:t>
      </w:r>
      <w:r>
        <w:rPr>
          <w:bCs/>
          <w:sz w:val="22"/>
          <w:szCs w:val="22"/>
        </w:rPr>
        <w:t>Постановлением Правительства РФ от 18 ноября 2013 г. № 1034 «О коммерческом учете тепловой энергии, теплоносителя»</w:t>
      </w:r>
      <w:r>
        <w:rPr>
          <w:sz w:val="22"/>
          <w:szCs w:val="22"/>
        </w:rPr>
        <w:t>, а так же Постановлением Правительства РФ от 04 сентября 2013 г. № 776 «Правила организации коммерческого учета воды…» (в зависимости от типа системы теплоснабжения).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При отсутствии прибора учета расчет величины потребленной тепловой энергии (мощности) и (или) теплоносителя, и (или) горячей воды, производится: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- для  административных зданий в соответствии с Методикой осуществления коммерческого учета тепловой энергии и теплоносителя, утвержденной Приказом Минстроя России от 17.03.2014 N 99/пр «Об утверждении Методики осуществления коммерческого учета тепловой энергии, теплоносителя» (Зарегистрировано в Минюсте России 12.09.2014 N 34040);</w:t>
      </w:r>
    </w:p>
    <w:p>
      <w:pPr>
        <w:pStyle w:val="Normal"/>
        <w:ind w:left="0" w:hanging="0"/>
        <w:rPr/>
      </w:pPr>
      <w:r>
        <w:rPr>
          <w:sz w:val="22"/>
          <w:szCs w:val="22"/>
        </w:rPr>
        <w:t xml:space="preserve">- для нежилого помещения, расположенного в многоквартирном жилом доме, величина потребленной тепловой энергии  определяется в соответствии с </w:t>
      </w:r>
      <w:hyperlink w:anchor="Par957">
        <w:r>
          <w:rPr>
            <w:rStyle w:val="Style9"/>
            <w:sz w:val="22"/>
            <w:szCs w:val="22"/>
          </w:rPr>
          <w:t xml:space="preserve">формулами, указанными </w:t>
        </w:r>
      </w:hyperlink>
      <w:hyperlink w:anchor="Par963">
        <w:r>
          <w:rPr>
            <w:rStyle w:val="Style9"/>
            <w:sz w:val="22"/>
            <w:szCs w:val="22"/>
          </w:rPr>
          <w:t>в</w:t>
        </w:r>
      </w:hyperlink>
      <w:r>
        <w:rPr>
          <w:sz w:val="22"/>
          <w:szCs w:val="22"/>
        </w:rPr>
        <w:t xml:space="preserve"> приложении N 2 к «Правилам предоставления коммунальных услуг…» (далее - Правила), утвержденным постановлением Правительства РФ от 06.05.2012 № 354, исходя из расчетной величины потребления тепловой энергии, равной применяемому в таком многоквартирном доме нормативу потребления коммунальной услуги отопления.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ab/>
        <w:t>Величина потребленного теплоносителя и (или) горячей воды определяется на основании расчетной величины расхода теплоносителя для нужд горячего водоснабжения, и (или) горячей воды в соответствии с нормой водопотребления, утвержденной органом местного самоуправления, при отсутствии утвержденной нормы, согласно СНиП 2.04.01-85*«Внутренний водопровод и канализация зданий» по тарифу, установленному уполномоченным государственным органом.</w:t>
      </w:r>
    </w:p>
    <w:p>
      <w:pPr>
        <w:pStyle w:val="Normal"/>
        <w:widowControl w:val="false"/>
        <w:ind w:left="0" w:firstLine="714"/>
        <w:rPr>
          <w:sz w:val="22"/>
          <w:szCs w:val="22"/>
        </w:rPr>
      </w:pPr>
      <w:r>
        <w:rPr>
          <w:sz w:val="22"/>
          <w:szCs w:val="22"/>
        </w:rPr>
        <w:tab/>
        <w:t>Величина потерь тепловой энергии (мощности) и (или) теплоносителя, и (или) горячей воды по тепловым сетям, принадлежащим Потребителю рассчитывается на основании Приказа Министерства энергетики РФ от 30.12.2008 № 325 «Об утверждении порядка определении нормативов технологических потерь при передаче тепловой энергии, теплоносителя», зарегистрированного в Минюсте России 16.03.2009 № 13513.</w:t>
      </w:r>
    </w:p>
    <w:p>
      <w:pPr>
        <w:pStyle w:val="ListParagraph"/>
        <w:widowControl w:val="false"/>
        <w:numPr>
          <w:ilvl w:val="1"/>
          <w:numId w:val="8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Учет принятой Потребителем тепловой энергии (мощности) и (или) теплоносителя, и (или) горячей воды осуществляется узлами (приборами) учета, установленными в точке учета и допущенными в эксплуатацию в качестве коммерческих в соответствии с требованиями Правил коммерческого учета тепловой энергии и теплоносителя, а так же Правил организации коммерческого учета воды. </w:t>
      </w:r>
    </w:p>
    <w:p>
      <w:pPr>
        <w:pStyle w:val="ListParagraph"/>
        <w:widowControl w:val="false"/>
        <w:numPr>
          <w:ilvl w:val="1"/>
          <w:numId w:val="8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При установке узла (прибора) учета тепловой энергии (мощности) и (или) теплоносителя, и (или) горячей воды не в точке поставки, количество учтенной тепловой энергии (мощности) и (или) теплоносителя, и (или) горячей воды увеличивается на величину потерь тепловой энергии (мощности) и (или) теплоносителя, и (или) горячей воды от места установки узла учета до границы раздела балансовой принадлежности сетей</w:t>
      </w:r>
      <w:r>
        <w:rPr>
          <w:spacing w:val="9"/>
          <w:sz w:val="22"/>
          <w:szCs w:val="22"/>
        </w:rPr>
        <w:t>.</w:t>
      </w:r>
    </w:p>
    <w:p>
      <w:pPr>
        <w:pStyle w:val="ListParagraph"/>
        <w:widowControl w:val="false"/>
        <w:numPr>
          <w:ilvl w:val="1"/>
          <w:numId w:val="8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>Перечень точек учета и узлов (приборов) учета тепловой энергии (мощности) и (или) теплоносителя, и (или) горячей воды, принадлежащих Потребителю, по которым производится расчет за потребленную тепловую энергию (мощность) и (или) теплоноситель, и (или) горячую воду, с указанием технических данных узлов (приборов) учета содержится в Приложении №5.</w:t>
      </w:r>
    </w:p>
    <w:p>
      <w:pPr>
        <w:pStyle w:val="ListParagraph"/>
        <w:widowControl w:val="false"/>
        <w:numPr>
          <w:ilvl w:val="1"/>
          <w:numId w:val="8"/>
        </w:numPr>
        <w:suppressLineNumbers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Снятие показаний узла (прибора) учета производится ежемесячно в согласованную с Потребителем дату </w:t>
      </w:r>
      <w:r>
        <w:rPr>
          <w:b/>
          <w:sz w:val="22"/>
          <w:szCs w:val="22"/>
          <w:highlight w:val="yellow"/>
        </w:rPr>
        <w:t>___</w:t>
      </w:r>
      <w:r>
        <w:rPr>
          <w:b/>
          <w:sz w:val="22"/>
          <w:szCs w:val="22"/>
        </w:rPr>
        <w:t xml:space="preserve"> числа</w:t>
      </w:r>
      <w:r>
        <w:rPr>
          <w:sz w:val="22"/>
          <w:szCs w:val="22"/>
        </w:rPr>
        <w:t>. Расчет за потребленную тепловую энергию (мощность) и (или) теплоноситель, и (или) горячую воду производится по показаниям прибора учета с составлением акта. Дата снятия показаний прибора учета не должна превышать 48 часов со дня отчетного снятия показаний предыдущего месяца.</w:t>
      </w:r>
    </w:p>
    <w:p>
      <w:pPr>
        <w:pStyle w:val="Normal"/>
        <w:widowControl w:val="false"/>
        <w:numPr>
          <w:ilvl w:val="1"/>
          <w:numId w:val="8"/>
        </w:numPr>
        <w:suppressLineNumbers/>
        <w:tabs>
          <w:tab w:val="left" w:pos="709" w:leader="none"/>
        </w:tabs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В случае выхода из строя приборов учета расчет потребления тепловой энергии (мощности) и (или) теплоносителя, и (или) горячей воды, по истечении сроков государственной поверки прибора учета, ТСО производит в следующем порядке:</w:t>
      </w:r>
    </w:p>
    <w:p>
      <w:pPr>
        <w:pStyle w:val="ListParagraph"/>
        <w:numPr>
          <w:ilvl w:val="0"/>
          <w:numId w:val="6"/>
        </w:numPr>
        <w:ind w:left="0" w:firstLine="360"/>
        <w:rPr>
          <w:sz w:val="22"/>
          <w:szCs w:val="22"/>
        </w:rPr>
      </w:pPr>
      <w:r>
        <w:rPr>
          <w:sz w:val="22"/>
          <w:szCs w:val="22"/>
        </w:rPr>
        <w:t xml:space="preserve">При неисправности приборов учета, истечении срока их  поверки, включая вывод из работы для ремонта или поверки </w:t>
      </w:r>
      <w:r>
        <w:rPr>
          <w:b/>
          <w:sz w:val="22"/>
          <w:szCs w:val="22"/>
          <w:u w:val="single"/>
        </w:rPr>
        <w:t>на срок до  15 суток</w:t>
      </w:r>
      <w:r>
        <w:rPr>
          <w:sz w:val="22"/>
          <w:szCs w:val="22"/>
        </w:rPr>
        <w:t>, в качестве базового показателя для расчета тепловой энергии (мощности) и (или) теплоносителя принимается среднесуточное количество тепловой энергии (мощности) и (или) теплоносителя, определенное по приборам учета за время штатной работы в  отчетный период, приведенное к расчетной температуре наружного воздуха при условии своевременного уведомления ТСО о выходе из строя приборов учета;</w:t>
      </w:r>
    </w:p>
    <w:p>
      <w:pPr>
        <w:pStyle w:val="ListParagraph"/>
        <w:numPr>
          <w:ilvl w:val="0"/>
          <w:numId w:val="6"/>
        </w:numPr>
        <w:ind w:left="0" w:firstLine="360"/>
        <w:rPr>
          <w:sz w:val="22"/>
          <w:szCs w:val="22"/>
        </w:rPr>
      </w:pPr>
      <w:r>
        <w:rPr>
          <w:sz w:val="22"/>
          <w:szCs w:val="22"/>
        </w:rPr>
        <w:t xml:space="preserve">При отсутствии в точках учета приборов учета или работы приборов учета </w:t>
      </w:r>
      <w:r>
        <w:rPr>
          <w:b/>
          <w:sz w:val="22"/>
          <w:szCs w:val="22"/>
          <w:u w:val="single"/>
        </w:rPr>
        <w:t>более 15 суток</w:t>
      </w:r>
      <w:r>
        <w:rPr>
          <w:sz w:val="22"/>
          <w:szCs w:val="22"/>
        </w:rPr>
        <w:t xml:space="preserve"> расчетного периода определение количества тепловой энергии, расходуемого на отопление (и вентиляцию), осуществляется расчетным путем и основывается на пересчете базового показателя (указаны в Приложении №1) по изменению температуры наружного воздуха за весь расчетный период</w:t>
      </w:r>
    </w:p>
    <w:p>
      <w:pPr>
        <w:pStyle w:val="ListParagraph"/>
        <w:numPr>
          <w:ilvl w:val="0"/>
          <w:numId w:val="7"/>
        </w:numPr>
        <w:ind w:left="0" w:firstLine="360"/>
        <w:rPr>
          <w:sz w:val="22"/>
          <w:szCs w:val="22"/>
        </w:rPr>
      </w:pPr>
      <w:r>
        <w:rPr>
          <w:sz w:val="22"/>
          <w:szCs w:val="22"/>
        </w:rPr>
        <w:t>Количество тепловой энергии (мощности) и теплоносителя, расходуемых на  горячее водоснабжение, при наличии отдельного учета и временной неисправности приборов (</w:t>
      </w:r>
      <w:r>
        <w:rPr>
          <w:b/>
          <w:sz w:val="22"/>
          <w:szCs w:val="22"/>
          <w:u w:val="single"/>
        </w:rPr>
        <w:t>до 30 дней</w:t>
      </w:r>
      <w:r>
        <w:rPr>
          <w:sz w:val="22"/>
          <w:szCs w:val="22"/>
        </w:rPr>
        <w:t xml:space="preserve">) рассчитывается по фактическому расходу, определенному по приборам учета за предыдущий период. </w:t>
      </w:r>
    </w:p>
    <w:p>
      <w:pPr>
        <w:pStyle w:val="ListParagraph"/>
        <w:numPr>
          <w:ilvl w:val="0"/>
          <w:numId w:val="7"/>
        </w:numPr>
        <w:ind w:left="0" w:firstLine="360"/>
        <w:rPr>
          <w:sz w:val="22"/>
          <w:szCs w:val="22"/>
        </w:rPr>
      </w:pPr>
      <w:r>
        <w:rPr>
          <w:sz w:val="22"/>
          <w:szCs w:val="22"/>
        </w:rPr>
        <w:t xml:space="preserve">В случае отсутствия отдельного учета или нерабочего состояния приборов </w:t>
      </w:r>
      <w:r>
        <w:rPr>
          <w:b/>
          <w:sz w:val="22"/>
          <w:szCs w:val="22"/>
          <w:u w:val="single"/>
        </w:rPr>
        <w:t>более 30 дней</w:t>
      </w:r>
      <w:r>
        <w:rPr>
          <w:sz w:val="22"/>
          <w:szCs w:val="22"/>
        </w:rPr>
        <w:t xml:space="preserve"> количество тепловой энергии, теплоносителя, расходуемых на горячее водоснабжение, принимается равным значениям, установленным в договоре теплоснабжения (величина тепловой нагрузки на  горячее водоснабжение). В качестве базового показателя принимается значение тепловой нагрузки, указанное в договоре теплоснабжения (Приложение №1).</w:t>
      </w:r>
    </w:p>
    <w:p>
      <w:pPr>
        <w:pStyle w:val="ListParagraph"/>
        <w:numPr>
          <w:ilvl w:val="0"/>
          <w:numId w:val="7"/>
        </w:numPr>
        <w:ind w:left="0" w:firstLine="360"/>
        <w:rPr/>
      </w:pPr>
      <w:r>
        <w:rPr>
          <w:sz w:val="22"/>
          <w:szCs w:val="22"/>
        </w:rPr>
        <w:t>При нарушении сроков представления показаний приборов или недопущении представителей ТСО для контрольного снятия показаний в  качестве среднесуточного показателя принимается количество тепловой энергии (мощности) и (или) теплоносителя, определенное по приборам учета за предыдущий расчетный период, приведенное к расчетной температуре наружного воздуха.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b/>
          <w:sz w:val="22"/>
          <w:szCs w:val="22"/>
        </w:rPr>
        <w:t>7.7.</w:t>
      </w:r>
      <w:r>
        <w:rPr>
          <w:sz w:val="22"/>
          <w:szCs w:val="22"/>
        </w:rPr>
        <w:t xml:space="preserve"> Количество тепловой энергии (мощности) и (или) теплоносителя, и (или) горячей воды, отпущенные Потребителю за расчетный период, определяется расчетным путем согласно нагрузкам, приведенным в Приложении № 1 в следующих случаях:</w:t>
      </w:r>
    </w:p>
    <w:p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отсутствие в точках учета приборов учета;</w:t>
      </w:r>
    </w:p>
    <w:p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неисправность прибора учета более 30 дней.</w:t>
      </w:r>
    </w:p>
    <w:p>
      <w:pPr>
        <w:pStyle w:val="Normal"/>
        <w:widowControl w:val="false"/>
        <w:suppressLineNumbers/>
        <w:tabs>
          <w:tab w:val="left" w:pos="709" w:leader="none"/>
        </w:tabs>
        <w:spacing w:before="0" w:after="0"/>
        <w:ind w:left="0" w:hanging="0"/>
        <w:contextualSpacing/>
        <w:rPr>
          <w:sz w:val="22"/>
          <w:szCs w:val="22"/>
        </w:rPr>
      </w:pPr>
      <w:r>
        <w:rPr>
          <w:b/>
          <w:sz w:val="22"/>
          <w:szCs w:val="22"/>
        </w:rPr>
        <w:t>7.8.</w:t>
      </w:r>
      <w:r>
        <w:rPr>
          <w:sz w:val="22"/>
          <w:szCs w:val="22"/>
        </w:rPr>
        <w:t xml:space="preserve"> При работе приборов учета в течение неполного расчетного периода (в том числе нарушении сроков предоставления показаний приборов учета) корректировка расхода тепловой энергии (мощности) и (или) теплоносителя, и (или) горячей воды производится расчетным путем за время отсутствия показаний в соответствии с Методикой осуществления коммерческого учета тепловой энергии и теплоносителя, утвержденной Приказом Минстроя России от 17.03.2014 № 99/пр «Об утверждении Методики осуществления коммерческого учета тепловой энергии, теплоносителя» (Зарегистрировано в Минюсте России 12.09.2014 № 34040).</w:t>
      </w:r>
    </w:p>
    <w:p>
      <w:pPr>
        <w:pStyle w:val="Normal"/>
        <w:widowControl w:val="false"/>
        <w:tabs>
          <w:tab w:val="left" w:pos="567" w:leader="none"/>
        </w:tabs>
        <w:ind w:left="0" w:hanging="0"/>
        <w:rPr>
          <w:sz w:val="22"/>
          <w:szCs w:val="22"/>
        </w:rPr>
      </w:pPr>
      <w:r>
        <w:rPr>
          <w:b/>
          <w:spacing w:val="-2"/>
          <w:sz w:val="22"/>
          <w:szCs w:val="22"/>
        </w:rPr>
        <w:t>7.9.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 xml:space="preserve">В случае обнаружения утечки теплоносителя в тепловых сетях и теплопотребляющих установках Государственного заказчика (Потребителя) оформляется двухсторонний акт, </w:t>
      </w:r>
      <w:r>
        <w:rPr>
          <w:spacing w:val="-2"/>
          <w:sz w:val="22"/>
          <w:szCs w:val="22"/>
        </w:rPr>
        <w:t xml:space="preserve">подписанный представителями Сторон. При отказе </w:t>
      </w:r>
      <w:r>
        <w:rPr>
          <w:sz w:val="22"/>
          <w:szCs w:val="22"/>
        </w:rPr>
        <w:t xml:space="preserve">Государственного заказчика (Потребителя) </w:t>
      </w:r>
      <w:r>
        <w:rPr>
          <w:spacing w:val="-2"/>
          <w:sz w:val="22"/>
          <w:szCs w:val="22"/>
        </w:rPr>
        <w:t xml:space="preserve">от подписания акта (неприбытию </w:t>
      </w:r>
      <w:r>
        <w:rPr>
          <w:sz w:val="22"/>
          <w:szCs w:val="22"/>
        </w:rPr>
        <w:t>в случае направленной телефонограммы, информации в ЕДДС) о наличии утечки на сетях Потребителя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акт подписывается в одностороннем порядке с указанием номера телефонограммы направленной в адрес Государственного заказчика (Потребителя) и является подтверждением факта утечки.</w:t>
      </w:r>
    </w:p>
    <w:p>
      <w:pPr>
        <w:pStyle w:val="Normal"/>
        <w:widowControl w:val="false"/>
        <w:tabs>
          <w:tab w:val="left" w:pos="567" w:leader="none"/>
        </w:tabs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Составление актов производится в начале обнаружения утечки и на момент устранения утечки. В случае устранения утечки в течение дня, момент обнаружения и окончания утечки фиксируются в одном акте. </w:t>
      </w:r>
    </w:p>
    <w:p>
      <w:pPr>
        <w:pStyle w:val="Normal"/>
        <w:ind w:left="0" w:firstLine="600"/>
        <w:rPr>
          <w:sz w:val="22"/>
          <w:szCs w:val="22"/>
        </w:rPr>
      </w:pPr>
      <w:r>
        <w:rPr>
          <w:sz w:val="22"/>
          <w:szCs w:val="22"/>
        </w:rPr>
        <w:t>Расчет объема тепловой энергии, теплоносителя, потерянных с утечкой теплоносителя, производится:</w:t>
      </w:r>
    </w:p>
    <w:p>
      <w:pPr>
        <w:pStyle w:val="16"/>
        <w:shd w:val="clear" w:color="auto" w:fill="auto"/>
        <w:spacing w:lineRule="auto" w:line="240" w:before="0" w:after="0"/>
        <w:ind w:left="40" w:firstLine="560"/>
        <w:jc w:val="both"/>
        <w:rPr>
          <w:sz w:val="22"/>
          <w:szCs w:val="22"/>
        </w:rPr>
      </w:pPr>
      <w:r>
        <w:rPr>
          <w:sz w:val="22"/>
          <w:szCs w:val="22"/>
        </w:rPr>
        <w:t>а) при утечке теплоносителя до узла учета и при отсутствии прибора учета расчет утечки  через отверстие повреждения производится по формуле:</w:t>
      </w:r>
    </w:p>
    <w:p>
      <w:pPr>
        <w:pStyle w:val="Normal"/>
        <w:spacing w:before="240" w:after="0"/>
        <w:ind w:left="0" w:hanging="0"/>
        <w:jc w:val="center"/>
        <w:rPr>
          <w:sz w:val="22"/>
          <w:szCs w:val="22"/>
        </w:rPr>
      </w:pPr>
      <w:r>
        <w:rPr/>
        <w:drawing>
          <wp:inline distT="0" distB="0" distL="0" distR="0">
            <wp:extent cx="1849755" cy="278130"/>
            <wp:effectExtent l="0" t="0" r="0" b="0"/>
            <wp:docPr id="2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755" cy="27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>, где</w:t>
      </w:r>
    </w:p>
    <w:p>
      <w:pPr>
        <w:pStyle w:val="Normal"/>
        <w:ind w:left="0" w:hanging="0"/>
        <w:rPr>
          <w:sz w:val="22"/>
          <w:szCs w:val="22"/>
        </w:rPr>
      </w:pPr>
      <w:r>
        <w:rPr/>
        <w:drawing>
          <wp:inline distT="0" distB="0" distL="0" distR="0">
            <wp:extent cx="191135" cy="262255"/>
            <wp:effectExtent l="0" t="0" r="0" b="0"/>
            <wp:docPr id="3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26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- площадь живого сечения i-го отверстия (кв. м);</w:t>
      </w:r>
    </w:p>
    <w:p>
      <w:pPr>
        <w:pStyle w:val="Normal"/>
        <w:ind w:left="0" w:hanging="0"/>
        <w:rPr>
          <w:sz w:val="22"/>
          <w:szCs w:val="22"/>
        </w:rPr>
      </w:pPr>
      <w:r>
        <w:rPr/>
        <w:drawing>
          <wp:inline distT="0" distB="0" distL="0" distR="0">
            <wp:extent cx="222885" cy="262255"/>
            <wp:effectExtent l="0" t="0" r="0" b="0"/>
            <wp:docPr id="4" name="Рисунок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7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" cy="26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- принимается равным средней величине напора воды в трубопроводе на поврежденном участке; при переломах и разрывах труб H принимается равным средней глубине заложения трубопровода.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t - продолжительность утечки с момента обнаружения до отключения поврежденного участка или заделки отверстия трубопровода.</w:t>
      </w:r>
    </w:p>
    <w:p>
      <w:pPr>
        <w:pStyle w:val="ListParagraph"/>
        <w:ind w:left="0" w:firstLine="720"/>
        <w:rPr>
          <w:sz w:val="22"/>
          <w:szCs w:val="22"/>
        </w:rPr>
      </w:pPr>
      <w:r>
        <w:rPr>
          <w:sz w:val="22"/>
          <w:szCs w:val="22"/>
        </w:rPr>
        <w:t>б) при утечке теплоносителя, зафиксированной водосчетчиком при подпитке систем, превышающей  нормативную, расчет объема утечки определяется:</w:t>
      </w:r>
    </w:p>
    <w:p>
      <w:pPr>
        <w:pStyle w:val="16"/>
        <w:shd w:val="clear" w:color="auto" w:fill="auto"/>
        <w:spacing w:lineRule="auto" w:line="240" w:before="0" w:after="0"/>
        <w:ind w:left="40" w:firstLine="560"/>
        <w:jc w:val="both"/>
        <w:rPr>
          <w:sz w:val="22"/>
          <w:szCs w:val="22"/>
        </w:rPr>
      </w:pPr>
      <w:r>
        <w:rPr>
          <w:sz w:val="22"/>
          <w:szCs w:val="22"/>
        </w:rPr>
        <w:tab/>
        <w:t>- в открытой системе теплоснабжения с дополнительной подпиткой системы (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  <w:vertAlign w:val="subscript"/>
          <w:lang w:val="en-US"/>
        </w:rPr>
        <w:t>y</w:t>
      </w:r>
      <w:r>
        <w:rPr>
          <w:sz w:val="22"/>
          <w:szCs w:val="22"/>
        </w:rPr>
        <w:t>) рассчитывается по формуле:</w:t>
      </w:r>
    </w:p>
    <w:p>
      <w:pPr>
        <w:pStyle w:val="16"/>
        <w:shd w:val="clear" w:color="auto" w:fill="auto"/>
        <w:spacing w:lineRule="auto" w:line="240" w:before="0" w:after="0"/>
        <w:ind w:left="40" w:firstLine="560"/>
        <w:jc w:val="center"/>
        <w:rPr>
          <w:spacing w:val="42"/>
          <w:sz w:val="22"/>
          <w:szCs w:val="22"/>
          <w:lang w:val="en-US"/>
        </w:rPr>
      </w:pPr>
      <w:r>
        <w:rPr>
          <w:spacing w:val="42"/>
          <w:sz w:val="22"/>
          <w:szCs w:val="22"/>
          <w:lang w:val="en-US"/>
        </w:rPr>
        <w:t>M</w:t>
      </w:r>
      <w:r>
        <w:rPr>
          <w:spacing w:val="42"/>
          <w:sz w:val="22"/>
          <w:szCs w:val="22"/>
          <w:vertAlign w:val="subscript"/>
          <w:lang w:val="en-US"/>
        </w:rPr>
        <w:t>y=</w:t>
      </w:r>
      <w:r>
        <w:rPr>
          <w:spacing w:val="42"/>
          <w:sz w:val="22"/>
          <w:szCs w:val="22"/>
          <w:lang w:val="en-US"/>
        </w:rPr>
        <w:t>M</w:t>
      </w:r>
      <w:r>
        <w:rPr>
          <w:spacing w:val="42"/>
          <w:sz w:val="22"/>
          <w:szCs w:val="22"/>
          <w:vertAlign w:val="subscript"/>
          <w:lang w:val="en-US"/>
        </w:rPr>
        <w:t>1</w:t>
      </w:r>
      <w:r>
        <w:rPr>
          <w:spacing w:val="42"/>
          <w:sz w:val="22"/>
          <w:szCs w:val="22"/>
          <w:lang w:val="en-US"/>
        </w:rPr>
        <w:t>-M</w:t>
      </w:r>
      <w:r>
        <w:rPr>
          <w:spacing w:val="42"/>
          <w:sz w:val="22"/>
          <w:szCs w:val="22"/>
          <w:vertAlign w:val="subscript"/>
          <w:lang w:val="en-US"/>
        </w:rPr>
        <w:t>2-</w:t>
      </w:r>
      <w:r>
        <w:rPr>
          <w:spacing w:val="42"/>
          <w:sz w:val="22"/>
          <w:szCs w:val="22"/>
          <w:lang w:val="en-US"/>
        </w:rPr>
        <w:t>M</w:t>
      </w:r>
      <w:r>
        <w:rPr>
          <w:spacing w:val="16"/>
          <w:sz w:val="22"/>
          <w:szCs w:val="22"/>
          <w:vertAlign w:val="subscript"/>
        </w:rPr>
        <w:t>ГВ</w:t>
      </w:r>
      <w:r>
        <w:rPr>
          <w:spacing w:val="42"/>
          <w:sz w:val="22"/>
          <w:szCs w:val="22"/>
          <w:lang w:val="en-US"/>
        </w:rPr>
        <w:t>+</w:t>
      </w:r>
      <w:r>
        <w:rPr>
          <w:spacing w:val="18"/>
          <w:sz w:val="22"/>
          <w:szCs w:val="22"/>
        </w:rPr>
        <w:t>М</w:t>
      </w:r>
      <w:r>
        <w:rPr>
          <w:spacing w:val="18"/>
          <w:sz w:val="22"/>
          <w:szCs w:val="22"/>
          <w:vertAlign w:val="subscript"/>
        </w:rPr>
        <w:t>П</w:t>
      </w:r>
      <w:r>
        <w:rPr>
          <w:spacing w:val="42"/>
          <w:sz w:val="22"/>
          <w:szCs w:val="22"/>
          <w:lang w:val="en-US"/>
        </w:rPr>
        <w:t>,</w:t>
      </w:r>
      <w:r>
        <w:rPr>
          <w:sz w:val="22"/>
          <w:szCs w:val="22"/>
        </w:rPr>
        <w:t>т</w:t>
      </w:r>
      <w:r>
        <w:rPr>
          <w:sz w:val="22"/>
          <w:szCs w:val="22"/>
          <w:lang w:val="en-US"/>
        </w:rPr>
        <w:t>,</w:t>
      </w:r>
    </w:p>
    <w:p>
      <w:pPr>
        <w:pStyle w:val="Normal"/>
        <w:ind w:left="0" w:hanging="0"/>
        <w:rPr>
          <w:sz w:val="22"/>
          <w:szCs w:val="22"/>
        </w:rPr>
      </w:pPr>
      <w:r>
        <w:rPr>
          <w:sz w:val="22"/>
          <w:szCs w:val="22"/>
        </w:rPr>
        <w:t>где:</w:t>
      </w:r>
    </w:p>
    <w:p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pacing w:val="42"/>
          <w:sz w:val="22"/>
          <w:szCs w:val="22"/>
          <w:lang w:val="en-US"/>
        </w:rPr>
        <w:t>M</w:t>
      </w:r>
      <w:r>
        <w:rPr>
          <w:spacing w:val="42"/>
          <w:sz w:val="22"/>
          <w:szCs w:val="22"/>
          <w:vertAlign w:val="subscript"/>
        </w:rPr>
        <w:t>1</w:t>
      </w:r>
      <w:r>
        <w:rPr>
          <w:position w:val="-8"/>
          <w:sz w:val="22"/>
          <w:szCs w:val="22"/>
        </w:rPr>
        <w:t xml:space="preserve"> </w:t>
      </w:r>
      <w:r>
        <w:rPr>
          <w:sz w:val="22"/>
          <w:szCs w:val="22"/>
        </w:rPr>
        <w:t>- масса теплоносителя, полученного потребителем по подающему трубопроводу, т;</w:t>
      </w:r>
    </w:p>
    <w:p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pacing w:val="42"/>
          <w:sz w:val="22"/>
          <w:szCs w:val="22"/>
          <w:lang w:val="en-US"/>
        </w:rPr>
        <w:t>M</w:t>
      </w:r>
      <w:r>
        <w:rPr>
          <w:spacing w:val="42"/>
          <w:sz w:val="22"/>
          <w:szCs w:val="22"/>
          <w:vertAlign w:val="subscript"/>
        </w:rPr>
        <w:t>2</w:t>
      </w:r>
      <w:r>
        <w:rPr>
          <w:position w:val="-8"/>
          <w:sz w:val="22"/>
          <w:szCs w:val="22"/>
        </w:rPr>
        <w:t xml:space="preserve"> </w:t>
      </w:r>
      <w:r>
        <w:rPr>
          <w:sz w:val="22"/>
          <w:szCs w:val="22"/>
        </w:rPr>
        <w:t>- масса теплоносителя, возвращенного потребителем по обратному трубопроводу, т;</w:t>
      </w:r>
    </w:p>
    <w:p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pacing w:val="42"/>
          <w:sz w:val="22"/>
          <w:szCs w:val="22"/>
          <w:lang w:val="en-US"/>
        </w:rPr>
        <w:t>M</w:t>
      </w:r>
      <w:r>
        <w:rPr>
          <w:spacing w:val="16"/>
          <w:sz w:val="22"/>
          <w:szCs w:val="22"/>
          <w:vertAlign w:val="subscript"/>
        </w:rPr>
        <w:t>ГВ</w:t>
      </w:r>
      <w:r>
        <w:rPr>
          <w:position w:val="-8"/>
          <w:sz w:val="22"/>
          <w:szCs w:val="22"/>
        </w:rPr>
        <w:t xml:space="preserve"> </w:t>
      </w:r>
      <w:r>
        <w:rPr>
          <w:sz w:val="22"/>
          <w:szCs w:val="22"/>
        </w:rPr>
        <w:t>- масса израсходованной горячей воды, т;</w:t>
      </w:r>
    </w:p>
    <w:p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pacing w:val="18"/>
          <w:sz w:val="22"/>
          <w:szCs w:val="22"/>
        </w:rPr>
        <w:t>М</w:t>
      </w:r>
      <w:r>
        <w:rPr>
          <w:spacing w:val="18"/>
          <w:sz w:val="22"/>
          <w:szCs w:val="22"/>
          <w:vertAlign w:val="subscript"/>
        </w:rPr>
        <w:t>П</w:t>
      </w:r>
      <w:r>
        <w:rPr>
          <w:position w:val="-8"/>
          <w:sz w:val="22"/>
          <w:szCs w:val="22"/>
        </w:rPr>
        <w:t xml:space="preserve"> </w:t>
      </w:r>
      <w:r>
        <w:rPr>
          <w:sz w:val="22"/>
          <w:szCs w:val="22"/>
        </w:rPr>
        <w:t>- масса теплоносителя, израсходованная потребителем на дополнительную подпитку систем теплоснабжения, определенная по показаниям водосчетчика подпитки, т.</w:t>
      </w:r>
    </w:p>
    <w:p>
      <w:pPr>
        <w:pStyle w:val="ListParagraph"/>
        <w:ind w:left="0" w:firstLine="720"/>
        <w:rPr>
          <w:sz w:val="22"/>
          <w:szCs w:val="22"/>
        </w:rPr>
      </w:pPr>
      <w:r>
        <w:rPr>
          <w:sz w:val="22"/>
          <w:szCs w:val="22"/>
        </w:rPr>
        <w:t>- величина утечки теплоносителя (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  <w:vertAlign w:val="subscript"/>
          <w:lang w:val="en-US"/>
        </w:rPr>
        <w:t>y</w:t>
      </w:r>
      <w:r>
        <w:rPr>
          <w:sz w:val="22"/>
          <w:szCs w:val="22"/>
        </w:rPr>
        <w:t>) в закрытой системе теплоснабжения с независимым присоединением систем теплоснабжения численно равняется массе теплоносителя, израсходованного потребителем на подпитку систем теплоснабжения, определенной по показаниям водосчетчика (</w:t>
      </w:r>
      <w:r>
        <w:rPr>
          <w:spacing w:val="18"/>
          <w:sz w:val="22"/>
          <w:szCs w:val="22"/>
        </w:rPr>
        <w:t>М</w:t>
      </w:r>
      <w:r>
        <w:rPr>
          <w:spacing w:val="18"/>
          <w:sz w:val="22"/>
          <w:szCs w:val="22"/>
          <w:vertAlign w:val="subscript"/>
        </w:rPr>
        <w:t>П</w:t>
      </w:r>
      <w:r>
        <w:rPr>
          <w:spacing w:val="18"/>
          <w:sz w:val="22"/>
          <w:szCs w:val="22"/>
        </w:rPr>
        <w:t>)</w:t>
      </w:r>
      <w:r>
        <w:rPr>
          <w:sz w:val="22"/>
          <w:szCs w:val="22"/>
        </w:rPr>
        <w:t>.</w:t>
      </w:r>
    </w:p>
    <w:p>
      <w:pPr>
        <w:pStyle w:val="Normal"/>
        <w:ind w:left="0" w:firstLine="708"/>
        <w:rPr>
          <w:sz w:val="22"/>
          <w:szCs w:val="22"/>
        </w:rPr>
      </w:pPr>
      <w:r>
        <w:rPr>
          <w:sz w:val="22"/>
          <w:szCs w:val="22"/>
        </w:rPr>
        <w:t>- в случае отсутствия водосчетчика подпитки расчет величины утечки теплоносителя за отчетный период по подающему и обратному трубопроводам (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  <w:vertAlign w:val="subscript"/>
          <w:lang w:val="en-US"/>
        </w:rPr>
        <w:t>y</w:t>
      </w:r>
      <w:r>
        <w:rPr>
          <w:sz w:val="22"/>
          <w:szCs w:val="22"/>
        </w:rPr>
        <w:t>) производить по формуле:</w:t>
      </w:r>
      <w:r>
        <w:rPr>
          <w:position w:val="-8"/>
          <w:sz w:val="22"/>
          <w:szCs w:val="22"/>
        </w:rPr>
        <w:t xml:space="preserve"> </w:t>
      </w:r>
      <w:r>
        <w:rPr>
          <w:spacing w:val="42"/>
          <w:sz w:val="22"/>
          <w:szCs w:val="22"/>
          <w:lang w:val="en-US"/>
        </w:rPr>
        <w:t>M</w:t>
      </w:r>
      <w:r>
        <w:rPr>
          <w:spacing w:val="42"/>
          <w:sz w:val="22"/>
          <w:szCs w:val="22"/>
          <w:vertAlign w:val="subscript"/>
          <w:lang w:val="en-US"/>
        </w:rPr>
        <w:t>y</w:t>
      </w:r>
      <w:r>
        <w:rPr>
          <w:spacing w:val="42"/>
          <w:sz w:val="22"/>
          <w:szCs w:val="22"/>
          <w:vertAlign w:val="subscript"/>
        </w:rPr>
        <w:t>=</w:t>
      </w:r>
      <w:r>
        <w:rPr>
          <w:spacing w:val="42"/>
          <w:sz w:val="22"/>
          <w:szCs w:val="22"/>
          <w:lang w:val="en-US"/>
        </w:rPr>
        <w:t>M</w:t>
      </w:r>
      <w:r>
        <w:rPr>
          <w:spacing w:val="42"/>
          <w:sz w:val="22"/>
          <w:szCs w:val="22"/>
          <w:vertAlign w:val="subscript"/>
        </w:rPr>
        <w:t>1</w:t>
      </w:r>
      <w:r>
        <w:rPr>
          <w:spacing w:val="42"/>
          <w:sz w:val="22"/>
          <w:szCs w:val="22"/>
        </w:rPr>
        <w:t>-</w:t>
      </w:r>
      <w:r>
        <w:rPr>
          <w:spacing w:val="42"/>
          <w:sz w:val="22"/>
          <w:szCs w:val="22"/>
          <w:lang w:val="en-US"/>
        </w:rPr>
        <w:t>M</w:t>
      </w:r>
      <w:r>
        <w:rPr>
          <w:spacing w:val="42"/>
          <w:sz w:val="22"/>
          <w:szCs w:val="22"/>
          <w:vertAlign w:val="subscript"/>
        </w:rPr>
        <w:t>2</w:t>
      </w:r>
      <w:r>
        <w:rPr>
          <w:sz w:val="22"/>
          <w:szCs w:val="22"/>
        </w:rPr>
        <w:t>,т, где:</w:t>
      </w:r>
    </w:p>
    <w:p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pacing w:val="42"/>
          <w:sz w:val="22"/>
          <w:szCs w:val="22"/>
          <w:lang w:val="en-US"/>
        </w:rPr>
        <w:t>M</w:t>
      </w:r>
      <w:r>
        <w:rPr>
          <w:spacing w:val="42"/>
          <w:sz w:val="22"/>
          <w:szCs w:val="22"/>
          <w:vertAlign w:val="subscript"/>
        </w:rPr>
        <w:t>1</w:t>
      </w:r>
      <w:r>
        <w:rPr>
          <w:sz w:val="22"/>
          <w:szCs w:val="22"/>
        </w:rPr>
        <w:t>- масса теплоносителя, полученного потребителем по подающему трубопроводу, т;</w:t>
      </w:r>
    </w:p>
    <w:p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pacing w:val="42"/>
          <w:sz w:val="22"/>
          <w:szCs w:val="22"/>
          <w:lang w:val="en-US"/>
        </w:rPr>
        <w:t>M</w:t>
      </w:r>
      <w:r>
        <w:rPr>
          <w:spacing w:val="42"/>
          <w:sz w:val="22"/>
          <w:szCs w:val="22"/>
          <w:vertAlign w:val="subscript"/>
        </w:rPr>
        <w:t>2</w:t>
      </w:r>
      <w:r>
        <w:rPr>
          <w:sz w:val="22"/>
          <w:szCs w:val="22"/>
        </w:rPr>
        <w:t>- масса теплоносителя, возвращенного потребителем по обратному трубопроводу, т.</w:t>
      </w:r>
    </w:p>
    <w:p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В случае если </w:t>
      </w:r>
      <w:r>
        <w:rPr>
          <w:spacing w:val="42"/>
          <w:sz w:val="22"/>
          <w:szCs w:val="22"/>
          <w:lang w:val="en-US"/>
        </w:rPr>
        <w:t>M</w:t>
      </w:r>
      <w:r>
        <w:rPr>
          <w:spacing w:val="42"/>
          <w:sz w:val="22"/>
          <w:szCs w:val="22"/>
          <w:vertAlign w:val="subscript"/>
        </w:rPr>
        <w:t>1</w:t>
      </w:r>
      <w:r>
        <w:rPr>
          <w:sz w:val="22"/>
          <w:szCs w:val="22"/>
        </w:rPr>
        <w:t xml:space="preserve"> &gt; </w:t>
      </w:r>
      <w:r>
        <w:rPr>
          <w:spacing w:val="42"/>
          <w:sz w:val="22"/>
          <w:szCs w:val="22"/>
          <w:lang w:val="en-US"/>
        </w:rPr>
        <w:t>M</w:t>
      </w:r>
      <w:r>
        <w:rPr>
          <w:spacing w:val="42"/>
          <w:sz w:val="22"/>
          <w:szCs w:val="22"/>
          <w:vertAlign w:val="subscript"/>
        </w:rPr>
        <w:t>2</w:t>
      </w:r>
      <w:r>
        <w:rPr>
          <w:sz w:val="22"/>
          <w:szCs w:val="22"/>
        </w:rPr>
        <w:t xml:space="preserve">, а </w:t>
      </w:r>
      <w:r>
        <w:rPr>
          <w:spacing w:val="42"/>
          <w:sz w:val="22"/>
          <w:szCs w:val="22"/>
          <w:lang w:val="en-US"/>
        </w:rPr>
        <w:t>M</w:t>
      </w:r>
      <w:r>
        <w:rPr>
          <w:spacing w:val="42"/>
          <w:sz w:val="22"/>
          <w:szCs w:val="22"/>
          <w:vertAlign w:val="subscript"/>
        </w:rPr>
        <w:t>1</w:t>
      </w:r>
      <w:r>
        <w:rPr>
          <w:sz w:val="22"/>
          <w:szCs w:val="22"/>
        </w:rPr>
        <w:t xml:space="preserve"> – </w:t>
      </w:r>
      <w:r>
        <w:rPr>
          <w:spacing w:val="42"/>
          <w:sz w:val="22"/>
          <w:szCs w:val="22"/>
          <w:lang w:val="en-US"/>
        </w:rPr>
        <w:t>M</w:t>
      </w:r>
      <w:r>
        <w:rPr>
          <w:spacing w:val="42"/>
          <w:sz w:val="22"/>
          <w:szCs w:val="22"/>
          <w:vertAlign w:val="subscript"/>
        </w:rPr>
        <w:t>2</w:t>
      </w:r>
      <w:r>
        <w:rPr>
          <w:sz w:val="22"/>
          <w:szCs w:val="22"/>
        </w:rPr>
        <w:t> больше суммы модулей абсолютных погрешностей измерения массы теплоносителя в прямом и обратном трубопроводах, то величина утечки теплоносителя за отчетный период по подающему и обратному трубопроводам (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  <w:vertAlign w:val="subscript"/>
          <w:lang w:val="en-US"/>
        </w:rPr>
        <w:t>y</w:t>
      </w:r>
      <w:r>
        <w:rPr>
          <w:sz w:val="22"/>
          <w:szCs w:val="22"/>
        </w:rPr>
        <w:t xml:space="preserve">)  равняется разнице абсолютных значений </w:t>
      </w:r>
      <w:r>
        <w:rPr>
          <w:spacing w:val="42"/>
          <w:sz w:val="22"/>
          <w:szCs w:val="22"/>
          <w:lang w:val="en-US"/>
        </w:rPr>
        <w:t>M</w:t>
      </w:r>
      <w:r>
        <w:rPr>
          <w:spacing w:val="42"/>
          <w:sz w:val="22"/>
          <w:szCs w:val="22"/>
          <w:vertAlign w:val="subscript"/>
        </w:rPr>
        <w:t>1</w:t>
      </w:r>
      <w:r>
        <w:rPr>
          <w:sz w:val="22"/>
          <w:szCs w:val="22"/>
        </w:rPr>
        <w:t xml:space="preserve"> и </w:t>
      </w:r>
      <w:r>
        <w:rPr>
          <w:spacing w:val="42"/>
          <w:sz w:val="22"/>
          <w:szCs w:val="22"/>
          <w:lang w:val="en-US"/>
        </w:rPr>
        <w:t>M</w:t>
      </w:r>
      <w:r>
        <w:rPr>
          <w:spacing w:val="42"/>
          <w:sz w:val="22"/>
          <w:szCs w:val="22"/>
          <w:vertAlign w:val="subscript"/>
        </w:rPr>
        <w:t>2</w:t>
      </w:r>
      <w:r>
        <w:rPr>
          <w:sz w:val="22"/>
          <w:szCs w:val="22"/>
        </w:rPr>
        <w:t> без учета погрешностей.</w:t>
      </w:r>
    </w:p>
    <w:p>
      <w:pPr>
        <w:pStyle w:val="ListParagraph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 xml:space="preserve">Если </w:t>
      </w:r>
      <w:r>
        <w:rPr>
          <w:spacing w:val="42"/>
          <w:sz w:val="22"/>
          <w:szCs w:val="22"/>
          <w:lang w:val="en-US"/>
        </w:rPr>
        <w:t>M</w:t>
      </w:r>
      <w:r>
        <w:rPr>
          <w:spacing w:val="42"/>
          <w:sz w:val="22"/>
          <w:szCs w:val="22"/>
          <w:vertAlign w:val="subscript"/>
        </w:rPr>
        <w:t>1</w:t>
      </w:r>
      <w:r>
        <w:rPr>
          <w:sz w:val="22"/>
          <w:szCs w:val="22"/>
        </w:rPr>
        <w:t xml:space="preserve"> &gt; </w:t>
      </w:r>
      <w:r>
        <w:rPr>
          <w:spacing w:val="42"/>
          <w:sz w:val="22"/>
          <w:szCs w:val="22"/>
          <w:lang w:val="en-US"/>
        </w:rPr>
        <w:t>M</w:t>
      </w:r>
      <w:r>
        <w:rPr>
          <w:spacing w:val="42"/>
          <w:sz w:val="22"/>
          <w:szCs w:val="22"/>
          <w:vertAlign w:val="subscript"/>
        </w:rPr>
        <w:t>2</w:t>
      </w:r>
      <w:r>
        <w:rPr>
          <w:sz w:val="22"/>
          <w:szCs w:val="22"/>
        </w:rPr>
        <w:t xml:space="preserve"> или </w:t>
      </w:r>
      <w:r>
        <w:rPr>
          <w:spacing w:val="42"/>
          <w:sz w:val="22"/>
          <w:szCs w:val="22"/>
          <w:lang w:val="en-US"/>
        </w:rPr>
        <w:t>M</w:t>
      </w:r>
      <w:r>
        <w:rPr>
          <w:spacing w:val="42"/>
          <w:sz w:val="22"/>
          <w:szCs w:val="22"/>
          <w:vertAlign w:val="subscript"/>
        </w:rPr>
        <w:t>2</w:t>
      </w:r>
      <w:r>
        <w:rPr>
          <w:sz w:val="22"/>
          <w:szCs w:val="22"/>
        </w:rPr>
        <w:t xml:space="preserve"> &gt; </w:t>
      </w:r>
      <w:r>
        <w:rPr>
          <w:spacing w:val="42"/>
          <w:sz w:val="22"/>
          <w:szCs w:val="22"/>
          <w:lang w:val="en-US"/>
        </w:rPr>
        <w:t>M</w:t>
      </w:r>
      <w:r>
        <w:rPr>
          <w:spacing w:val="42"/>
          <w:sz w:val="22"/>
          <w:szCs w:val="22"/>
          <w:vertAlign w:val="subscript"/>
        </w:rPr>
        <w:t>1</w:t>
      </w:r>
      <w:r>
        <w:rPr>
          <w:sz w:val="22"/>
          <w:szCs w:val="22"/>
        </w:rPr>
        <w:t>, но |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 xml:space="preserve"> - 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  <w:vertAlign w:val="subscript"/>
        </w:rPr>
        <w:t>2</w:t>
      </w:r>
      <w:r>
        <w:rPr>
          <w:sz w:val="22"/>
          <w:szCs w:val="22"/>
        </w:rPr>
        <w:t>| меньше суммы модулей абсолютных погрешностей измерения массы теплоносителя величина утечки (подмеса) считается равной нулю.</w:t>
      </w:r>
    </w:p>
    <w:p>
      <w:pPr>
        <w:pStyle w:val="Normal"/>
        <w:ind w:left="36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firstLine="708"/>
        <w:rPr>
          <w:rFonts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/>
          <w:sz w:val="22"/>
          <w:szCs w:val="22"/>
          <w:lang w:eastAsia="en-US"/>
        </w:rPr>
        <w:t xml:space="preserve">Количество тепловой энергии, невозвращенной потребителем вместе с потерянным теплоносителем (утечка, несанкционированный разбор теплоносителя) </w:t>
      </w:r>
      <w:r>
        <w:rPr>
          <w:rFonts w:eastAsia="Calibri" w:eastAsiaTheme="minorHAnsi"/>
          <w:i/>
          <w:sz w:val="22"/>
          <w:szCs w:val="22"/>
          <w:lang w:eastAsia="en-US"/>
        </w:rPr>
        <w:t>(</w:t>
      </w:r>
      <w:r>
        <w:rPr>
          <w:rFonts w:eastAsia="Calibri" w:eastAsiaTheme="minorHAnsi"/>
          <w:i/>
          <w:sz w:val="22"/>
          <w:szCs w:val="22"/>
          <w:lang w:val="en-US" w:eastAsia="en-US"/>
        </w:rPr>
        <w:t>Q</w:t>
      </w:r>
      <w:r>
        <w:rPr>
          <w:rFonts w:eastAsia="Calibri" w:eastAsiaTheme="minorHAnsi"/>
          <w:i/>
          <w:sz w:val="22"/>
          <w:szCs w:val="22"/>
          <w:vertAlign w:val="subscript"/>
          <w:lang w:val="en-US" w:eastAsia="en-US"/>
        </w:rPr>
        <w:t>YT</w:t>
      </w:r>
      <w:r>
        <w:rPr>
          <w:rFonts w:eastAsia="Calibri" w:eastAsiaTheme="minorHAnsi"/>
          <w:i/>
          <w:sz w:val="22"/>
          <w:szCs w:val="22"/>
          <w:lang w:eastAsia="en-US"/>
        </w:rPr>
        <w:t>)</w:t>
      </w:r>
      <w:r>
        <w:rPr>
          <w:rFonts w:eastAsia="Calibri" w:eastAsiaTheme="minorHAnsi"/>
          <w:sz w:val="22"/>
          <w:szCs w:val="22"/>
          <w:lang w:eastAsia="en-US"/>
        </w:rPr>
        <w:t>, рассчитывается по формуле:</w:t>
      </w:r>
    </w:p>
    <w:p>
      <w:pPr>
        <w:pStyle w:val="Normal"/>
        <w:ind w:left="0" w:hanging="0"/>
        <w:jc w:val="center"/>
        <w:rPr>
          <w:rFonts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/>
          <w:i/>
          <w:spacing w:val="34"/>
          <w:sz w:val="22"/>
          <w:szCs w:val="22"/>
          <w:lang w:val="en-US" w:eastAsia="en-US"/>
        </w:rPr>
        <w:t>Q</w:t>
      </w:r>
      <w:r>
        <w:rPr>
          <w:rFonts w:eastAsia="Calibri" w:eastAsiaTheme="minorHAnsi"/>
          <w:i/>
          <w:spacing w:val="34"/>
          <w:sz w:val="22"/>
          <w:szCs w:val="22"/>
          <w:vertAlign w:val="subscript"/>
          <w:lang w:val="en-US" w:eastAsia="en-US"/>
        </w:rPr>
        <w:t>YT</w:t>
      </w:r>
      <w:r>
        <w:rPr>
          <w:rFonts w:eastAsia="Calibri" w:eastAsiaTheme="minorHAnsi"/>
          <w:i/>
          <w:spacing w:val="34"/>
          <w:sz w:val="22"/>
          <w:szCs w:val="22"/>
          <w:lang w:eastAsia="en-US"/>
        </w:rPr>
        <w:t xml:space="preserve"> =</w:t>
      </w:r>
      <w:r>
        <w:rPr>
          <w:i/>
          <w:spacing w:val="34"/>
          <w:sz w:val="22"/>
          <w:szCs w:val="22"/>
        </w:rPr>
        <w:t xml:space="preserve"> </w:t>
      </w:r>
      <w:r>
        <w:rPr>
          <w:i/>
          <w:spacing w:val="34"/>
          <w:sz w:val="22"/>
          <w:szCs w:val="22"/>
          <w:lang w:val="en-US"/>
        </w:rPr>
        <w:t>M</w:t>
      </w:r>
      <w:r>
        <w:rPr>
          <w:i/>
          <w:spacing w:val="34"/>
          <w:sz w:val="22"/>
          <w:szCs w:val="22"/>
          <w:vertAlign w:val="subscript"/>
          <w:lang w:val="en-US"/>
        </w:rPr>
        <w:t>y</w:t>
      </w:r>
      <w:r>
        <w:rPr>
          <w:i/>
          <w:spacing w:val="34"/>
          <w:sz w:val="22"/>
          <w:szCs w:val="22"/>
          <w:vertAlign w:val="subscript"/>
        </w:rPr>
        <w:t xml:space="preserve">  </w:t>
      </w:r>
      <w:r>
        <w:rPr>
          <w:spacing w:val="34"/>
          <w:sz w:val="22"/>
          <w:szCs w:val="22"/>
        </w:rPr>
        <w:t>*</w:t>
      </w:r>
      <w:r>
        <w:rPr>
          <w:i/>
          <w:spacing w:val="34"/>
          <w:sz w:val="22"/>
          <w:szCs w:val="22"/>
        </w:rPr>
        <w:t xml:space="preserve"> (</w:t>
      </w:r>
      <w:r>
        <w:rPr>
          <w:i/>
          <w:spacing w:val="34"/>
          <w:sz w:val="22"/>
          <w:szCs w:val="22"/>
          <w:lang w:val="en-US"/>
        </w:rPr>
        <w:t>h</w:t>
      </w:r>
      <w:r>
        <w:rPr>
          <w:i/>
          <w:spacing w:val="34"/>
          <w:sz w:val="22"/>
          <w:szCs w:val="22"/>
          <w:vertAlign w:val="subscript"/>
        </w:rPr>
        <w:t>2</w:t>
      </w:r>
      <w:r>
        <w:rPr>
          <w:i/>
          <w:spacing w:val="34"/>
          <w:sz w:val="22"/>
          <w:szCs w:val="22"/>
        </w:rPr>
        <w:t>-</w:t>
      </w:r>
      <w:r>
        <w:rPr>
          <w:i/>
          <w:spacing w:val="34"/>
          <w:sz w:val="22"/>
          <w:szCs w:val="22"/>
          <w:lang w:val="en-US"/>
        </w:rPr>
        <w:t>h</w:t>
      </w:r>
      <w:r>
        <w:rPr>
          <w:i/>
          <w:spacing w:val="34"/>
          <w:sz w:val="22"/>
          <w:szCs w:val="22"/>
          <w:vertAlign w:val="subscript"/>
        </w:rPr>
        <w:t>ХВ</w:t>
      </w:r>
      <w:r>
        <w:rPr>
          <w:rFonts w:eastAsia="Calibri" w:eastAsiaTheme="minorHAnsi"/>
          <w:i/>
          <w:spacing w:val="34"/>
          <w:sz w:val="22"/>
          <w:szCs w:val="22"/>
          <w:lang w:eastAsia="en-US"/>
        </w:rPr>
        <w:t>) * 10</w:t>
      </w:r>
      <w:r>
        <w:rPr>
          <w:rFonts w:eastAsia="Calibri" w:eastAsiaTheme="minorHAnsi"/>
          <w:i/>
          <w:spacing w:val="34"/>
          <w:sz w:val="22"/>
          <w:szCs w:val="22"/>
          <w:vertAlign w:val="superscript"/>
          <w:lang w:eastAsia="en-US"/>
        </w:rPr>
        <w:t>-3</w:t>
      </w:r>
      <w:r>
        <w:rPr>
          <w:rFonts w:eastAsia="Calibri" w:eastAsiaTheme="minorHAnsi"/>
          <w:sz w:val="22"/>
          <w:szCs w:val="22"/>
          <w:lang w:eastAsia="en-US"/>
        </w:rPr>
        <w:t xml:space="preserve"> </w:t>
      </w:r>
      <w:r>
        <w:rPr>
          <w:rFonts w:eastAsia="Calibri" w:eastAsiaTheme="minorHAnsi"/>
          <w:position w:val="-7"/>
          <w:sz w:val="22"/>
          <w:szCs w:val="22"/>
        </w:rPr>
        <w:t xml:space="preserve">  </w:t>
      </w:r>
      <w:r>
        <w:rPr>
          <w:rFonts w:eastAsia="Calibri" w:eastAsiaTheme="minorHAnsi"/>
          <w:sz w:val="22"/>
          <w:szCs w:val="22"/>
          <w:lang w:eastAsia="en-US"/>
        </w:rPr>
        <w:t xml:space="preserve">, Гкал </w:t>
      </w:r>
    </w:p>
    <w:p>
      <w:pPr>
        <w:pStyle w:val="Normal"/>
        <w:ind w:left="0" w:firstLine="540"/>
        <w:rPr>
          <w:rFonts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/>
          <w:sz w:val="22"/>
          <w:szCs w:val="22"/>
          <w:lang w:eastAsia="en-US"/>
        </w:rPr>
        <w:t>где:</w:t>
      </w:r>
    </w:p>
    <w:p>
      <w:pPr>
        <w:pStyle w:val="Normal"/>
        <w:ind w:left="0" w:firstLine="540"/>
        <w:rPr>
          <w:rFonts w:eastAsia="Calibri"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>(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  <w:vertAlign w:val="subscript"/>
          <w:lang w:val="en-US"/>
        </w:rPr>
        <w:t>y</w:t>
      </w:r>
      <w:r>
        <w:rPr>
          <w:sz w:val="22"/>
          <w:szCs w:val="22"/>
        </w:rPr>
        <w:t xml:space="preserve">) </w:t>
      </w:r>
      <w:r>
        <w:rPr>
          <w:rFonts w:eastAsia="Calibri" w:eastAsiaTheme="minorHAnsi"/>
          <w:sz w:val="22"/>
          <w:szCs w:val="22"/>
          <w:lang w:eastAsia="en-US"/>
        </w:rPr>
        <w:t xml:space="preserve"> - расчетная масса утечки теплоносителя, т;</w:t>
      </w:r>
    </w:p>
    <w:p>
      <w:pPr>
        <w:pStyle w:val="Normal"/>
        <w:ind w:left="0" w:firstLine="540"/>
        <w:rPr>
          <w:rFonts w:eastAsia="Calibri" w:eastAsiaTheme="minorHAnsi"/>
          <w:sz w:val="22"/>
          <w:szCs w:val="22"/>
          <w:lang w:eastAsia="en-US"/>
        </w:rPr>
      </w:pPr>
      <w:r>
        <w:rPr>
          <w:i/>
          <w:sz w:val="22"/>
          <w:szCs w:val="22"/>
          <w:lang w:val="en-US"/>
        </w:rPr>
        <w:t>h</w:t>
      </w:r>
      <w:r>
        <w:rPr>
          <w:i/>
          <w:sz w:val="22"/>
          <w:szCs w:val="22"/>
          <w:vertAlign w:val="subscript"/>
        </w:rPr>
        <w:t>2</w:t>
      </w:r>
      <w:r>
        <w:rPr>
          <w:rFonts w:eastAsia="Calibri" w:eastAsiaTheme="minorHAnsi"/>
          <w:sz w:val="22"/>
          <w:szCs w:val="22"/>
          <w:lang w:eastAsia="en-US"/>
        </w:rPr>
        <w:t xml:space="preserve"> - средневзвешенная энтальпия теплоносителя в обратном трубопроводе потребителя, ккал/кг;</w:t>
      </w:r>
    </w:p>
    <w:p>
      <w:pPr>
        <w:pStyle w:val="Normal"/>
        <w:ind w:left="0" w:firstLine="540"/>
        <w:rPr>
          <w:rFonts w:eastAsia="Calibri" w:eastAsiaTheme="minorHAnsi"/>
          <w:sz w:val="22"/>
          <w:szCs w:val="22"/>
          <w:lang w:eastAsia="en-US"/>
        </w:rPr>
      </w:pPr>
      <w:r>
        <w:rPr>
          <w:i/>
          <w:sz w:val="22"/>
          <w:szCs w:val="22"/>
          <w:lang w:val="en-US"/>
        </w:rPr>
        <w:t>h</w:t>
      </w:r>
      <w:r>
        <w:rPr>
          <w:i/>
          <w:sz w:val="22"/>
          <w:szCs w:val="22"/>
          <w:vertAlign w:val="subscript"/>
        </w:rPr>
        <w:t>ХВ</w:t>
      </w:r>
      <w:r>
        <w:rPr>
          <w:rFonts w:eastAsia="Calibri" w:eastAsiaTheme="minorHAnsi"/>
          <w:position w:val="-4"/>
          <w:sz w:val="22"/>
          <w:szCs w:val="22"/>
        </w:rPr>
        <w:t xml:space="preserve"> </w:t>
      </w:r>
      <w:r>
        <w:rPr>
          <w:rFonts w:eastAsia="Calibri" w:eastAsiaTheme="minorHAnsi"/>
          <w:sz w:val="22"/>
          <w:szCs w:val="22"/>
          <w:lang w:eastAsia="en-US"/>
        </w:rPr>
        <w:t xml:space="preserve"> - средняя энтальпия холодной воды на источнике тепловой энергии, ккал/кг.</w:t>
      </w:r>
    </w:p>
    <w:p>
      <w:pPr>
        <w:pStyle w:val="Annotationtext"/>
        <w:ind w:left="0" w:hanging="0"/>
        <w:rPr>
          <w:sz w:val="22"/>
          <w:szCs w:val="22"/>
        </w:rPr>
      </w:pPr>
      <w:r>
        <w:rPr>
          <w:b/>
          <w:sz w:val="22"/>
          <w:szCs w:val="22"/>
        </w:rPr>
        <w:t>7.10.</w:t>
      </w:r>
      <w:r>
        <w:rPr>
          <w:sz w:val="22"/>
          <w:szCs w:val="22"/>
        </w:rPr>
        <w:t xml:space="preserve"> Расчет количества потерь теплоносителя с утечкой выполняется Теплоснабжающей организацией и включает в себя определение величины утечки через отверстие, повреждения, количества теплоносителя на заполнение опорожненных участков тепловых сетей и теплопотребляющих установок Потребителя и субабонентов после проведения ремонтных работ и добавляется к величине утечки Потребителя при отсутствии у него приборов учета.</w:t>
      </w:r>
    </w:p>
    <w:p>
      <w:pPr>
        <w:pStyle w:val="ListParagraph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8"/>
        </w:numPr>
        <w:ind w:left="357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ПОРЯДОК РАСЧЕТОВ.</w:t>
      </w:r>
    </w:p>
    <w:p>
      <w:pPr>
        <w:pStyle w:val="ListParagraph"/>
        <w:ind w:left="36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widowControl w:val="false"/>
        <w:numPr>
          <w:ilvl w:val="1"/>
          <w:numId w:val="8"/>
        </w:numPr>
        <w:suppressAutoHyphens w:val="true"/>
        <w:ind w:left="0" w:hanging="0"/>
        <w:rPr>
          <w:i/>
          <w:i/>
          <w:sz w:val="22"/>
          <w:szCs w:val="22"/>
        </w:rPr>
      </w:pPr>
      <w:r>
        <w:rPr>
          <w:sz w:val="22"/>
          <w:szCs w:val="22"/>
        </w:rPr>
        <w:t xml:space="preserve">Расчетным периодом по настоящему договору является один календарный месяц. </w:t>
      </w:r>
    </w:p>
    <w:p>
      <w:pPr>
        <w:pStyle w:val="ListParagraph"/>
        <w:numPr>
          <w:ilvl w:val="1"/>
          <w:numId w:val="8"/>
        </w:numPr>
        <w:ind w:left="0" w:hanging="0"/>
        <w:rPr>
          <w:b/>
          <w:b/>
          <w:sz w:val="22"/>
          <w:szCs w:val="22"/>
        </w:rPr>
      </w:pPr>
      <w:r>
        <w:rPr>
          <w:sz w:val="22"/>
          <w:szCs w:val="22"/>
        </w:rPr>
        <w:t>Потребитель оплачивает  приобретенный объем тепловой энергии (мощности) и (или) теплоносителя в следующем порядке:</w:t>
      </w:r>
    </w:p>
    <w:p>
      <w:pPr>
        <w:pStyle w:val="Normal"/>
        <w:widowControl w:val="false"/>
        <w:ind w:left="0" w:hanging="0"/>
        <w:rPr>
          <w:rFonts w:eastAsia="Calibri"/>
          <w:sz w:val="22"/>
          <w:szCs w:val="22"/>
          <w:lang w:eastAsia="en-US"/>
        </w:rPr>
      </w:pPr>
      <w:r>
        <w:rPr>
          <w:b/>
          <w:sz w:val="22"/>
          <w:szCs w:val="22"/>
        </w:rPr>
        <w:t>-</w:t>
        <w:tab/>
      </w:r>
      <w:r>
        <w:rPr>
          <w:rFonts w:eastAsia="Calibri"/>
          <w:b/>
          <w:sz w:val="22"/>
          <w:szCs w:val="22"/>
          <w:lang w:eastAsia="en-US"/>
        </w:rPr>
        <w:t>35 процентов</w:t>
      </w:r>
      <w:r>
        <w:rPr>
          <w:rFonts w:eastAsia="Calibri"/>
          <w:sz w:val="22"/>
          <w:szCs w:val="22"/>
          <w:lang w:eastAsia="en-US"/>
        </w:rPr>
        <w:t xml:space="preserve"> плановой общей стоимости тепловой энергии (мощности) и (или) теплоносителя, потребляемой в месяце, за который осуществляется оплата, вносится до 18-го числа текущего месяца, и </w:t>
      </w:r>
    </w:p>
    <w:p>
      <w:pPr>
        <w:pStyle w:val="Normal"/>
        <w:widowControl w:val="false"/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</w:t>
        <w:tab/>
      </w:r>
      <w:r>
        <w:rPr>
          <w:rFonts w:eastAsia="Calibri"/>
          <w:b/>
          <w:sz w:val="22"/>
          <w:szCs w:val="22"/>
          <w:lang w:eastAsia="en-US"/>
        </w:rPr>
        <w:t>50 процентов</w:t>
      </w:r>
      <w:r>
        <w:rPr>
          <w:rFonts w:eastAsia="Calibri"/>
          <w:sz w:val="22"/>
          <w:szCs w:val="22"/>
          <w:lang w:eastAsia="en-US"/>
        </w:rPr>
        <w:t xml:space="preserve"> плановой общей стоимости тепловой энергии (мощности) и (или) теплоносителя, потребляемой в месяце, за который осуществляется оплата, вносится до истечения последнего числа текущего месяца;</w:t>
      </w:r>
    </w:p>
    <w:p>
      <w:pPr>
        <w:pStyle w:val="Normal"/>
        <w:widowControl w:val="false"/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</w:t>
        <w:tab/>
        <w:t xml:space="preserve">оплата за фактически потребленную в истекшем месяце тепловую энергию (мощность) и (или) теплоноситель с учетом средств, ранее внесенных потребителем в качестве оплаты за тепловую энергию в расчетном периоде, осуществляется </w:t>
      </w:r>
      <w:r>
        <w:rPr>
          <w:rFonts w:eastAsia="Calibri"/>
          <w:b/>
          <w:sz w:val="22"/>
          <w:szCs w:val="22"/>
          <w:lang w:eastAsia="en-US"/>
        </w:rPr>
        <w:t>до 10-го числа</w:t>
      </w:r>
      <w:r>
        <w:rPr>
          <w:rFonts w:eastAsia="Calibri"/>
          <w:sz w:val="22"/>
          <w:szCs w:val="22"/>
          <w:lang w:eastAsia="en-US"/>
        </w:rPr>
        <w:t xml:space="preserve"> месяца, следующего за месяцем, за который осуществляется оплата. В случае если объем фактического потребления тепловой энергии и (или) теплоносителя за истекший месяц меньше договорного объема, определенного договором теплоснабжения, излишне уплаченная сумма засчитывается в счет предстоящего платежа за следующий месяц.</w:t>
      </w:r>
    </w:p>
    <w:p>
      <w:pPr>
        <w:pStyle w:val="Normal"/>
        <w:widowControl w:val="false"/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ab/>
      </w:r>
      <w:r>
        <w:rPr>
          <w:sz w:val="22"/>
          <w:szCs w:val="22"/>
        </w:rPr>
        <w:t>Плановая общая стоимость потребляемой тепловой энергии (мощности) и (или) теплоносителя в месяце, за который осуществляется оплата, рассчитывается как произведение определенного договором теплоснабжения договорного объема потребления тепловой энергии (мощности) и (или) теплоносителя в месяце, за который осуществляется оплата, и тарифа на тепловую энергию (мощность) и (или) теплоноситель или цены, определяемой по соглашению сторон</w:t>
      </w:r>
      <w:r>
        <w:rPr>
          <w:rFonts w:eastAsia="Calibri"/>
          <w:sz w:val="22"/>
          <w:szCs w:val="22"/>
          <w:lang w:eastAsia="en-US"/>
        </w:rPr>
        <w:t>.</w:t>
      </w:r>
    </w:p>
    <w:p>
      <w:pPr>
        <w:pStyle w:val="Normal"/>
        <w:widowControl w:val="false"/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ab/>
      </w:r>
      <w:r>
        <w:rPr>
          <w:bCs/>
          <w:sz w:val="22"/>
          <w:szCs w:val="22"/>
        </w:rPr>
        <w:t xml:space="preserve">Расчет за тепловую энергию </w:t>
      </w:r>
      <w:r>
        <w:rPr>
          <w:rFonts w:eastAsia="Calibri"/>
          <w:sz w:val="22"/>
          <w:szCs w:val="22"/>
          <w:lang w:eastAsia="en-US"/>
        </w:rPr>
        <w:t xml:space="preserve">(мощность) </w:t>
      </w:r>
      <w:r>
        <w:rPr>
          <w:sz w:val="22"/>
          <w:szCs w:val="22"/>
        </w:rPr>
        <w:t xml:space="preserve">и (или) теплоноситель и (или) горячую воду </w:t>
      </w:r>
      <w:r>
        <w:rPr>
          <w:bCs/>
          <w:sz w:val="22"/>
          <w:szCs w:val="22"/>
        </w:rPr>
        <w:t>производится платежными поручениями или другими формами расчетов, не запрещенными действующим законодательством</w:t>
      </w:r>
      <w:r>
        <w:rPr>
          <w:sz w:val="22"/>
          <w:szCs w:val="22"/>
        </w:rPr>
        <w:t xml:space="preserve"> РФ.</w:t>
      </w:r>
    </w:p>
    <w:p>
      <w:pPr>
        <w:pStyle w:val="Normal"/>
        <w:suppressAutoHyphens w:val="true"/>
        <w:ind w:left="0" w:firstLine="720"/>
        <w:rPr>
          <w:sz w:val="22"/>
          <w:szCs w:val="22"/>
          <w:lang w:eastAsia="en-US"/>
        </w:rPr>
      </w:pPr>
      <w:r>
        <w:rPr>
          <w:sz w:val="22"/>
          <w:szCs w:val="22"/>
        </w:rPr>
        <w:t xml:space="preserve">По окончании расчетного периода ТСО предъявляет Потребителю счет-фактуру, счет и Акт выполненных работ (приема-передачи) в 2-х экземплярах. Потребитель возвращает один экземпляр Акта выполненных работ (приема-передачи) подписанным руководителем и скрепленным печатью, </w:t>
      </w:r>
      <w:r>
        <w:rPr>
          <w:sz w:val="22"/>
          <w:szCs w:val="22"/>
          <w:lang w:eastAsia="en-US"/>
        </w:rPr>
        <w:t>в адрес ТСО не позднее 5-ти рабочих дней с момента получения</w:t>
      </w:r>
      <w:r>
        <w:rPr>
          <w:color w:val="000000"/>
          <w:sz w:val="22"/>
          <w:szCs w:val="22"/>
          <w:lang w:eastAsia="en-US"/>
        </w:rPr>
        <w:t>. В случае н</w:t>
      </w:r>
      <w:r>
        <w:rPr>
          <w:rFonts w:eastAsia="Calibri"/>
          <w:color w:val="000000"/>
          <w:sz w:val="22"/>
          <w:szCs w:val="22"/>
          <w:lang w:eastAsia="en-US"/>
        </w:rPr>
        <w:t xml:space="preserve">евозврата </w:t>
      </w:r>
      <w:r>
        <w:rPr>
          <w:color w:val="000000"/>
          <w:sz w:val="22"/>
          <w:szCs w:val="22"/>
        </w:rPr>
        <w:t>Потребителем</w:t>
      </w:r>
      <w:r>
        <w:rPr>
          <w:rFonts w:eastAsia="Calibri"/>
          <w:color w:val="000000"/>
          <w:sz w:val="22"/>
          <w:szCs w:val="22"/>
          <w:lang w:eastAsia="en-US"/>
        </w:rPr>
        <w:t xml:space="preserve"> подписанного Акта </w:t>
      </w:r>
      <w:r>
        <w:rPr>
          <w:color w:val="000000"/>
          <w:sz w:val="22"/>
          <w:szCs w:val="22"/>
        </w:rPr>
        <w:t xml:space="preserve">выполненных работ (приема-передачи) </w:t>
      </w:r>
      <w:r>
        <w:rPr>
          <w:rFonts w:eastAsia="Calibri"/>
          <w:color w:val="000000"/>
          <w:sz w:val="22"/>
          <w:szCs w:val="22"/>
          <w:lang w:eastAsia="en-US"/>
        </w:rPr>
        <w:t xml:space="preserve">по истечении установленного выше срока указанный </w:t>
      </w:r>
      <w:r>
        <w:rPr>
          <w:color w:val="000000"/>
          <w:sz w:val="22"/>
          <w:szCs w:val="22"/>
        </w:rPr>
        <w:t>Акт считается принятым, объемы энергоресурсов согласованными</w:t>
      </w:r>
      <w:r>
        <w:rPr>
          <w:sz w:val="22"/>
          <w:szCs w:val="22"/>
          <w:lang w:eastAsia="en-US"/>
        </w:rPr>
        <w:t>.</w:t>
      </w:r>
    </w:p>
    <w:p>
      <w:pPr>
        <w:pStyle w:val="Normal"/>
        <w:suppressAutoHyphens w:val="true"/>
        <w:ind w:left="0" w:firstLine="72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В случае частичного отказа от объема потребления коммунальных ресурсов, указанного в Акте </w:t>
      </w:r>
      <w:r>
        <w:rPr>
          <w:sz w:val="22"/>
          <w:szCs w:val="22"/>
        </w:rPr>
        <w:t>выполненных работ (приема-передачи)</w:t>
      </w:r>
      <w:r>
        <w:rPr>
          <w:sz w:val="22"/>
          <w:szCs w:val="22"/>
          <w:lang w:eastAsia="en-US"/>
        </w:rPr>
        <w:t xml:space="preserve">, Потребитель обязан оплатить стоимость неоспариваемой части потребления в срок, установленный настоящим договором и направить в ТСО обоснованный отказ от оплаты оспариваемой части объема потребления. </w:t>
      </w:r>
    </w:p>
    <w:p>
      <w:pPr>
        <w:pStyle w:val="Normal"/>
        <w:suppressAutoHyphens w:val="true"/>
        <w:ind w:left="0" w:firstLine="72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В случае если Потребитель не направил в адрес ТСО обоснования своего отказа в течение 5-ти рабочих дней с момента получения Акта </w:t>
      </w:r>
      <w:r>
        <w:rPr>
          <w:sz w:val="22"/>
          <w:szCs w:val="22"/>
        </w:rPr>
        <w:t>выполненных работ (приема-передачи)</w:t>
      </w:r>
      <w:r>
        <w:rPr>
          <w:sz w:val="22"/>
          <w:szCs w:val="22"/>
          <w:lang w:eastAsia="en-US"/>
        </w:rPr>
        <w:t xml:space="preserve">, претензии по объему и качеству не принимаются.  </w:t>
      </w:r>
    </w:p>
    <w:p>
      <w:pPr>
        <w:pStyle w:val="Normal"/>
        <w:suppressAutoHyphens w:val="true"/>
        <w:ind w:left="0" w:firstLine="720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Порядок оплаты оспариваемой части определяется соглашением сторон, а в случае не достижения такого соглашения – в судебном порядке.</w:t>
      </w:r>
    </w:p>
    <w:p>
      <w:pPr>
        <w:pStyle w:val="Normal"/>
        <w:suppressAutoHyphens w:val="true"/>
        <w:ind w:left="0" w:firstLine="720"/>
        <w:rPr>
          <w:sz w:val="22"/>
          <w:szCs w:val="22"/>
        </w:rPr>
      </w:pPr>
      <w:r>
        <w:rPr>
          <w:sz w:val="22"/>
          <w:szCs w:val="22"/>
        </w:rPr>
        <w:t>Размер оспариваемых обязательств по оплате определяется Сторонами путём переговоров, а в случае не достижения согласия – в судебном порядке.</w:t>
      </w:r>
    </w:p>
    <w:p>
      <w:pPr>
        <w:pStyle w:val="ListParagraph"/>
        <w:numPr>
          <w:ilvl w:val="1"/>
          <w:numId w:val="8"/>
        </w:numPr>
        <w:ind w:left="0" w:hanging="0"/>
        <w:rPr>
          <w:sz w:val="22"/>
          <w:szCs w:val="22"/>
        </w:rPr>
      </w:pPr>
      <w:r>
        <w:rPr>
          <w:sz w:val="22"/>
          <w:szCs w:val="22"/>
        </w:rPr>
        <w:t>При поставке тепловой энергии с использованием теплоносителя в виде пара, Потребитель производит оплату по установленным тарифам или по ценам, определенным соглашением сторон, а также возмещает ТСО затраты, связанные с частичным или полным невозвратом конденсата (затраты на воду и химводоподготовку), и (или) затраты, связанные с поступлением на источник тепловой энергии конденсата, качество которого не соответствует условиям контракта, по ценам, определяемым в соответствии с установленными тарифами, а в случаях, установленных законодательством РФ, либо в отсутствие установленных тарифов - по ценам, определенным соглашением сторон.</w:t>
      </w:r>
    </w:p>
    <w:p>
      <w:pPr>
        <w:pStyle w:val="ListParagraph"/>
        <w:numPr>
          <w:ilvl w:val="1"/>
          <w:numId w:val="8"/>
        </w:numPr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При оплате стоимости потребленной тепловой энергии (мощности) и (или) теплоносителя, и (или) горячей воды платежными поручениями Потребитель обязательно в поле «назначение платежа» указывает: оплата по договору </w:t>
      </w:r>
      <w:r>
        <w:rPr>
          <w:b/>
          <w:sz w:val="22"/>
          <w:szCs w:val="22"/>
        </w:rPr>
        <w:t>№ __________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от ___________</w:t>
      </w:r>
      <w:r>
        <w:rPr>
          <w:sz w:val="22"/>
          <w:szCs w:val="22"/>
        </w:rPr>
        <w:t>за тепловую энергию (мощность) и (или) теплоноситель, и (или) горячую воду, номер и дату счета-фактуры или счета, период за который производится оплата. В случае отсутствия в платежном поручении назначения платежа полученная сумма направляется ТСО на погашение задолженности в порядке календарной очередности (на самый ранее неоплаченный счет-фактуру), а при отсутствии задолженности – зачисляется в качестве аванса в счет будущих периодов потребления.</w:t>
      </w:r>
    </w:p>
    <w:p>
      <w:pPr>
        <w:pStyle w:val="ListParagraph"/>
        <w:numPr>
          <w:ilvl w:val="1"/>
          <w:numId w:val="8"/>
        </w:numPr>
        <w:suppressAutoHyphens w:val="true"/>
        <w:ind w:left="0" w:hanging="0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Для изменения назначения платежа требуется обязательное письменное согласие обеих сторон</w:t>
      </w:r>
      <w:r>
        <w:rPr>
          <w:sz w:val="22"/>
          <w:szCs w:val="22"/>
        </w:rPr>
        <w:t xml:space="preserve">. </w:t>
      </w:r>
    </w:p>
    <w:p>
      <w:pPr>
        <w:pStyle w:val="ListParagraph"/>
        <w:numPr>
          <w:ilvl w:val="1"/>
          <w:numId w:val="8"/>
        </w:numPr>
        <w:suppressAutoHyphens w:val="true"/>
        <w:ind w:left="0" w:hanging="0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Обязательство по оплате считается исполненным в день поступления денежных</w:t>
      </w:r>
      <w:r>
        <w:rPr>
          <w:sz w:val="22"/>
          <w:szCs w:val="22"/>
        </w:rPr>
        <w:t xml:space="preserve"> средств на расчетный счет ТСО. </w:t>
      </w:r>
    </w:p>
    <w:p>
      <w:pPr>
        <w:pStyle w:val="ListParagraph"/>
        <w:numPr>
          <w:ilvl w:val="1"/>
          <w:numId w:val="8"/>
        </w:numPr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rFonts w:eastAsia="Calibri"/>
          <w:sz w:val="22"/>
          <w:szCs w:val="22"/>
          <w:lang w:eastAsia="en-US"/>
        </w:rPr>
        <w:t>Стороны обязуются ежеквартально проводить сверку взаимных расчетов с составлением Акта сверки. ТСО по истечении квартала направляет Потребителю оформленный со своей стороны Акт сверки. Потребитель обязан в течение 10 дней с момента получения рассмотреть Акт сверки, подписать и направить один экземпляр ТСО. Акт сверки расчетов считается согласованный обеими сторонами в случае невозврата Акта в течение установленного выше срока</w:t>
      </w:r>
      <w:r>
        <w:rPr>
          <w:sz w:val="22"/>
          <w:szCs w:val="22"/>
        </w:rPr>
        <w:t>.</w:t>
      </w:r>
    </w:p>
    <w:p>
      <w:pPr>
        <w:pStyle w:val="Normal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0"/>
          <w:numId w:val="8"/>
        </w:numPr>
        <w:ind w:left="357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ПОРЯДОК КОНТРОЛЯ КАЧЕСТВА ГОРЯЧЕЙ ВОДЫ.</w:t>
      </w:r>
    </w:p>
    <w:p>
      <w:pPr>
        <w:pStyle w:val="ListParagraph"/>
        <w:ind w:left="36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1"/>
          <w:numId w:val="8"/>
        </w:numPr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Контроль качества подаваемой горячей воды осуществляется в соответствии с законодательством Российской Федерации в области обеспечения санитарно-эпидемиологического благополучия населения:</w:t>
      </w:r>
    </w:p>
    <w:p>
      <w:pPr>
        <w:pStyle w:val="ListParagraph"/>
        <w:ind w:left="0" w:firstLine="72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а) по инициативе и за счет Потребителя;</w:t>
      </w:r>
    </w:p>
    <w:p>
      <w:pPr>
        <w:pStyle w:val="ListParagraph"/>
        <w:ind w:left="0" w:firstLine="72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б) на основании программы производственного контроля качества горячей воды организации, осуществляющей горячее водоснабжение;</w:t>
      </w:r>
    </w:p>
    <w:p>
      <w:pPr>
        <w:pStyle w:val="ListParagraph"/>
        <w:ind w:left="0" w:firstLine="72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в) при осуществлении федерального государственного санитарно-эпидемиологического контроля уполномоченным территориальным органом федерального органа исполнительной власти.</w:t>
      </w:r>
    </w:p>
    <w:p>
      <w:pPr>
        <w:pStyle w:val="ListParagraph"/>
        <w:numPr>
          <w:ilvl w:val="1"/>
          <w:numId w:val="8"/>
        </w:numPr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Контроль качества горячей воды, подаваемой Потребителю с использованием систем горячего водоснабжения, включает в себя отбор проб воды, проведение лабораторных исследований и испытаний на соответствие горячей воды установленным требованиям.</w:t>
      </w:r>
    </w:p>
    <w:p>
      <w:pPr>
        <w:pStyle w:val="ListParagraph"/>
        <w:numPr>
          <w:ilvl w:val="1"/>
          <w:numId w:val="8"/>
        </w:numPr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Отбор проб горячей воды производится </w:t>
      </w:r>
      <w:r>
        <w:rPr>
          <w:sz w:val="22"/>
          <w:szCs w:val="22"/>
        </w:rPr>
        <w:t xml:space="preserve">представителем ФБУЗ «Центр гигиены и эпидемиологии в Камчатском крае» с </w:t>
      </w:r>
      <w:r>
        <w:rPr>
          <w:rFonts w:eastAsia="Calibri"/>
          <w:sz w:val="22"/>
          <w:szCs w:val="22"/>
          <w:lang w:eastAsia="en-US"/>
        </w:rPr>
        <w:t>участием представителей организации, осуществляющей горячее водоснабжение, и представителей Потребителя в порядке, установленном законодательством Российской Федерации.</w:t>
      </w:r>
    </w:p>
    <w:p>
      <w:pPr>
        <w:pStyle w:val="ListParagraph"/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</w:r>
    </w:p>
    <w:p>
      <w:pPr>
        <w:pStyle w:val="ListParagraph"/>
        <w:numPr>
          <w:ilvl w:val="0"/>
          <w:numId w:val="8"/>
        </w:numPr>
        <w:ind w:left="357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ОТВЕТСТВЕННОСТЬ СТОРОН.</w:t>
      </w:r>
    </w:p>
    <w:p>
      <w:pPr>
        <w:pStyle w:val="ListParagraph"/>
        <w:ind w:left="36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numPr>
          <w:ilvl w:val="1"/>
          <w:numId w:val="8"/>
        </w:numPr>
        <w:suppressAutoHyphens w:val="true"/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Стороны несут ответственность за неисполнение или ненадлежащее исполнение обязательств по настоящему договору, в случаях и порядке, определенных законодательством Российской Федерации и настоящим договором, в том числе за нарушение порядка полного и (или) частичного ограничения режима потребления. </w:t>
      </w:r>
    </w:p>
    <w:p>
      <w:pPr>
        <w:pStyle w:val="Normal"/>
        <w:numPr>
          <w:ilvl w:val="1"/>
          <w:numId w:val="8"/>
        </w:numPr>
        <w:suppressAutoHyphens w:val="true"/>
        <w:ind w:left="0" w:hanging="0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>За нарушение обязательств по настоящему договору (в том числе за несоблюдение требований к параметрам качества теплоснабжения, нарушение режима потребления тепловой энергии, за нарушение условий о количестве, качестве и значениях термодинамических параметров возвращаемого теплоносителя, Стороны несут ответственность в соответствии с законодательством РФ.</w:t>
      </w:r>
    </w:p>
    <w:p>
      <w:pPr>
        <w:pStyle w:val="Normal"/>
        <w:numPr>
          <w:ilvl w:val="1"/>
          <w:numId w:val="8"/>
        </w:numPr>
        <w:suppressAutoHyphens w:val="true"/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ТСО несет ответственность за нарушение условий поставки, в том числе надежности качества тепловой энергии</w:t>
      </w:r>
      <w:r>
        <w:rPr>
          <w:sz w:val="22"/>
          <w:szCs w:val="22"/>
        </w:rPr>
        <w:t xml:space="preserve"> (мощности) </w:t>
      </w:r>
      <w:r>
        <w:rPr>
          <w:rFonts w:eastAsia="Calibri"/>
          <w:sz w:val="22"/>
          <w:szCs w:val="22"/>
          <w:lang w:eastAsia="en-US"/>
        </w:rPr>
        <w:t xml:space="preserve">и </w:t>
      </w:r>
      <w:r>
        <w:rPr>
          <w:sz w:val="22"/>
          <w:szCs w:val="22"/>
        </w:rPr>
        <w:t>(или) теплоносителя, и (или) горячей воды до точек раздела границ,</w:t>
      </w:r>
      <w:r>
        <w:rPr>
          <w:spacing w:val="-1"/>
          <w:sz w:val="22"/>
          <w:szCs w:val="22"/>
        </w:rPr>
        <w:t xml:space="preserve"> определенных в Актах разграничения балансовой принадлежности тепловых сетей</w:t>
      </w:r>
      <w:r>
        <w:rPr>
          <w:rFonts w:eastAsia="Calibri"/>
          <w:sz w:val="22"/>
          <w:szCs w:val="22"/>
          <w:lang w:eastAsia="en-US"/>
        </w:rPr>
        <w:t>. Потребитель несет ответственность за нарушение порядка оплаты.</w:t>
      </w:r>
    </w:p>
    <w:p>
      <w:pPr>
        <w:pStyle w:val="Normal"/>
        <w:widowControl w:val="false"/>
        <w:numPr>
          <w:ilvl w:val="1"/>
          <w:numId w:val="8"/>
        </w:numPr>
        <w:suppressAutoHyphens w:val="true"/>
        <w:ind w:left="0" w:hanging="0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 </w:t>
      </w:r>
      <w:r>
        <w:rPr>
          <w:rFonts w:eastAsia="Calibri"/>
          <w:sz w:val="22"/>
          <w:szCs w:val="22"/>
          <w:lang w:eastAsia="en-US"/>
        </w:rPr>
        <w:t>Т</w:t>
      </w:r>
      <w:r>
        <w:rPr>
          <w:sz w:val="22"/>
          <w:szCs w:val="22"/>
        </w:rPr>
        <w:t xml:space="preserve">СО не несет ответственности за недоотпуск </w:t>
      </w:r>
      <w:r>
        <w:rPr>
          <w:spacing w:val="5"/>
          <w:sz w:val="22"/>
          <w:szCs w:val="22"/>
        </w:rPr>
        <w:t>тепловой энергии</w:t>
      </w:r>
      <w:r>
        <w:rPr>
          <w:sz w:val="22"/>
          <w:szCs w:val="22"/>
        </w:rPr>
        <w:t xml:space="preserve"> (мощности) </w:t>
      </w:r>
      <w:r>
        <w:rPr>
          <w:rFonts w:eastAsia="Calibri"/>
          <w:sz w:val="22"/>
          <w:szCs w:val="22"/>
          <w:lang w:eastAsia="en-US"/>
        </w:rPr>
        <w:t>и (или) теплоносителя</w:t>
      </w:r>
      <w:r>
        <w:rPr>
          <w:sz w:val="22"/>
          <w:szCs w:val="22"/>
        </w:rPr>
        <w:t>, и (или) горячей воды</w:t>
      </w:r>
      <w:r>
        <w:rPr>
          <w:spacing w:val="5"/>
          <w:sz w:val="22"/>
          <w:szCs w:val="22"/>
        </w:rPr>
        <w:t xml:space="preserve">, произошедший по вине Потребителя (субабонентов), или вызванный </w:t>
      </w:r>
      <w:r>
        <w:rPr>
          <w:spacing w:val="2"/>
          <w:sz w:val="22"/>
          <w:szCs w:val="22"/>
        </w:rPr>
        <w:t xml:space="preserve">стихийным явлением, или ненадлежащим исполнением Потребителем своих обязательств, </w:t>
      </w:r>
      <w:r>
        <w:rPr>
          <w:sz w:val="22"/>
          <w:szCs w:val="22"/>
        </w:rPr>
        <w:t>предусмотренных настоящим договором или действующим законодательством РФ.</w:t>
      </w:r>
    </w:p>
    <w:p>
      <w:pPr>
        <w:pStyle w:val="Normal"/>
        <w:numPr>
          <w:ilvl w:val="1"/>
          <w:numId w:val="8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Потребитель несёт ответственность за предоставление недостоверных исходных данных, используемых ТСО при расчётах потребления тепловой энергии (мощности) </w:t>
      </w:r>
      <w:r>
        <w:rPr>
          <w:rFonts w:eastAsia="Calibri"/>
          <w:sz w:val="22"/>
          <w:szCs w:val="22"/>
          <w:lang w:eastAsia="en-US"/>
        </w:rPr>
        <w:t>и (или) теплоносителя</w:t>
      </w:r>
      <w:r>
        <w:rPr>
          <w:sz w:val="22"/>
          <w:szCs w:val="22"/>
        </w:rPr>
        <w:t>, и (или) горячей воды, и возмещает ТСО разницу в потреблении за весь период в пределах срока исковой давности.</w:t>
      </w:r>
    </w:p>
    <w:p>
      <w:pPr>
        <w:pStyle w:val="Normal"/>
        <w:numPr>
          <w:ilvl w:val="1"/>
          <w:numId w:val="8"/>
        </w:numPr>
        <w:spacing w:before="0" w:after="0"/>
        <w:ind w:left="0" w:hanging="0"/>
        <w:contextualSpacing/>
        <w:rPr>
          <w:sz w:val="22"/>
          <w:szCs w:val="22"/>
        </w:rPr>
      </w:pPr>
      <w:r>
        <w:rPr>
          <w:sz w:val="22"/>
          <w:szCs w:val="22"/>
        </w:rPr>
        <w:t>Потребитель несет ответственность за умышленный вывод из строя прибора учета или иное воздействие на прибор с целью искажения его показаний. При обнаружении данного факта производится перерасчет в соответствии с нормативными документами с даты вмешательства в работу прибора, а при невозможности установить дату – с даты предыдущей проверки, по тарифам, действующим на момент обнаружения факта умышленного вывода из строя прибора учета или воздействия на прибор с целью искажения его показаний.</w:t>
      </w:r>
    </w:p>
    <w:p>
      <w:pPr>
        <w:pStyle w:val="Normal"/>
        <w:numPr>
          <w:ilvl w:val="1"/>
          <w:numId w:val="8"/>
        </w:numPr>
        <w:suppressAutoHyphens w:val="true"/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 случае несвоевременной и (или) неполной оплаты тепловой энергии (мощности) и (или) теплоносителя, и (или) горячей воды по настоящему договору Потребитель несет ответственность, предусмотренную действующим законодательством.</w:t>
      </w:r>
    </w:p>
    <w:p>
      <w:pPr>
        <w:pStyle w:val="Normal"/>
        <w:numPr>
          <w:ilvl w:val="1"/>
          <w:numId w:val="8"/>
        </w:numPr>
        <w:suppressAutoHyphens w:val="true"/>
        <w:ind w:left="0" w:hanging="0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>
      <w:pPr>
        <w:pStyle w:val="Normal"/>
        <w:numPr>
          <w:ilvl w:val="1"/>
          <w:numId w:val="8"/>
        </w:numPr>
        <w:suppressAutoHyphens w:val="true"/>
        <w:ind w:left="0" w:hanging="0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>Уплата неустоек за просрочку, неисполнение или ненадлежащее исполнение обязательств по настоящему договору, а также возмещение убытков, причиненных ненадлежащим исполнением обязательств, не освобождает Стороны от исполнения обязательств по договору.</w:t>
      </w:r>
    </w:p>
    <w:p>
      <w:pPr>
        <w:pStyle w:val="ListParagraph"/>
        <w:numPr>
          <w:ilvl w:val="1"/>
          <w:numId w:val="8"/>
        </w:numPr>
        <w:suppressAutoHyphens w:val="true"/>
        <w:ind w:left="0" w:hanging="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Все споры и разногласия, возникающие в связи с исполнением, заключением и расторжением настоящего договора, разрешаются сторонами в досудебном порядке, в случае недостижения согласия  подлежат разрешению в Арбитражном суде Камчатского края или суде общей юрисдикции, в зависимости от подсудности. Каждая из Сторон имеет право обратиться с заявлением об урегулировании разногласий, возникших при заключении, изменении настоящего договора </w:t>
      </w:r>
      <w:r>
        <w:rPr>
          <w:sz w:val="22"/>
          <w:szCs w:val="22"/>
        </w:rPr>
        <w:t>после принятия мер по досудебному урегулированию по истечении десяти календарных дней со дня направления претензии (требования)</w:t>
      </w:r>
      <w:r>
        <w:rPr>
          <w:rFonts w:eastAsia="Calibri"/>
          <w:sz w:val="22"/>
          <w:szCs w:val="22"/>
          <w:lang w:eastAsia="en-US"/>
        </w:rPr>
        <w:t>.</w:t>
      </w:r>
    </w:p>
    <w:p>
      <w:pPr>
        <w:pStyle w:val="ListParagraph"/>
        <w:numPr>
          <w:ilvl w:val="1"/>
          <w:numId w:val="8"/>
        </w:numPr>
        <w:suppressAutoHyphens w:val="true"/>
        <w:ind w:left="0" w:hanging="0"/>
        <w:rPr>
          <w:sz w:val="22"/>
          <w:szCs w:val="22"/>
        </w:rPr>
      </w:pPr>
      <w:r>
        <w:rPr>
          <w:spacing w:val="1"/>
          <w:sz w:val="22"/>
          <w:szCs w:val="22"/>
        </w:rPr>
        <w:t>Перечень должностных лиц, имеющих право проведения переговоров по качеству и количеству тепловой энергии</w:t>
      </w:r>
      <w:r>
        <w:rPr>
          <w:sz w:val="22"/>
          <w:szCs w:val="22"/>
        </w:rPr>
        <w:t xml:space="preserve"> (мощности) </w:t>
      </w:r>
      <w:r>
        <w:rPr>
          <w:rFonts w:eastAsia="Calibri"/>
          <w:sz w:val="22"/>
          <w:szCs w:val="22"/>
          <w:lang w:eastAsia="en-US"/>
        </w:rPr>
        <w:t>и (или) теплоносителя</w:t>
      </w:r>
      <w:r>
        <w:rPr>
          <w:sz w:val="22"/>
          <w:szCs w:val="22"/>
        </w:rPr>
        <w:t>, и (или) горячей воды</w:t>
      </w:r>
      <w:r>
        <w:rPr>
          <w:spacing w:val="1"/>
          <w:sz w:val="22"/>
          <w:szCs w:val="22"/>
        </w:rPr>
        <w:t xml:space="preserve">, снятия показаний приборов учета, а также по вопросам взаимных </w:t>
      </w:r>
      <w:r>
        <w:rPr>
          <w:sz w:val="22"/>
          <w:szCs w:val="22"/>
        </w:rPr>
        <w:t>обязательств, приведен в Приложении № 4.</w:t>
      </w:r>
    </w:p>
    <w:p>
      <w:pPr>
        <w:pStyle w:val="ListParagraph"/>
        <w:numPr>
          <w:ilvl w:val="1"/>
          <w:numId w:val="8"/>
        </w:numPr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  <w:t xml:space="preserve">Стороны освобождаются от ответственности за неисполнение или ненадлежащее исполнение обязательств по настоящему </w:t>
      </w:r>
      <w:r>
        <w:rPr>
          <w:rFonts w:eastAsia="Calibri"/>
          <w:sz w:val="22"/>
          <w:szCs w:val="22"/>
          <w:lang w:eastAsia="en-US"/>
        </w:rPr>
        <w:t>договору</w:t>
      </w:r>
      <w:r>
        <w:rPr>
          <w:sz w:val="22"/>
          <w:szCs w:val="22"/>
        </w:rPr>
        <w:t xml:space="preserve">, если это явилось следствием обстоятельств непреодолимой силы, возникших после заключения </w:t>
      </w:r>
      <w:r>
        <w:rPr>
          <w:rFonts w:eastAsia="Calibri"/>
          <w:sz w:val="22"/>
          <w:szCs w:val="22"/>
          <w:lang w:eastAsia="en-US"/>
        </w:rPr>
        <w:t>контракта</w:t>
      </w:r>
      <w:r>
        <w:rPr>
          <w:sz w:val="22"/>
          <w:szCs w:val="22"/>
        </w:rPr>
        <w:t xml:space="preserve">, как-то: стихийные бедствия, военные действия любого характера, правительственные постановления или распоряжения государственных органов, препятствующие выполнению условий настоящего </w:t>
      </w:r>
      <w:r>
        <w:rPr>
          <w:rFonts w:eastAsia="Calibri"/>
          <w:sz w:val="22"/>
          <w:szCs w:val="22"/>
          <w:lang w:eastAsia="en-US"/>
        </w:rPr>
        <w:t>договора</w:t>
      </w:r>
      <w:r>
        <w:rPr>
          <w:sz w:val="22"/>
          <w:szCs w:val="22"/>
        </w:rPr>
        <w:t>. Сторона, ссылающаяся на обстоятельства непреодолимой силы, обязана незамедлительно информировать другую сторону о наступлении подобных обстоятельств в письменной форме.</w:t>
      </w:r>
    </w:p>
    <w:p>
      <w:pPr>
        <w:pStyle w:val="ListParagraph"/>
        <w:suppressAutoHyphens w:val="true"/>
        <w:ind w:left="0" w:hanging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istParagraph"/>
        <w:numPr>
          <w:ilvl w:val="0"/>
          <w:numId w:val="8"/>
        </w:numPr>
        <w:ind w:left="357" w:hanging="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СРОК ДЕЙСТВИЯ ДОГОВОРА.  </w:t>
      </w:r>
    </w:p>
    <w:p>
      <w:pPr>
        <w:pStyle w:val="ListParagraph"/>
        <w:ind w:left="36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keepNext w:val="true"/>
        <w:numPr>
          <w:ilvl w:val="1"/>
          <w:numId w:val="8"/>
        </w:numPr>
        <w:ind w:left="0" w:hanging="0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Настоящий договор вступает в силу с момента подписания, распространяет свое действие на правоотношения сторон, возникшие с «__»___________года, действует по ________________ года включительно и считается продленным на </w:t>
      </w:r>
      <w:r>
        <w:rPr>
          <w:color w:val="000000" w:themeColor="text1"/>
          <w:sz w:val="22"/>
          <w:szCs w:val="22"/>
        </w:rPr>
        <w:t xml:space="preserve">каждый следующий календарный год </w:t>
      </w:r>
      <w:r>
        <w:rPr>
          <w:sz w:val="22"/>
          <w:szCs w:val="22"/>
        </w:rPr>
        <w:t xml:space="preserve">и на тех же условиях, если до окончания срока его действия ни одна из сторон не заявит о его прекращении или изменении. </w:t>
      </w:r>
    </w:p>
    <w:p>
      <w:pPr>
        <w:pStyle w:val="ListParagraph"/>
        <w:keepNext w:val="true"/>
        <w:numPr>
          <w:ilvl w:val="1"/>
          <w:numId w:val="8"/>
        </w:numPr>
        <w:ind w:left="0" w:hanging="0"/>
        <w:outlineLvl w:val="1"/>
        <w:rPr>
          <w:sz w:val="22"/>
          <w:szCs w:val="22"/>
        </w:rPr>
      </w:pPr>
      <w:r>
        <w:rPr>
          <w:sz w:val="22"/>
          <w:szCs w:val="22"/>
        </w:rPr>
        <w:t>Если одной из сторон до окончания срока действия договора внесено предложение об изменении или заключении нового договора, то отношения сторон до заключения нового договора регулируются в соответствии с условиями ранее заключенного договора.</w:t>
      </w:r>
    </w:p>
    <w:p>
      <w:pPr>
        <w:pStyle w:val="Normal"/>
        <w:keepNext w:val="true"/>
        <w:numPr>
          <w:ilvl w:val="0"/>
          <w:numId w:val="0"/>
        </w:numPr>
        <w:ind w:left="0" w:hanging="0"/>
        <w:outlineLvl w:val="1"/>
        <w:rPr>
          <w:sz w:val="22"/>
          <w:szCs w:val="22"/>
        </w:rPr>
      </w:pPr>
      <w:r>
        <w:rPr>
          <w:b/>
          <w:sz w:val="22"/>
          <w:szCs w:val="22"/>
        </w:rPr>
        <w:t>11.3.</w:t>
      </w:r>
      <w:r>
        <w:rPr>
          <w:sz w:val="22"/>
          <w:szCs w:val="22"/>
        </w:rPr>
        <w:t xml:space="preserve"> Настоящий договор может быть расторгнут ТСО в случае неоднократного нарушения Потребителем сроков оплаты по настоящему договору с момента получения Потребителем уведомления об одностороннем отказе от исполнения договора, если иной срок расторжения не предусмотрен в уведомлении.</w:t>
      </w:r>
    </w:p>
    <w:p>
      <w:pPr>
        <w:pStyle w:val="ListParagraph"/>
        <w:ind w:left="36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ListParagraph"/>
        <w:numPr>
          <w:ilvl w:val="0"/>
          <w:numId w:val="8"/>
        </w:numPr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ПРИЛОЖЕНИЯ.</w:t>
      </w:r>
    </w:p>
    <w:p>
      <w:pPr>
        <w:pStyle w:val="Normal"/>
        <w:ind w:left="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ind w:left="2160" w:hanging="216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Приложение № 1</w:t>
        <w:tab/>
        <w:t xml:space="preserve">Договорный объем потребления тепловой энергии (мощности) и (или) теплоносителя, и (или) горячей воды. </w:t>
      </w:r>
    </w:p>
    <w:p>
      <w:pPr>
        <w:pStyle w:val="Normal"/>
        <w:ind w:left="2160" w:hanging="2160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Приложение № 2</w:t>
        <w:tab/>
        <w:t xml:space="preserve">Акт разграничения балансовой принадлежности тепловых сетей и эксплуатационной ответственности сторон </w:t>
      </w:r>
    </w:p>
    <w:p>
      <w:pPr>
        <w:pStyle w:val="Normal"/>
        <w:ind w:left="0" w:firstLine="34"/>
        <w:jc w:val="lef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Приложение № 3</w:t>
        <w:tab/>
      </w:r>
      <w:r>
        <w:rPr>
          <w:sz w:val="22"/>
          <w:szCs w:val="22"/>
        </w:rPr>
        <w:t xml:space="preserve">График регулирования отпуска тепла </w:t>
      </w:r>
      <w:r>
        <w:rPr>
          <w:sz w:val="22"/>
          <w:szCs w:val="22"/>
          <w:lang w:val="en-US"/>
        </w:rPr>
        <w:t>c</w:t>
      </w:r>
      <w:r>
        <w:rPr>
          <w:sz w:val="22"/>
          <w:szCs w:val="22"/>
        </w:rPr>
        <w:t xml:space="preserve"> источника тепловой энергии</w:t>
      </w:r>
    </w:p>
    <w:p>
      <w:pPr>
        <w:pStyle w:val="Normal"/>
        <w:ind w:left="2160" w:hanging="2126"/>
        <w:jc w:val="lef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Приложение № 4</w:t>
      </w:r>
      <w:r>
        <w:rPr>
          <w:sz w:val="22"/>
          <w:szCs w:val="22"/>
        </w:rPr>
        <w:tab/>
        <w:t>Список ответственных лиц и иная контактная информация</w:t>
      </w:r>
      <w:r>
        <w:rPr>
          <w:rFonts w:eastAsia="Calibri"/>
          <w:sz w:val="22"/>
          <w:szCs w:val="22"/>
          <w:lang w:eastAsia="en-US"/>
        </w:rPr>
        <w:t>.</w:t>
      </w:r>
    </w:p>
    <w:p>
      <w:pPr>
        <w:pStyle w:val="Normal"/>
        <w:ind w:left="2160" w:hanging="2126"/>
        <w:jc w:val="left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Приложение № 5</w:t>
        <w:tab/>
        <w:t>Перечень точек учета и узлов (приборов) учета тепловой энергии (мощности) и (или) теплоносителя, и (или) горячей воды у Потребителя.</w:t>
      </w:r>
    </w:p>
    <w:p>
      <w:pPr>
        <w:pStyle w:val="Normal"/>
        <w:ind w:left="0" w:hanging="0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ListParagraph"/>
        <w:numPr>
          <w:ilvl w:val="0"/>
          <w:numId w:val="8"/>
        </w:numPr>
        <w:ind w:left="357" w:hanging="0"/>
        <w:jc w:val="center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РЕКВИЗИТЫ СТОРОН К ДОГОВОРУ ТЕПЛОСНБЖЕНИЯ И ГОРЯЧЕГО ВОДОСНАБЖЕНИЯ № </w:t>
      </w:r>
      <w:r>
        <w:rPr>
          <w:b/>
          <w:sz w:val="22"/>
          <w:szCs w:val="22"/>
        </w:rPr>
        <w:t>_________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от ___________</w:t>
      </w:r>
    </w:p>
    <w:tbl>
      <w:tblPr>
        <w:tblW w:w="9746" w:type="dxa"/>
        <w:jc w:val="left"/>
        <w:tblInd w:w="-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4784"/>
        <w:gridCol w:w="4961"/>
      </w:tblGrid>
      <w:tr>
        <w:trPr>
          <w:trHeight w:val="3745" w:hRule="atLeast"/>
        </w:trPr>
        <w:tc>
          <w:tcPr>
            <w:tcW w:w="4784" w:type="dxa"/>
            <w:tcBorders/>
            <w:shd w:fill="auto" w:val="clear"/>
          </w:tcPr>
          <w:p>
            <w:pPr>
              <w:pStyle w:val="Normal"/>
              <w:spacing w:lineRule="auto" w:line="240"/>
              <w:ind w:left="357" w:right="255" w:firstLine="357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spacing w:lineRule="auto" w:line="240"/>
              <w:ind w:left="357" w:right="255" w:firstLine="357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Теплоснабжающая организация</w:t>
            </w:r>
          </w:p>
          <w:p>
            <w:pPr>
              <w:pStyle w:val="Normal"/>
              <w:spacing w:lineRule="auto" w:line="240"/>
              <w:ind w:left="357" w:right="255" w:firstLine="357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Style16"/>
              <w:spacing w:lineRule="auto" w:line="240"/>
              <w:ind w:left="357" w:right="310" w:hanging="0"/>
              <w:jc w:val="left"/>
              <w:rPr/>
            </w:pPr>
            <w:r>
              <w:rPr>
                <w:b/>
                <w:sz w:val="22"/>
                <w:szCs w:val="22"/>
              </w:rPr>
              <w:t>Публичное акционерное общество энергетики и электрификации «Камчатскэнерго»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color w:val="000000"/>
                <w:sz w:val="22"/>
                <w:szCs w:val="22"/>
              </w:rPr>
              <w:t>683000, Камчатский край,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color w:val="000000"/>
                <w:sz w:val="22"/>
                <w:szCs w:val="22"/>
              </w:rPr>
              <w:t>г. Петропавловск-Камчатский,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color w:val="000000"/>
                <w:sz w:val="22"/>
                <w:szCs w:val="22"/>
              </w:rPr>
              <w:t xml:space="preserve">ул. Набережная, д. 10 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color w:val="000000"/>
                <w:sz w:val="22"/>
                <w:szCs w:val="22"/>
              </w:rPr>
              <w:t>ИНН 4100000668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color w:val="000000"/>
                <w:sz w:val="22"/>
                <w:szCs w:val="22"/>
              </w:rPr>
              <w:t xml:space="preserve">КПП 410101001 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color w:val="000000"/>
                <w:sz w:val="22"/>
                <w:szCs w:val="22"/>
              </w:rPr>
              <w:t>КПП 775050001 поставлено на учет в качестве крупнейшего налогоплательщика с 08.02.2019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color w:val="000000"/>
                <w:sz w:val="22"/>
                <w:szCs w:val="22"/>
              </w:rPr>
              <w:t>Код ОКТМО 30701000001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color w:val="000000"/>
                <w:sz w:val="22"/>
                <w:szCs w:val="22"/>
              </w:rPr>
              <w:t>ОКПО 00106106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color w:val="000000"/>
                <w:sz w:val="22"/>
                <w:szCs w:val="22"/>
              </w:rPr>
              <w:t>дата постановки на учет в ИФНС: 18.01.1994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color w:val="000000"/>
                <w:sz w:val="22"/>
                <w:szCs w:val="22"/>
              </w:rPr>
              <w:t>ОО «Дальневосточный» в ФИЛИАЛ «ХАБАРОВСКИЙ»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color w:val="000000"/>
                <w:sz w:val="22"/>
                <w:szCs w:val="22"/>
              </w:rPr>
              <w:t>АО «АЛЬФА-БАНК»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color w:val="000000"/>
                <w:sz w:val="22"/>
                <w:szCs w:val="22"/>
              </w:rPr>
              <w:t>Р/счет  40702810020020005559</w:t>
              <w:tab/>
            </w:r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color w:val="000000"/>
                <w:sz w:val="22"/>
                <w:szCs w:val="22"/>
              </w:rPr>
              <w:t>К/счет  30101810800000000770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color w:val="000000"/>
                <w:sz w:val="22"/>
                <w:szCs w:val="22"/>
              </w:rPr>
              <w:t>БИК  040813770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color w:val="000000"/>
                <w:sz w:val="22"/>
                <w:szCs w:val="22"/>
              </w:rPr>
              <w:t xml:space="preserve">E-mail: </w:t>
            </w:r>
            <w:r>
              <w:rPr>
                <w:rStyle w:val="Style9"/>
                <w:sz w:val="22"/>
                <w:szCs w:val="22"/>
              </w:rPr>
              <w:t>kamenergo@rushydro.ru</w:t>
            </w:r>
          </w:p>
          <w:p>
            <w:pPr>
              <w:pStyle w:val="Style16"/>
              <w:spacing w:lineRule="auto" w:line="240"/>
              <w:ind w:left="0" w:right="255" w:hanging="0"/>
              <w:jc w:val="left"/>
              <w:rPr/>
            </w:pPr>
            <w:bookmarkStart w:id="0" w:name="__DdeLink__1218_587274678"/>
            <w:r>
              <w:rPr>
                <w:b/>
                <w:color w:val="000000"/>
                <w:sz w:val="22"/>
                <w:szCs w:val="22"/>
              </w:rPr>
              <w:t xml:space="preserve">Официальный сайт ПАО «Камчатскэнерго»: </w:t>
            </w:r>
            <w:hyperlink r:id="rId7">
              <w:bookmarkEnd w:id="0"/>
              <w:r>
                <w:rPr>
                  <w:rStyle w:val="Style9"/>
                  <w:b/>
                  <w:sz w:val="22"/>
                  <w:szCs w:val="22"/>
                </w:rPr>
                <w:t>www.kamenergo.ru</w:t>
              </w:r>
            </w:hyperlink>
          </w:p>
          <w:p>
            <w:pPr>
              <w:pStyle w:val="Normal"/>
              <w:spacing w:lineRule="auto" w:line="240"/>
              <w:ind w:left="357" w:right="255" w:firstLine="357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spacing w:lineRule="auto" w:line="240"/>
              <w:ind w:left="357" w:right="255" w:firstLine="357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spacing w:lineRule="auto" w:line="240"/>
              <w:ind w:left="357" w:right="255" w:firstLine="357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4961" w:type="dxa"/>
            <w:tcBorders/>
            <w:shd w:fill="auto" w:val="clear"/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Потребитель</w:t>
            </w:r>
          </w:p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Style16"/>
              <w:ind w:left="34" w:hanging="0"/>
              <w:rPr/>
            </w:pPr>
            <w:r>
              <w:rPr>
                <w:iCs/>
                <w:color w:val="0000FF"/>
                <w:sz w:val="22"/>
                <w:szCs w:val="22"/>
              </w:rPr>
              <w:t>________________________________________</w:t>
            </w:r>
          </w:p>
          <w:p>
            <w:pPr>
              <w:pStyle w:val="Style16"/>
              <w:ind w:left="34" w:hanging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  <w:p>
            <w:pPr>
              <w:pStyle w:val="Style16"/>
              <w:ind w:left="34" w:hanging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Телефон__________________________________</w:t>
            </w:r>
          </w:p>
          <w:p>
            <w:pPr>
              <w:pStyle w:val="Style16"/>
              <w:ind w:left="34" w:hanging="0"/>
              <w:rPr/>
            </w:pPr>
            <w:r>
              <w:rPr>
                <w:iCs/>
                <w:sz w:val="22"/>
                <w:szCs w:val="22"/>
              </w:rPr>
              <w:t>Факс____________________________________</w:t>
            </w:r>
          </w:p>
          <w:p>
            <w:pPr>
              <w:pStyle w:val="Style16"/>
              <w:ind w:left="34" w:hanging="0"/>
              <w:rPr/>
            </w:pPr>
            <w:r>
              <w:rPr>
                <w:bCs/>
                <w:sz w:val="22"/>
                <w:szCs w:val="22"/>
              </w:rPr>
              <w:t>Адрес электронной почты __________________</w:t>
            </w:r>
          </w:p>
          <w:p>
            <w:pPr>
              <w:pStyle w:val="Style16"/>
              <w:ind w:left="34" w:hanging="0"/>
              <w:rPr/>
            </w:pPr>
            <w:r>
              <w:rPr>
                <w:iCs/>
                <w:sz w:val="22"/>
                <w:szCs w:val="22"/>
              </w:rPr>
              <w:t>ИНН/КПП________________________________</w:t>
            </w:r>
          </w:p>
          <w:p>
            <w:pPr>
              <w:pStyle w:val="Style16"/>
              <w:ind w:left="34" w:hanging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ОКВЭД__________________________________</w:t>
            </w:r>
          </w:p>
          <w:p>
            <w:pPr>
              <w:pStyle w:val="Style16"/>
              <w:ind w:left="34" w:hanging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ОГРН_______________________________</w:t>
            </w:r>
          </w:p>
          <w:p>
            <w:pPr>
              <w:pStyle w:val="Style16"/>
              <w:ind w:left="34" w:hanging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Банк ________________________________</w:t>
            </w:r>
          </w:p>
          <w:p>
            <w:pPr>
              <w:pStyle w:val="Style16"/>
              <w:ind w:left="34" w:hanging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_____________________________________</w:t>
            </w:r>
          </w:p>
          <w:p>
            <w:pPr>
              <w:pStyle w:val="Style16"/>
              <w:ind w:left="34" w:hanging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Р/счет _______________________________</w:t>
            </w:r>
          </w:p>
          <w:p>
            <w:pPr>
              <w:pStyle w:val="Style16"/>
              <w:ind w:left="34" w:hanging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БИК _________________________________</w:t>
            </w:r>
          </w:p>
          <w:p>
            <w:pPr>
              <w:pStyle w:val="Style16"/>
              <w:ind w:left="34" w:hanging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Режим налогообложения___________</w:t>
            </w:r>
          </w:p>
          <w:p>
            <w:pPr>
              <w:pStyle w:val="Normal"/>
              <w:suppressAutoHyphens w:val="true"/>
              <w:ind w:left="0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675" w:hRule="atLeast"/>
        </w:trPr>
        <w:tc>
          <w:tcPr>
            <w:tcW w:w="4784" w:type="dxa"/>
            <w:tcBorders/>
            <w:shd w:fill="auto" w:val="clear"/>
          </w:tcPr>
          <w:p>
            <w:pPr>
              <w:pStyle w:val="Normal"/>
              <w:ind w:left="0" w:right="255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ind w:left="0" w:right="255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</w:t>
            </w:r>
            <w:r>
              <w:rPr>
                <w:b/>
                <w:sz w:val="22"/>
                <w:szCs w:val="22"/>
              </w:rPr>
              <w:t>________________</w:t>
            </w:r>
          </w:p>
          <w:p>
            <w:pPr>
              <w:pStyle w:val="Normal"/>
              <w:ind w:left="0" w:right="255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</w:t>
            </w:r>
            <w:r>
              <w:rPr>
                <w:sz w:val="22"/>
                <w:szCs w:val="22"/>
              </w:rPr>
              <w:t>м.п.</w:t>
            </w:r>
          </w:p>
          <w:p>
            <w:pPr>
              <w:pStyle w:val="Normal"/>
              <w:ind w:left="0" w:right="255" w:hanging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«___»____________________________</w:t>
            </w:r>
          </w:p>
          <w:p>
            <w:pPr>
              <w:pStyle w:val="Normal"/>
              <w:ind w:left="0" w:right="255" w:hanging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  <w:p>
            <w:pPr>
              <w:pStyle w:val="Normal"/>
              <w:ind w:left="0" w:right="255" w:hanging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</w:r>
          </w:p>
          <w:p>
            <w:pPr>
              <w:pStyle w:val="Normal"/>
              <w:ind w:left="0" w:right="255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961" w:type="dxa"/>
            <w:tcBorders/>
            <w:shd w:fill="auto" w:val="clear"/>
          </w:tcPr>
          <w:p>
            <w:pPr>
              <w:pStyle w:val="Normal"/>
              <w:ind w:left="0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ind w:left="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________________________________ </w:t>
            </w:r>
          </w:p>
          <w:p>
            <w:pPr>
              <w:pStyle w:val="Normal"/>
              <w:ind w:left="0" w:hanging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            </w:t>
            </w:r>
            <w:r>
              <w:rPr>
                <w:bCs/>
                <w:sz w:val="22"/>
                <w:szCs w:val="22"/>
              </w:rPr>
              <w:t>м.п.</w:t>
            </w:r>
          </w:p>
          <w:p>
            <w:pPr>
              <w:pStyle w:val="Normal"/>
              <w:ind w:left="0" w:hanging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«___»____________________________ </w:t>
            </w:r>
          </w:p>
        </w:tc>
      </w:tr>
    </w:tbl>
    <w:p>
      <w:pPr>
        <w:pStyle w:val="Normal"/>
        <w:ind w:left="0"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Исполнитель: </w:t>
      </w:r>
    </w:p>
    <w:p>
      <w:pPr>
        <w:pStyle w:val="Normal"/>
        <w:ind w:left="0" w:hanging="0"/>
        <w:jc w:val="left"/>
        <w:rPr>
          <w:sz w:val="22"/>
          <w:szCs w:val="22"/>
        </w:rPr>
      </w:pPr>
      <w:r>
        <w:rPr>
          <w:sz w:val="22"/>
          <w:szCs w:val="22"/>
        </w:rPr>
      </w:r>
      <w:r>
        <w:br w:type="page"/>
      </w:r>
    </w:p>
    <w:p>
      <w:pPr>
        <w:pStyle w:val="Normal"/>
        <w:ind w:left="0" w:hanging="0"/>
        <w:jc w:val="right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Приложение № 4</w:t>
      </w:r>
    </w:p>
    <w:p>
      <w:pPr>
        <w:pStyle w:val="Style20"/>
        <w:tabs>
          <w:tab w:val="left" w:pos="708" w:leader="none"/>
          <w:tab w:val="center" w:pos="4153" w:leader="none"/>
          <w:tab w:val="right" w:pos="8306" w:leader="none"/>
        </w:tabs>
        <w:ind w:left="9072" w:hanging="9072"/>
        <w:jc w:val="right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 договору теплоснабжения </w:t>
      </w:r>
    </w:p>
    <w:p>
      <w:pPr>
        <w:pStyle w:val="Style20"/>
        <w:tabs>
          <w:tab w:val="left" w:pos="708" w:leader="none"/>
          <w:tab w:val="center" w:pos="4153" w:leader="none"/>
          <w:tab w:val="right" w:pos="8306" w:leader="none"/>
        </w:tabs>
        <w:ind w:left="9072" w:hanging="9072"/>
        <w:jc w:val="right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и горячего водоснабжения</w:t>
      </w:r>
    </w:p>
    <w:p>
      <w:pPr>
        <w:pStyle w:val="Normal"/>
        <w:jc w:val="right"/>
        <w:rPr>
          <w:sz w:val="23"/>
          <w:szCs w:val="23"/>
        </w:rPr>
      </w:pPr>
      <w:r>
        <w:rPr>
          <w:rStyle w:val="125"/>
          <w:color w:val="00000A"/>
          <w:sz w:val="23"/>
          <w:szCs w:val="23"/>
        </w:rPr>
        <w:t>№ </w:t>
      </w:r>
      <w:r>
        <w:rPr>
          <w:b/>
          <w:sz w:val="23"/>
          <w:szCs w:val="23"/>
        </w:rPr>
        <w:t>____________ от _____________</w:t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2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sz w:val="23"/>
          <w:szCs w:val="23"/>
        </w:rPr>
      </w:pPr>
      <w:r>
        <w:rPr>
          <w:sz w:val="23"/>
          <w:szCs w:val="23"/>
        </w:rPr>
        <w:t>Список ответственных лиц и иная контактная информация</w:t>
      </w:r>
    </w:p>
    <w:p>
      <w:pPr>
        <w:pStyle w:val="Normal"/>
        <w:keepNext w:val="true"/>
        <w:numPr>
          <w:ilvl w:val="0"/>
          <w:numId w:val="0"/>
        </w:numPr>
        <w:ind w:left="357" w:firstLine="357"/>
        <w:jc w:val="left"/>
        <w:outlineLvl w:val="0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ind w:left="0" w:hanging="0"/>
        <w:jc w:val="left"/>
        <w:rPr>
          <w:sz w:val="23"/>
          <w:szCs w:val="23"/>
        </w:rPr>
      </w:pPr>
      <w:r>
        <w:rPr>
          <w:sz w:val="23"/>
          <w:szCs w:val="23"/>
        </w:rPr>
        <w:t>ТСО:</w:t>
      </w:r>
    </w:p>
    <w:tbl>
      <w:tblPr>
        <w:tblW w:w="10036" w:type="dxa"/>
        <w:jc w:val="left"/>
        <w:tblInd w:w="12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30"/>
        <w:gridCol w:w="4399"/>
        <w:gridCol w:w="5107"/>
      </w:tblGrid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4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6"/>
              <w:jc w:val="center"/>
              <w:rPr>
                <w:iCs/>
                <w:sz w:val="21"/>
                <w:szCs w:val="21"/>
                <w:lang w:val="en-US"/>
              </w:rPr>
            </w:pPr>
            <w:r>
              <w:rPr>
                <w:iCs/>
                <w:sz w:val="21"/>
                <w:szCs w:val="21"/>
                <w:lang w:val="en-US"/>
              </w:rPr>
            </w:r>
          </w:p>
        </w:tc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6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Телефон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4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6"/>
              <w:ind w:left="0" w:hang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Начальник отдела реализации энергии корпоративным клиентам </w:t>
            </w:r>
          </w:p>
        </w:tc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sz w:val="21"/>
                <w:szCs w:val="21"/>
              </w:rPr>
              <w:t>Петропавловское отделение: 8 (415 2) 29-49-45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sz w:val="21"/>
                <w:szCs w:val="21"/>
              </w:rPr>
              <w:t>Елизовское отделение 8 (415 31) 6-12-69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4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6"/>
              <w:ind w:left="0" w:hanging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Отдел реализации энергии корпоративным клиентам</w:t>
            </w:r>
          </w:p>
        </w:tc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6"/>
              <w:spacing w:lineRule="auto" w:line="240"/>
              <w:ind w:left="357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Петропавловское отделение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8 (415 2) 299-371; 299-407 (по первичным документам)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8 (415 2) 299-306; 299-362; 298-135 (по расчетам)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sz w:val="21"/>
                <w:szCs w:val="21"/>
              </w:rPr>
              <w:t xml:space="preserve">Елизовское отделение </w:t>
            </w:r>
            <w:r>
              <w:rPr>
                <w:b w:val="false"/>
                <w:i w:val="false"/>
                <w:caps w:val="false"/>
                <w:smallCaps w:val="false"/>
                <w:color w:val="212529"/>
                <w:spacing w:val="0"/>
                <w:sz w:val="21"/>
                <w:szCs w:val="21"/>
              </w:rPr>
              <w:t>(41531) 6-14-30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4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6"/>
              <w:ind w:left="0" w:hanging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Экономисты </w:t>
            </w:r>
            <w:bookmarkStart w:id="1" w:name="_GoBack"/>
            <w:bookmarkEnd w:id="1"/>
            <w:r>
              <w:rPr>
                <w:sz w:val="21"/>
                <w:szCs w:val="21"/>
              </w:rPr>
              <w:t xml:space="preserve">по договорной работе </w:t>
            </w:r>
          </w:p>
        </w:tc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6"/>
              <w:spacing w:lineRule="auto" w:line="240"/>
              <w:ind w:left="357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Петропавловское отделение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8 (415 2) 29-49-05 (внебюджет)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8 (415 2) 29-49-21 (бюджет)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Елизовское отделение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8(415 31) 6 25 10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4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6"/>
              <w:ind w:left="0" w:hanging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Прием показаний приборов учета</w:t>
            </w:r>
          </w:p>
        </w:tc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sz w:val="21"/>
                <w:szCs w:val="21"/>
              </w:rPr>
              <w:t>Петропавловское отделение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sz w:val="21"/>
                <w:szCs w:val="21"/>
              </w:rPr>
              <w:t xml:space="preserve">8 (415 2) 299-345 Дрогайцева Наталья Анатольевна </w:t>
            </w:r>
            <w:hyperlink r:id="rId8">
              <w:r>
                <w:rPr>
                  <w:rStyle w:val="Style9"/>
                  <w:sz w:val="21"/>
                  <w:szCs w:val="21"/>
                </w:rPr>
                <w:t>Drogaytseva_NА@kamch.dvec.ru</w:t>
              </w:r>
            </w:hyperlink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sz w:val="21"/>
                <w:szCs w:val="21"/>
              </w:rPr>
              <w:t xml:space="preserve">8 (415 2) 490-489 Мохова Наталья Витальевна  </w:t>
            </w:r>
            <w:hyperlink r:id="rId9">
              <w:r>
                <w:rPr>
                  <w:rStyle w:val="Style9"/>
                  <w:sz w:val="21"/>
                  <w:szCs w:val="21"/>
                </w:rPr>
                <w:t>Mokhova_NV@kamch.dvec.ru</w:t>
              </w:r>
            </w:hyperlink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sz w:val="21"/>
                <w:szCs w:val="21"/>
              </w:rPr>
              <w:t xml:space="preserve">Елизовское отделение 8 (415 31) 7-15-90 Балан Евгений Валерьевич </w:t>
            </w:r>
            <w:hyperlink r:id="rId10">
              <w:r>
                <w:rPr>
                  <w:rStyle w:val="Style9"/>
                  <w:sz w:val="21"/>
                  <w:szCs w:val="21"/>
                </w:rPr>
                <w:t>Balan_EV@kamch.dvec.ru</w:t>
              </w:r>
            </w:hyperlink>
          </w:p>
        </w:tc>
      </w:tr>
      <w:tr>
        <w:trPr/>
        <w:tc>
          <w:tcPr>
            <w:tcW w:w="10036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6"/>
              <w:spacing w:lineRule="auto" w:line="240" w:before="120" w:after="120"/>
              <w:jc w:val="center"/>
              <w:rPr/>
            </w:pPr>
            <w:r>
              <w:rPr>
                <w:b/>
                <w:iCs/>
                <w:sz w:val="21"/>
                <w:szCs w:val="21"/>
              </w:rPr>
              <w:t>Диспетчерские службы сетевых организаций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4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  <w:p>
            <w:pPr>
              <w:pStyle w:val="Style16"/>
              <w:ind w:left="0" w:hanging="0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Филиал Камчатские ТЭЦ</w:t>
            </w:r>
          </w:p>
        </w:tc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sz w:val="21"/>
                <w:szCs w:val="21"/>
              </w:rPr>
              <w:t xml:space="preserve">8 (415 2) </w:t>
            </w:r>
            <w:r>
              <w:rPr>
                <w:iCs/>
                <w:sz w:val="21"/>
                <w:szCs w:val="21"/>
              </w:rPr>
              <w:t xml:space="preserve">277-805; </w:t>
            </w:r>
            <w:r>
              <w:rPr>
                <w:sz w:val="21"/>
                <w:szCs w:val="21"/>
              </w:rPr>
              <w:t xml:space="preserve">8 (415 2) </w:t>
            </w:r>
            <w:r>
              <w:rPr>
                <w:iCs/>
                <w:sz w:val="21"/>
                <w:szCs w:val="21"/>
              </w:rPr>
              <w:t>277-806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spacing w:lineRule="auto" w:line="240"/>
              <w:ind w:left="34" w:hanging="0"/>
              <w:jc w:val="left"/>
              <w:outlineLvl w:val="3"/>
              <w:rPr/>
            </w:pPr>
            <w:r>
              <w:rPr>
                <w:sz w:val="21"/>
                <w:szCs w:val="21"/>
              </w:rPr>
              <w:t xml:space="preserve">      </w:t>
            </w:r>
            <w:r>
              <w:rPr>
                <w:sz w:val="21"/>
                <w:szCs w:val="21"/>
              </w:rPr>
              <w:t xml:space="preserve">адрес местонахождения: ул. Степная, д. 50, 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/>
              <w:ind w:left="34" w:hanging="0"/>
              <w:jc w:val="left"/>
              <w:outlineLvl w:val="3"/>
              <w:rPr/>
            </w:pPr>
            <w:r>
              <w:rPr>
                <w:sz w:val="21"/>
                <w:szCs w:val="21"/>
              </w:rPr>
              <w:t xml:space="preserve">      </w:t>
            </w:r>
            <w:r>
              <w:rPr>
                <w:sz w:val="21"/>
                <w:szCs w:val="21"/>
              </w:rPr>
              <w:t>г. Петропавловск-Камчатский;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4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6"/>
              <w:ind w:left="0" w:hanging="0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Филиал «Коммунальная энергетика»</w:t>
            </w:r>
          </w:p>
        </w:tc>
        <w:tc>
          <w:tcPr>
            <w:tcW w:w="51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sz w:val="21"/>
                <w:szCs w:val="21"/>
              </w:rPr>
              <w:t xml:space="preserve">8 (415 2) </w:t>
            </w:r>
            <w:r>
              <w:rPr>
                <w:iCs/>
                <w:sz w:val="21"/>
                <w:szCs w:val="21"/>
              </w:rPr>
              <w:t xml:space="preserve">307-684, </w:t>
            </w:r>
            <w:r>
              <w:rPr>
                <w:sz w:val="21"/>
                <w:szCs w:val="21"/>
              </w:rPr>
              <w:t xml:space="preserve">8 (415 2) </w:t>
            </w:r>
            <w:r>
              <w:rPr>
                <w:iCs/>
                <w:sz w:val="21"/>
                <w:szCs w:val="21"/>
              </w:rPr>
              <w:t>307-865</w:t>
            </w:r>
          </w:p>
          <w:p>
            <w:pPr>
              <w:pStyle w:val="Style16"/>
              <w:spacing w:lineRule="auto" w:line="240"/>
              <w:ind w:left="357" w:hanging="0"/>
              <w:jc w:val="left"/>
              <w:rPr/>
            </w:pPr>
            <w:r>
              <w:rPr>
                <w:sz w:val="21"/>
                <w:szCs w:val="21"/>
              </w:rPr>
              <w:t>адрес местонахождения: ул. Набережная, д. 30, каб. 522,  г. Петропавловск-Камчатский;</w:t>
            </w:r>
          </w:p>
        </w:tc>
      </w:tr>
    </w:tbl>
    <w:p>
      <w:pPr>
        <w:pStyle w:val="Normal"/>
        <w:ind w:left="0" w:hanging="0"/>
        <w:jc w:val="left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Style16"/>
        <w:rPr>
          <w:iCs/>
          <w:sz w:val="22"/>
          <w:szCs w:val="22"/>
        </w:rPr>
      </w:pPr>
      <w:r>
        <w:rPr>
          <w:iCs/>
          <w:color w:val="0000FF"/>
        </w:rPr>
        <w:t xml:space="preserve">   </w:t>
      </w:r>
      <w:r>
        <w:rPr>
          <w:iCs/>
          <w:sz w:val="22"/>
          <w:szCs w:val="22"/>
        </w:rPr>
        <w:t>Потребитель:</w:t>
      </w:r>
    </w:p>
    <w:tbl>
      <w:tblPr>
        <w:tblW w:w="9668" w:type="dxa"/>
        <w:jc w:val="left"/>
        <w:tblInd w:w="23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93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530"/>
        <w:gridCol w:w="5420"/>
        <w:gridCol w:w="28"/>
        <w:gridCol w:w="3690"/>
      </w:tblGrid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5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67" w:hanging="0"/>
              <w:rPr>
                <w:iCs/>
                <w:sz w:val="21"/>
                <w:szCs w:val="21"/>
              </w:rPr>
            </w:pPr>
            <w:r>
              <w:rPr>
                <w:sz w:val="21"/>
                <w:szCs w:val="21"/>
              </w:rPr>
              <w:t>ФИО уполномоченных должностных лиц, ответственных за выполнение условий договора</w:t>
            </w:r>
          </w:p>
        </w:tc>
        <w:tc>
          <w:tcPr>
            <w:tcW w:w="3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jc w:val="center"/>
              <w:outlineLvl w:val="0"/>
              <w:rPr>
                <w:sz w:val="21"/>
                <w:szCs w:val="21"/>
              </w:rPr>
            </w:pPr>
            <w:r>
              <w:rPr>
                <w:iCs/>
                <w:sz w:val="22"/>
                <w:szCs w:val="22"/>
              </w:rPr>
              <w:t>Телефон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1</w:t>
            </w:r>
          </w:p>
        </w:tc>
        <w:tc>
          <w:tcPr>
            <w:tcW w:w="5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67" w:hanging="0"/>
              <w:outlineLvl w:val="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3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2</w:t>
            </w:r>
          </w:p>
        </w:tc>
        <w:tc>
          <w:tcPr>
            <w:tcW w:w="5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67" w:hanging="0"/>
              <w:outlineLvl w:val="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3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3</w:t>
            </w:r>
          </w:p>
        </w:tc>
        <w:tc>
          <w:tcPr>
            <w:tcW w:w="5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67" w:hanging="0"/>
              <w:outlineLvl w:val="3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</w:r>
          </w:p>
        </w:tc>
        <w:tc>
          <w:tcPr>
            <w:tcW w:w="37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6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</w:tr>
      <w:tr>
        <w:trPr/>
        <w:tc>
          <w:tcPr>
            <w:tcW w:w="966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6"/>
              <w:spacing w:before="120" w:after="120"/>
              <w:jc w:val="center"/>
              <w:rPr>
                <w:iCs/>
                <w:sz w:val="21"/>
                <w:szCs w:val="21"/>
                <w:highlight w:val="yellow"/>
              </w:rPr>
            </w:pPr>
            <w:r>
              <w:rPr>
                <w:iCs/>
                <w:sz w:val="21"/>
                <w:szCs w:val="21"/>
              </w:rPr>
              <w:t>Дополнительная информация:</w:t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6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  <w:p>
            <w:pPr>
              <w:pStyle w:val="Style16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1</w:t>
            </w:r>
          </w:p>
          <w:p>
            <w:pPr>
              <w:pStyle w:val="Style16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</w:r>
          </w:p>
        </w:tc>
        <w:tc>
          <w:tcPr>
            <w:tcW w:w="54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67" w:hanging="0"/>
              <w:outlineLvl w:val="3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Номер мобильного телефона для направления уведомления о введении ограничения режима потребления:</w:t>
            </w:r>
          </w:p>
        </w:tc>
        <w:tc>
          <w:tcPr>
            <w:tcW w:w="3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6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2</w:t>
            </w:r>
          </w:p>
        </w:tc>
        <w:tc>
          <w:tcPr>
            <w:tcW w:w="54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suppressAutoHyphens w:val="true"/>
              <w:ind w:left="67" w:hanging="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Адрес электронной почты для направления уведомления о введении ограничения режима потребления: </w:t>
            </w:r>
          </w:p>
        </w:tc>
        <w:tc>
          <w:tcPr>
            <w:tcW w:w="3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jc w:val="center"/>
              <w:outlineLvl w:val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6"/>
              <w:jc w:val="center"/>
              <w:rPr>
                <w:iCs/>
                <w:sz w:val="21"/>
                <w:szCs w:val="21"/>
              </w:rPr>
            </w:pPr>
            <w:r>
              <w:rPr>
                <w:iCs/>
                <w:sz w:val="21"/>
                <w:szCs w:val="21"/>
              </w:rPr>
              <w:t>3</w:t>
            </w:r>
          </w:p>
        </w:tc>
        <w:tc>
          <w:tcPr>
            <w:tcW w:w="54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bottom"/>
          </w:tcPr>
          <w:p>
            <w:pPr>
              <w:pStyle w:val="Normal"/>
              <w:suppressAutoHyphens w:val="true"/>
              <w:ind w:left="67" w:hanging="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Адрес электронной почты для направления платежных документов и иной переписки</w:t>
            </w:r>
          </w:p>
        </w:tc>
        <w:tc>
          <w:tcPr>
            <w:tcW w:w="36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  <w:vAlign w:val="center"/>
          </w:tcPr>
          <w:p>
            <w:pPr>
              <w:pStyle w:val="Style16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</w:tr>
      <w:tr>
        <w:trPr/>
        <w:tc>
          <w:tcPr>
            <w:tcW w:w="966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93" w:type="dxa"/>
            </w:tcMar>
          </w:tcPr>
          <w:p>
            <w:pPr>
              <w:pStyle w:val="Normal"/>
              <w:keepNext w:val="true"/>
              <w:numPr>
                <w:ilvl w:val="0"/>
                <w:numId w:val="0"/>
              </w:numPr>
              <w:ind w:left="357" w:firstLine="357"/>
              <w:jc w:val="center"/>
              <w:outlineLvl w:val="3"/>
              <w:rPr>
                <w:bCs/>
                <w:sz w:val="21"/>
                <w:szCs w:val="21"/>
              </w:rPr>
            </w:pPr>
            <w:r>
              <w:rPr>
                <w:i/>
                <w:sz w:val="21"/>
                <w:szCs w:val="21"/>
              </w:rPr>
              <w:t xml:space="preserve">Дополняется Потребителем </w:t>
            </w:r>
          </w:p>
        </w:tc>
      </w:tr>
    </w:tbl>
    <w:p>
      <w:pPr>
        <w:sectPr>
          <w:footerReference w:type="default" r:id="rId11"/>
          <w:type w:val="nextPage"/>
          <w:pgSz w:w="11906" w:h="16838"/>
          <w:pgMar w:left="709" w:right="566" w:header="0" w:top="709" w:footer="454" w:bottom="993" w:gutter="0"/>
          <w:pgNumType w:fmt="decimal"/>
          <w:formProt w:val="false"/>
          <w:textDirection w:val="lrTb"/>
          <w:docGrid w:type="default" w:linePitch="249" w:charSpace="2047"/>
        </w:sectPr>
      </w:pPr>
    </w:p>
    <w:p>
      <w:pPr>
        <w:pStyle w:val="Normal"/>
        <w:jc w:val="right"/>
        <w:rPr>
          <w:b/>
          <w:b/>
          <w:sz w:val="23"/>
          <w:szCs w:val="23"/>
        </w:rPr>
      </w:pPr>
      <w:r>
        <mc:AlternateContent>
          <mc:Choice Requires="wps">
            <w:drawing>
              <wp:anchor behindDoc="0" distT="0" distB="127000" distL="114300" distR="114300" simplePos="0" locked="0" layoutInCell="1" allowOverlap="1" relativeHeight="2">
                <wp:simplePos x="0" y="0"/>
                <wp:positionH relativeFrom="margin">
                  <wp:posOffset>-68580</wp:posOffset>
                </wp:positionH>
                <wp:positionV relativeFrom="paragraph">
                  <wp:posOffset>186055</wp:posOffset>
                </wp:positionV>
                <wp:extent cx="6134735" cy="1010920"/>
                <wp:effectExtent l="0" t="0" r="0" b="0"/>
                <wp:wrapSquare wrapText="bothSides"/>
                <wp:docPr id="5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040" cy="1010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9658" w:type="dxa"/>
                              <w:jc w:val="left"/>
                              <w:tblInd w:w="108" w:type="dxa"/>
                              <w:tblBorders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  <w:tblLook w:val="01e0" w:noVBand="0" w:noHBand="0" w:lastColumn="1" w:firstColumn="1" w:lastRow="1" w:firstRow="1"/>
                            </w:tblPr>
                            <w:tblGrid>
                              <w:gridCol w:w="4829"/>
                              <w:gridCol w:w="4828"/>
                            </w:tblGrid>
                            <w:tr>
                              <w:trPr>
                                <w:trHeight w:val="178" w:hRule="atLeast"/>
                              </w:trPr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76"/>
                                    <w:ind w:left="0" w:hanging="0"/>
                                    <w:jc w:val="center"/>
                                    <w:rPr/>
                                  </w:pPr>
                                  <w:bookmarkStart w:id="2" w:name="__UnoMark__5881_2318926630"/>
                                  <w:bookmarkEnd w:id="2"/>
                                  <w:r>
                                    <w:rPr>
                                      <w:b/>
                                      <w:bCs/>
                                      <w:sz w:val="23"/>
                                      <w:szCs w:val="23"/>
                                      <w:lang w:eastAsia="en-US"/>
                                    </w:rPr>
                                    <w:t>Теплоснабжающая организация</w:t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2"/>
                                    <w:spacing w:lineRule="auto" w:line="276"/>
                                    <w:ind w:left="0" w:hanging="0"/>
                                    <w:jc w:val="center"/>
                                    <w:rPr/>
                                  </w:pPr>
                                  <w:bookmarkStart w:id="3" w:name="__UnoMark__5883_2318926630"/>
                                  <w:bookmarkStart w:id="4" w:name="__UnoMark__5882_2318926630"/>
                                  <w:bookmarkEnd w:id="3"/>
                                  <w:bookmarkEnd w:id="4"/>
                                  <w:r>
                                    <w:rPr>
                                      <w:rFonts w:eastAsia="Arial Unicode MS" w:ascii="Times New Roman" w:hAnsi="Times New Roman"/>
                                      <w:sz w:val="23"/>
                                      <w:szCs w:val="23"/>
                                      <w:lang w:val="ru-RU" w:eastAsia="en-US"/>
                                    </w:rPr>
                                    <w:t>Потребитель</w:t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76"/>
                                    <w:ind w:left="0" w:hanging="0"/>
                                    <w:jc w:val="center"/>
                                    <w:rPr>
                                      <w:sz w:val="23"/>
                                      <w:szCs w:val="23"/>
                                      <w:lang w:eastAsia="en-US"/>
                                    </w:rPr>
                                  </w:pPr>
                                  <w:bookmarkStart w:id="5" w:name="__UnoMark__5884_2318926630"/>
                                  <w:bookmarkStart w:id="6" w:name="__UnoMark__5885_2318926630"/>
                                  <w:bookmarkStart w:id="7" w:name="__UnoMark__5884_2318926630"/>
                                  <w:bookmarkStart w:id="8" w:name="__UnoMark__5885_2318926630"/>
                                  <w:bookmarkEnd w:id="7"/>
                                  <w:bookmarkEnd w:id="8"/>
                                  <w:r>
                                    <w:rPr>
                                      <w:sz w:val="23"/>
                                      <w:szCs w:val="23"/>
                                      <w:lang w:eastAsia="en-US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76"/>
                                    <w:ind w:left="0" w:hanging="0"/>
                                    <w:jc w:val="center"/>
                                    <w:rPr>
                                      <w:sz w:val="23"/>
                                      <w:szCs w:val="23"/>
                                      <w:lang w:eastAsia="en-US"/>
                                    </w:rPr>
                                  </w:pPr>
                                  <w:bookmarkStart w:id="9" w:name="__UnoMark__5886_2318926630"/>
                                  <w:bookmarkStart w:id="10" w:name="__UnoMark__5887_2318926630"/>
                                  <w:bookmarkStart w:id="11" w:name="__UnoMark__5886_2318926630"/>
                                  <w:bookmarkStart w:id="12" w:name="__UnoMark__5887_2318926630"/>
                                  <w:bookmarkEnd w:id="11"/>
                                  <w:bookmarkEnd w:id="12"/>
                                  <w:r>
                                    <w:rPr>
                                      <w:sz w:val="23"/>
                                      <w:szCs w:val="23"/>
                                      <w:lang w:eastAsia="en-US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76"/>
                                    <w:ind w:left="0" w:hanging="0"/>
                                    <w:rPr>
                                      <w:sz w:val="23"/>
                                      <w:szCs w:val="23"/>
                                      <w:lang w:eastAsia="en-US"/>
                                    </w:rPr>
                                  </w:pPr>
                                  <w:bookmarkStart w:id="13" w:name="__UnoMark__5888_2318926630"/>
                                  <w:bookmarkStart w:id="14" w:name="__UnoMark__5889_2318926630"/>
                                  <w:bookmarkStart w:id="15" w:name="__UnoMark__5888_2318926630"/>
                                  <w:bookmarkStart w:id="16" w:name="__UnoMark__5889_2318926630"/>
                                  <w:bookmarkEnd w:id="15"/>
                                  <w:bookmarkEnd w:id="16"/>
                                  <w:r>
                                    <w:rPr>
                                      <w:sz w:val="23"/>
                                      <w:szCs w:val="23"/>
                                      <w:lang w:eastAsia="en-US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Style20"/>
                                    <w:tabs>
                                      <w:tab w:val="left" w:pos="708" w:leader="none"/>
                                      <w:tab w:val="center" w:pos="4153" w:leader="none"/>
                                      <w:tab w:val="right" w:pos="8306" w:leader="none"/>
                                    </w:tabs>
                                    <w:spacing w:lineRule="auto" w:line="276"/>
                                    <w:ind w:left="0" w:hanging="0"/>
                                    <w:jc w:val="center"/>
                                    <w:rPr>
                                      <w:sz w:val="23"/>
                                      <w:szCs w:val="23"/>
                                      <w:lang w:eastAsia="en-US"/>
                                    </w:rPr>
                                  </w:pPr>
                                  <w:bookmarkStart w:id="17" w:name="__UnoMark__5890_2318926630"/>
                                  <w:bookmarkStart w:id="18" w:name="__UnoMark__5891_2318926630"/>
                                  <w:bookmarkStart w:id="19" w:name="__UnoMark__5890_2318926630"/>
                                  <w:bookmarkStart w:id="20" w:name="__UnoMark__5891_2318926630"/>
                                  <w:bookmarkEnd w:id="19"/>
                                  <w:bookmarkEnd w:id="20"/>
                                  <w:r>
                                    <w:rPr>
                                      <w:sz w:val="23"/>
                                      <w:szCs w:val="23"/>
                                      <w:lang w:eastAsia="en-US"/>
                                    </w:rPr>
                                  </w:r>
                                </w:p>
                              </w:tc>
                            </w:tr>
                            <w:tr>
                              <w:trPr/>
                              <w:tc>
                                <w:tcPr>
                                  <w:tcW w:w="4829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76"/>
                                    <w:ind w:left="0" w:hanging="0"/>
                                    <w:jc w:val="center"/>
                                    <w:rPr/>
                                  </w:pPr>
                                  <w:bookmarkStart w:id="21" w:name="__UnoMark__5892_2318926630"/>
                                  <w:bookmarkEnd w:id="21"/>
                                  <w:r>
                                    <w:rPr>
                                      <w:bCs/>
                                      <w:sz w:val="23"/>
                                      <w:szCs w:val="23"/>
                                      <w:lang w:eastAsia="en-US"/>
                                    </w:rPr>
                                    <w:t>________________</w:t>
                                  </w:r>
                                  <w:r>
                                    <w:rPr>
                                      <w:sz w:val="23"/>
                                      <w:szCs w:val="23"/>
                                    </w:rPr>
                                    <w:t>_</w:t>
                                  </w:r>
                                  <w:r>
                                    <w:rPr>
                                      <w:b/>
                                      <w:sz w:val="23"/>
                                      <w:szCs w:val="23"/>
                                    </w:rPr>
                                    <w:t>_________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76"/>
                                    <w:ind w:left="0" w:hanging="0"/>
                                    <w:jc w:val="center"/>
                                    <w:rPr/>
                                  </w:pPr>
                                  <w:bookmarkStart w:id="22" w:name="__UnoMark__5893_2318926630"/>
                                  <w:bookmarkEnd w:id="22"/>
                                  <w:r>
                                    <w:rPr>
                                      <w:bCs/>
                                      <w:sz w:val="23"/>
                                      <w:szCs w:val="23"/>
                                      <w:lang w:eastAsia="en-US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4828" w:type="dxa"/>
                                  <w:tcBorders/>
                                  <w:shd w:fill="auto" w:val="clear"/>
                                </w:tcPr>
                                <w:p>
                                  <w:pPr>
                                    <w:pStyle w:val="Normal"/>
                                    <w:spacing w:lineRule="auto" w:line="276"/>
                                    <w:ind w:left="0" w:hanging="0"/>
                                    <w:jc w:val="center"/>
                                    <w:rPr/>
                                  </w:pPr>
                                  <w:bookmarkStart w:id="23" w:name="__UnoMark__5894_2318926630"/>
                                  <w:bookmarkEnd w:id="23"/>
                                  <w:r>
                                    <w:rPr>
                                      <w:sz w:val="23"/>
                                      <w:szCs w:val="23"/>
                                      <w:lang w:eastAsia="en-US"/>
                                    </w:rPr>
                                    <w:t>_________________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FF"/>
                                      <w:sz w:val="23"/>
                                      <w:szCs w:val="23"/>
                                    </w:rPr>
                                    <w:t>____________</w:t>
                                  </w:r>
                                </w:p>
                                <w:p>
                                  <w:pPr>
                                    <w:pStyle w:val="Normal"/>
                                    <w:spacing w:lineRule="auto" w:line="276"/>
                                    <w:ind w:left="0" w:hanging="0"/>
                                    <w:jc w:val="center"/>
                                    <w:rPr/>
                                  </w:pPr>
                                  <w:r>
                                    <w:rPr>
                                      <w:bCs/>
                                      <w:sz w:val="23"/>
                                      <w:szCs w:val="23"/>
                                      <w:lang w:eastAsia="en-US"/>
                                    </w:rPr>
                                    <w:t>м.п.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24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stroked="f" style="position:absolute;margin-left:-5.4pt;margin-top:14.65pt;width:482.95pt;height:79.5pt;mso-position-horizontal-relative:margin">
                <w10:wrap type="none"/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9658" w:type="dxa"/>
                        <w:jc w:val="left"/>
                        <w:tblInd w:w="108" w:type="dxa"/>
                        <w:tblBorders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  <w:tblLook w:val="01e0" w:noVBand="0" w:noHBand="0" w:lastColumn="1" w:firstColumn="1" w:lastRow="1" w:firstRow="1"/>
                      </w:tblPr>
                      <w:tblGrid>
                        <w:gridCol w:w="4829"/>
                        <w:gridCol w:w="4828"/>
                      </w:tblGrid>
                      <w:tr>
                        <w:trPr>
                          <w:trHeight w:val="178" w:hRule="atLeast"/>
                        </w:trPr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76"/>
                              <w:ind w:left="0" w:hanging="0"/>
                              <w:jc w:val="center"/>
                              <w:rPr/>
                            </w:pPr>
                            <w:bookmarkStart w:id="24" w:name="__UnoMark__5881_2318926630"/>
                            <w:bookmarkEnd w:id="24"/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  <w:lang w:eastAsia="en-US"/>
                              </w:rPr>
                              <w:t>Теплоснабжающая организация</w:t>
                            </w:r>
                          </w:p>
                        </w:tc>
                        <w:tc>
                          <w:tcPr>
                            <w:tcW w:w="4828" w:type="dxa"/>
                            <w:tcBorders/>
                            <w:shd w:fill="auto" w:val="clear"/>
                          </w:tcPr>
                          <w:p>
                            <w:pPr>
                              <w:pStyle w:val="2"/>
                              <w:spacing w:lineRule="auto" w:line="276"/>
                              <w:ind w:left="0" w:hanging="0"/>
                              <w:jc w:val="center"/>
                              <w:rPr/>
                            </w:pPr>
                            <w:bookmarkStart w:id="25" w:name="__UnoMark__5883_2318926630"/>
                            <w:bookmarkStart w:id="26" w:name="__UnoMark__5882_2318926630"/>
                            <w:bookmarkEnd w:id="25"/>
                            <w:bookmarkEnd w:id="26"/>
                            <w:r>
                              <w:rPr>
                                <w:rFonts w:eastAsia="Arial Unicode MS" w:ascii="Times New Roman" w:hAnsi="Times New Roman"/>
                                <w:sz w:val="23"/>
                                <w:szCs w:val="23"/>
                                <w:lang w:val="ru-RU" w:eastAsia="en-US"/>
                              </w:rPr>
                              <w:t>Потребитель</w:t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76"/>
                              <w:ind w:left="0" w:hanging="0"/>
                              <w:jc w:val="center"/>
                              <w:rPr>
                                <w:sz w:val="23"/>
                                <w:szCs w:val="23"/>
                                <w:lang w:eastAsia="en-US"/>
                              </w:rPr>
                            </w:pPr>
                            <w:bookmarkStart w:id="27" w:name="__UnoMark__5884_2318926630"/>
                            <w:bookmarkStart w:id="28" w:name="__UnoMark__5885_2318926630"/>
                            <w:bookmarkStart w:id="29" w:name="__UnoMark__5884_2318926630"/>
                            <w:bookmarkStart w:id="30" w:name="__UnoMark__5885_2318926630"/>
                            <w:bookmarkEnd w:id="29"/>
                            <w:bookmarkEnd w:id="30"/>
                            <w:r>
                              <w:rPr>
                                <w:sz w:val="23"/>
                                <w:szCs w:val="23"/>
                                <w:lang w:eastAsia="en-US"/>
                              </w:rPr>
                            </w:r>
                          </w:p>
                        </w:tc>
                        <w:tc>
                          <w:tcPr>
                            <w:tcW w:w="4828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76"/>
                              <w:ind w:left="0" w:hanging="0"/>
                              <w:jc w:val="center"/>
                              <w:rPr>
                                <w:sz w:val="23"/>
                                <w:szCs w:val="23"/>
                                <w:lang w:eastAsia="en-US"/>
                              </w:rPr>
                            </w:pPr>
                            <w:bookmarkStart w:id="31" w:name="__UnoMark__5886_2318926630"/>
                            <w:bookmarkStart w:id="32" w:name="__UnoMark__5887_2318926630"/>
                            <w:bookmarkStart w:id="33" w:name="__UnoMark__5886_2318926630"/>
                            <w:bookmarkStart w:id="34" w:name="__UnoMark__5887_2318926630"/>
                            <w:bookmarkEnd w:id="33"/>
                            <w:bookmarkEnd w:id="34"/>
                            <w:r>
                              <w:rPr>
                                <w:sz w:val="23"/>
                                <w:szCs w:val="23"/>
                                <w:lang w:eastAsia="en-US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76"/>
                              <w:ind w:left="0" w:hanging="0"/>
                              <w:rPr>
                                <w:sz w:val="23"/>
                                <w:szCs w:val="23"/>
                                <w:lang w:eastAsia="en-US"/>
                              </w:rPr>
                            </w:pPr>
                            <w:bookmarkStart w:id="35" w:name="__UnoMark__5888_2318926630"/>
                            <w:bookmarkStart w:id="36" w:name="__UnoMark__5889_2318926630"/>
                            <w:bookmarkStart w:id="37" w:name="__UnoMark__5888_2318926630"/>
                            <w:bookmarkStart w:id="38" w:name="__UnoMark__5889_2318926630"/>
                            <w:bookmarkEnd w:id="37"/>
                            <w:bookmarkEnd w:id="38"/>
                            <w:r>
                              <w:rPr>
                                <w:sz w:val="23"/>
                                <w:szCs w:val="23"/>
                                <w:lang w:eastAsia="en-US"/>
                              </w:rPr>
                            </w:r>
                          </w:p>
                        </w:tc>
                        <w:tc>
                          <w:tcPr>
                            <w:tcW w:w="4828" w:type="dxa"/>
                            <w:tcBorders/>
                            <w:shd w:fill="auto" w:val="clear"/>
                          </w:tcPr>
                          <w:p>
                            <w:pPr>
                              <w:pStyle w:val="Style20"/>
                              <w:tabs>
                                <w:tab w:val="left" w:pos="708" w:leader="none"/>
                                <w:tab w:val="center" w:pos="4153" w:leader="none"/>
                                <w:tab w:val="right" w:pos="8306" w:leader="none"/>
                              </w:tabs>
                              <w:spacing w:lineRule="auto" w:line="276"/>
                              <w:ind w:left="0" w:hanging="0"/>
                              <w:jc w:val="center"/>
                              <w:rPr>
                                <w:sz w:val="23"/>
                                <w:szCs w:val="23"/>
                                <w:lang w:eastAsia="en-US"/>
                              </w:rPr>
                            </w:pPr>
                            <w:bookmarkStart w:id="39" w:name="__UnoMark__5890_2318926630"/>
                            <w:bookmarkStart w:id="40" w:name="__UnoMark__5891_2318926630"/>
                            <w:bookmarkStart w:id="41" w:name="__UnoMark__5890_2318926630"/>
                            <w:bookmarkStart w:id="42" w:name="__UnoMark__5891_2318926630"/>
                            <w:bookmarkEnd w:id="41"/>
                            <w:bookmarkEnd w:id="42"/>
                            <w:r>
                              <w:rPr>
                                <w:sz w:val="23"/>
                                <w:szCs w:val="23"/>
                                <w:lang w:eastAsia="en-US"/>
                              </w:rPr>
                            </w:r>
                          </w:p>
                        </w:tc>
                      </w:tr>
                      <w:tr>
                        <w:trPr/>
                        <w:tc>
                          <w:tcPr>
                            <w:tcW w:w="4829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76"/>
                              <w:ind w:left="0" w:hanging="0"/>
                              <w:jc w:val="center"/>
                              <w:rPr/>
                            </w:pPr>
                            <w:bookmarkStart w:id="43" w:name="__UnoMark__5892_2318926630"/>
                            <w:bookmarkEnd w:id="43"/>
                            <w:r>
                              <w:rPr>
                                <w:bCs/>
                                <w:sz w:val="23"/>
                                <w:szCs w:val="23"/>
                                <w:lang w:eastAsia="en-US"/>
                              </w:rPr>
                              <w:t>________________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>_</w:t>
                            </w:r>
                            <w:r>
                              <w:rPr>
                                <w:b/>
                                <w:sz w:val="23"/>
                                <w:szCs w:val="23"/>
                              </w:rPr>
                              <w:t>_________</w:t>
                            </w:r>
                          </w:p>
                          <w:p>
                            <w:pPr>
                              <w:pStyle w:val="Normal"/>
                              <w:spacing w:lineRule="auto" w:line="276"/>
                              <w:ind w:left="0" w:hanging="0"/>
                              <w:jc w:val="center"/>
                              <w:rPr/>
                            </w:pPr>
                            <w:bookmarkStart w:id="44" w:name="__UnoMark__5893_2318926630"/>
                            <w:bookmarkEnd w:id="44"/>
                            <w:r>
                              <w:rPr>
                                <w:bCs/>
                                <w:sz w:val="23"/>
                                <w:szCs w:val="23"/>
                                <w:lang w:eastAsia="en-US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4828" w:type="dxa"/>
                            <w:tcBorders/>
                            <w:shd w:fill="auto" w:val="clear"/>
                          </w:tcPr>
                          <w:p>
                            <w:pPr>
                              <w:pStyle w:val="Normal"/>
                              <w:spacing w:lineRule="auto" w:line="276"/>
                              <w:ind w:left="0" w:hanging="0"/>
                              <w:jc w:val="center"/>
                              <w:rPr/>
                            </w:pPr>
                            <w:bookmarkStart w:id="45" w:name="__UnoMark__5894_2318926630"/>
                            <w:bookmarkEnd w:id="45"/>
                            <w:r>
                              <w:rPr>
                                <w:sz w:val="23"/>
                                <w:szCs w:val="23"/>
                                <w:lang w:eastAsia="en-US"/>
                              </w:rPr>
                              <w:t>_________________</w:t>
                            </w:r>
                            <w:r>
                              <w:rPr>
                                <w:b/>
                                <w:bCs/>
                                <w:color w:val="0000FF"/>
                                <w:sz w:val="23"/>
                                <w:szCs w:val="23"/>
                              </w:rPr>
                              <w:t>____________</w:t>
                            </w:r>
                          </w:p>
                          <w:p>
                            <w:pPr>
                              <w:pStyle w:val="Normal"/>
                              <w:spacing w:lineRule="auto" w:line="276"/>
                              <w:ind w:left="0" w:hanging="0"/>
                              <w:jc w:val="center"/>
                              <w:rPr/>
                            </w:pPr>
                            <w:r>
                              <w:rPr>
                                <w:bCs/>
                                <w:sz w:val="23"/>
                                <w:szCs w:val="23"/>
                                <w:lang w:eastAsia="en-US"/>
                              </w:rPr>
                              <w:t>м.п.</w:t>
                            </w:r>
                          </w:p>
                        </w:tc>
                      </w:tr>
                    </w:tbl>
                    <w:p>
                      <w:pPr>
                        <w:pStyle w:val="Style24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3"/>
          <w:szCs w:val="23"/>
        </w:rPr>
        <w:t xml:space="preserve">Приложение № 5 </w:t>
      </w:r>
    </w:p>
    <w:p>
      <w:pPr>
        <w:pStyle w:val="Normal"/>
        <w:jc w:val="right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к договору теплоснабжения</w:t>
      </w:r>
    </w:p>
    <w:p>
      <w:pPr>
        <w:pStyle w:val="Normal"/>
        <w:jc w:val="right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и горячего водоснабжения</w:t>
      </w:r>
    </w:p>
    <w:p>
      <w:pPr>
        <w:pStyle w:val="Normal"/>
        <w:jc w:val="right"/>
        <w:rPr>
          <w:sz w:val="23"/>
          <w:szCs w:val="23"/>
        </w:rPr>
      </w:pPr>
      <w:r>
        <w:rPr>
          <w:rStyle w:val="125"/>
          <w:color w:val="00000A"/>
          <w:sz w:val="23"/>
          <w:szCs w:val="23"/>
        </w:rPr>
        <w:t>№ </w:t>
      </w:r>
      <w:r>
        <w:rPr>
          <w:b/>
          <w:bCs/>
          <w:color w:val="0000FF"/>
          <w:sz w:val="23"/>
          <w:szCs w:val="23"/>
        </w:rPr>
        <w:t xml:space="preserve">_____________ </w:t>
      </w:r>
      <w:r>
        <w:rPr>
          <w:b/>
          <w:sz w:val="23"/>
          <w:szCs w:val="23"/>
        </w:rPr>
        <w:t xml:space="preserve">от </w:t>
      </w:r>
      <w:r>
        <w:rPr>
          <w:b/>
          <w:color w:val="3107A9"/>
          <w:sz w:val="23"/>
          <w:szCs w:val="23"/>
        </w:rPr>
        <w:t>______________</w:t>
      </w:r>
    </w:p>
    <w:p>
      <w:pPr>
        <w:pStyle w:val="103"/>
        <w:rPr>
          <w:b w:val="false"/>
          <w:b w:val="false"/>
          <w:color w:val="00000A"/>
          <w:sz w:val="23"/>
          <w:szCs w:val="23"/>
        </w:rPr>
      </w:pPr>
      <w:r>
        <w:rPr>
          <w:b w:val="false"/>
          <w:color w:val="00000A"/>
          <w:sz w:val="23"/>
          <w:szCs w:val="23"/>
        </w:rPr>
        <w:t xml:space="preserve">Наименование Потребителя: </w:t>
      </w:r>
      <w:r>
        <w:rPr>
          <w:bCs/>
          <w:sz w:val="23"/>
          <w:szCs w:val="23"/>
        </w:rPr>
        <w:t>________________________________________</w:t>
      </w:r>
    </w:p>
    <w:p>
      <w:pPr>
        <w:pStyle w:val="103"/>
        <w:rPr>
          <w:b w:val="false"/>
          <w:b w:val="false"/>
          <w:sz w:val="23"/>
          <w:szCs w:val="23"/>
        </w:rPr>
      </w:pPr>
      <w:r>
        <w:rPr>
          <w:b w:val="false"/>
          <w:sz w:val="23"/>
          <w:szCs w:val="23"/>
        </w:rPr>
      </w:r>
    </w:p>
    <w:p>
      <w:pPr>
        <w:pStyle w:val="Normal"/>
        <w:ind w:left="0" w:hanging="567"/>
        <w:jc w:val="left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Перечень точек учета и узлов (приборов) учета тепловой энергии (мощности) и (или) теплоносителя, и (или) горячей воды у Потребителя</w:t>
      </w:r>
    </w:p>
    <w:p>
      <w:pPr>
        <w:pStyle w:val="Normal"/>
        <w:ind w:left="0" w:hanging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Style w:val="ae"/>
        <w:tblW w:w="15928" w:type="dxa"/>
        <w:jc w:val="left"/>
        <w:tblInd w:w="-759" w:type="dxa"/>
        <w:tblCellMar>
          <w:top w:w="0" w:type="dxa"/>
          <w:left w:w="93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094"/>
        <w:gridCol w:w="1347"/>
        <w:gridCol w:w="1894"/>
        <w:gridCol w:w="1442"/>
        <w:gridCol w:w="979"/>
        <w:gridCol w:w="980"/>
        <w:gridCol w:w="1"/>
        <w:gridCol w:w="908"/>
        <w:gridCol w:w="910"/>
        <w:gridCol w:w="3"/>
        <w:gridCol w:w="1946"/>
        <w:gridCol w:w="3"/>
        <w:gridCol w:w="1980"/>
        <w:gridCol w:w="4"/>
        <w:gridCol w:w="1196"/>
        <w:gridCol w:w="3"/>
        <w:gridCol w:w="1237"/>
      </w:tblGrid>
      <w:tr>
        <w:trPr>
          <w:trHeight w:val="499" w:hRule="atLeast"/>
        </w:trPr>
        <w:tc>
          <w:tcPr>
            <w:tcW w:w="1094" w:type="dxa"/>
            <w:vMerge w:val="restart"/>
            <w:tcBorders/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№ </w:t>
            </w:r>
            <w:r>
              <w:rPr>
                <w:b/>
                <w:sz w:val="18"/>
                <w:szCs w:val="18"/>
              </w:rPr>
              <w:t>ЦТП (ИТП)</w:t>
            </w:r>
          </w:p>
        </w:tc>
        <w:tc>
          <w:tcPr>
            <w:tcW w:w="1347" w:type="dxa"/>
            <w:vMerge w:val="restart"/>
            <w:tcBorders/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№ </w:t>
            </w:r>
            <w:r>
              <w:rPr>
                <w:b/>
                <w:sz w:val="18"/>
                <w:szCs w:val="18"/>
              </w:rPr>
              <w:t>договора/ приложения</w:t>
            </w:r>
          </w:p>
        </w:tc>
        <w:tc>
          <w:tcPr>
            <w:tcW w:w="1894" w:type="dxa"/>
            <w:vMerge w:val="restart"/>
            <w:tcBorders/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строения Потребителя</w:t>
            </w:r>
          </w:p>
          <w:p>
            <w:pPr>
              <w:pStyle w:val="Normal"/>
              <w:ind w:left="0" w:hanging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5220" w:type="dxa"/>
            <w:gridSpan w:val="6"/>
            <w:tcBorders/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 прибора</w:t>
            </w:r>
          </w:p>
        </w:tc>
        <w:tc>
          <w:tcPr>
            <w:tcW w:w="1949" w:type="dxa"/>
            <w:gridSpan w:val="2"/>
            <w:vMerge w:val="restart"/>
            <w:tcBorders/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Термосопротивление подача</w:t>
            </w:r>
          </w:p>
        </w:tc>
        <w:tc>
          <w:tcPr>
            <w:tcW w:w="1983" w:type="dxa"/>
            <w:gridSpan w:val="2"/>
            <w:vMerge w:val="restart"/>
            <w:tcBorders/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Термосопротивление обратка</w:t>
            </w:r>
          </w:p>
        </w:tc>
        <w:tc>
          <w:tcPr>
            <w:tcW w:w="1200" w:type="dxa"/>
            <w:gridSpan w:val="2"/>
            <w:vMerge w:val="restart"/>
            <w:tcBorders/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текущей поверки</w:t>
            </w:r>
          </w:p>
        </w:tc>
        <w:tc>
          <w:tcPr>
            <w:tcW w:w="1240" w:type="dxa"/>
            <w:gridSpan w:val="2"/>
            <w:vMerge w:val="restart"/>
            <w:tcBorders/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следующей поверки</w:t>
            </w:r>
          </w:p>
        </w:tc>
      </w:tr>
      <w:tr>
        <w:trPr/>
        <w:tc>
          <w:tcPr>
            <w:tcW w:w="1094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347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894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3402" w:type="dxa"/>
            <w:gridSpan w:val="4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Отопление</w:t>
            </w:r>
          </w:p>
        </w:tc>
        <w:tc>
          <w:tcPr>
            <w:tcW w:w="1821" w:type="dxa"/>
            <w:gridSpan w:val="3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ГВС/ Водоразбор</w:t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84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19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3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1094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347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894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42" w:type="dxa"/>
            <w:tcBorders/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Вычислитель</w:t>
            </w:r>
          </w:p>
        </w:tc>
        <w:tc>
          <w:tcPr>
            <w:tcW w:w="979" w:type="dxa"/>
            <w:tcBorders/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Водомер подача</w:t>
            </w:r>
          </w:p>
        </w:tc>
        <w:tc>
          <w:tcPr>
            <w:tcW w:w="980" w:type="dxa"/>
            <w:tcBorders/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Водомер обратка</w:t>
            </w:r>
          </w:p>
        </w:tc>
        <w:tc>
          <w:tcPr>
            <w:tcW w:w="909" w:type="dxa"/>
            <w:gridSpan w:val="2"/>
            <w:tcBorders/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Водомер подача</w:t>
            </w:r>
          </w:p>
        </w:tc>
        <w:tc>
          <w:tcPr>
            <w:tcW w:w="910" w:type="dxa"/>
            <w:tcBorders/>
            <w:shd w:fill="auto" w:val="clear"/>
            <w:tcMar>
              <w:left w:w="93" w:type="dxa"/>
            </w:tcMar>
            <w:vAlign w:val="center"/>
          </w:tcPr>
          <w:p>
            <w:pPr>
              <w:pStyle w:val="Normal"/>
              <w:ind w:left="0" w:hanging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Водомер обратка</w:t>
            </w:r>
          </w:p>
        </w:tc>
        <w:tc>
          <w:tcPr>
            <w:tcW w:w="1949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83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00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40" w:type="dxa"/>
            <w:gridSpan w:val="2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10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34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8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4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7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8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1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8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0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4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10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34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8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4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7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8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1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8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0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4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10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34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8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4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7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8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1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8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0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4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10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34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8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4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7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8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1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8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0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4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10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34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8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4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7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8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1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8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0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4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10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34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8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4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7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8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1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8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0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4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10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34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8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4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7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8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1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8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0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4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10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34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8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4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7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8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1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8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0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4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10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34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8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4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7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8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1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8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0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4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10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34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8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4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7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8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1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8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0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4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10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34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8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4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7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8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1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8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0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4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10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34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8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4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7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8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1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8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0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4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10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34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8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4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7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8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1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8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0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4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10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34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8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4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7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8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1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8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0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4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10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34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8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4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7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8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1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8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0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4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10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34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8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4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7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8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1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8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0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4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  <w:tr>
        <w:trPr/>
        <w:tc>
          <w:tcPr>
            <w:tcW w:w="10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347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894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44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79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8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0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91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49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98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0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  <w:tc>
          <w:tcPr>
            <w:tcW w:w="1240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ind w:left="0" w:hanging="0"/>
              <w:rPr>
                <w:b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</w:r>
          </w:p>
        </w:tc>
      </w:tr>
    </w:tbl>
    <w:p>
      <w:pPr>
        <w:pStyle w:val="Style20"/>
        <w:ind w:left="0" w:hanging="0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tbl>
      <w:tblPr>
        <w:tblW w:w="18252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8187"/>
        <w:gridCol w:w="10064"/>
      </w:tblGrid>
      <w:tr>
        <w:trPr/>
        <w:tc>
          <w:tcPr>
            <w:tcW w:w="8187" w:type="dxa"/>
            <w:tcBorders/>
            <w:shd w:fill="auto" w:val="clear"/>
          </w:tcPr>
          <w:p>
            <w:pPr>
              <w:pStyle w:val="15"/>
              <w:widowControl/>
              <w:ind w:left="284" w:hanging="0"/>
              <w:rPr>
                <w:b/>
                <w:b/>
                <w:bCs/>
                <w:spacing w:val="-4"/>
                <w:sz w:val="23"/>
                <w:szCs w:val="23"/>
              </w:rPr>
            </w:pPr>
            <w:r>
              <w:rPr>
                <w:b/>
                <w:bCs/>
                <w:spacing w:val="-4"/>
                <w:sz w:val="23"/>
                <w:szCs w:val="23"/>
              </w:rPr>
              <w:t>Теплоснабжающая организация</w:t>
            </w:r>
          </w:p>
          <w:p>
            <w:pPr>
              <w:pStyle w:val="15"/>
              <w:widowControl/>
              <w:ind w:left="284" w:hanging="0"/>
              <w:rPr>
                <w:bCs/>
                <w:spacing w:val="-4"/>
                <w:sz w:val="23"/>
                <w:szCs w:val="23"/>
              </w:rPr>
            </w:pPr>
            <w:r>
              <w:rPr>
                <w:bCs/>
                <w:spacing w:val="-4"/>
                <w:sz w:val="23"/>
                <w:szCs w:val="23"/>
              </w:rPr>
            </w:r>
          </w:p>
          <w:p>
            <w:pPr>
              <w:pStyle w:val="15"/>
              <w:widowControl/>
              <w:ind w:left="284" w:hanging="0"/>
              <w:rPr>
                <w:bCs/>
                <w:spacing w:val="-4"/>
                <w:sz w:val="23"/>
                <w:szCs w:val="23"/>
              </w:rPr>
            </w:pPr>
            <w:r>
              <w:rPr>
                <w:bCs/>
                <w:spacing w:val="-4"/>
                <w:sz w:val="23"/>
                <w:szCs w:val="23"/>
              </w:rPr>
              <w:t xml:space="preserve">  </w:t>
            </w:r>
            <w:r>
              <w:rPr>
                <w:bCs/>
                <w:spacing w:val="-4"/>
                <w:sz w:val="23"/>
                <w:szCs w:val="23"/>
              </w:rPr>
              <w:t>______________</w:t>
            </w:r>
            <w:r>
              <w:rPr>
                <w:sz w:val="23"/>
                <w:szCs w:val="23"/>
              </w:rPr>
              <w:t>___</w:t>
            </w:r>
            <w:r>
              <w:rPr>
                <w:b/>
                <w:sz w:val="23"/>
                <w:szCs w:val="23"/>
              </w:rPr>
              <w:t>____________</w:t>
            </w:r>
          </w:p>
          <w:p>
            <w:pPr>
              <w:pStyle w:val="15"/>
              <w:widowControl/>
              <w:ind w:left="284" w:hanging="0"/>
              <w:rPr>
                <w:bCs/>
                <w:spacing w:val="-4"/>
                <w:sz w:val="23"/>
                <w:szCs w:val="23"/>
                <w:vertAlign w:val="superscript"/>
              </w:rPr>
            </w:pPr>
            <w:r>
              <w:rPr>
                <w:sz w:val="23"/>
                <w:szCs w:val="23"/>
                <w:vertAlign w:val="superscript"/>
              </w:rPr>
              <w:t xml:space="preserve">                                      </w:t>
            </w:r>
            <w:r>
              <w:rPr>
                <w:sz w:val="23"/>
                <w:szCs w:val="23"/>
                <w:vertAlign w:val="superscript"/>
              </w:rPr>
              <w:t xml:space="preserve">подпись                                         </w:t>
            </w:r>
          </w:p>
          <w:p>
            <w:pPr>
              <w:pStyle w:val="15"/>
              <w:widowControl/>
              <w:ind w:left="284" w:hanging="0"/>
              <w:rPr>
                <w:bCs/>
                <w:spacing w:val="-4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   </w:t>
            </w:r>
            <w:r>
              <w:rPr>
                <w:sz w:val="23"/>
                <w:szCs w:val="23"/>
              </w:rPr>
              <w:t>м.п.</w:t>
            </w:r>
          </w:p>
        </w:tc>
        <w:tc>
          <w:tcPr>
            <w:tcW w:w="10064" w:type="dxa"/>
            <w:tcBorders/>
            <w:shd w:fill="auto" w:val="clear"/>
          </w:tcPr>
          <w:p>
            <w:pPr>
              <w:pStyle w:val="15"/>
              <w:widowControl/>
              <w:ind w:left="284" w:hanging="0"/>
              <w:rPr>
                <w:b/>
                <w:b/>
                <w:sz w:val="23"/>
                <w:szCs w:val="23"/>
              </w:rPr>
            </w:pPr>
            <w:r>
              <w:rPr>
                <w:bCs/>
                <w:spacing w:val="-4"/>
                <w:sz w:val="23"/>
                <w:szCs w:val="23"/>
              </w:rPr>
              <w:t xml:space="preserve">               </w:t>
            </w:r>
            <w:r>
              <w:rPr>
                <w:b/>
                <w:bCs/>
                <w:spacing w:val="-4"/>
                <w:sz w:val="23"/>
                <w:szCs w:val="23"/>
              </w:rPr>
              <w:t>Потребитель</w:t>
            </w:r>
          </w:p>
          <w:p>
            <w:pPr>
              <w:pStyle w:val="15"/>
              <w:widowControl/>
              <w:ind w:left="284" w:hanging="0"/>
              <w:rPr>
                <w:bCs/>
                <w:spacing w:val="-4"/>
                <w:sz w:val="23"/>
                <w:szCs w:val="23"/>
              </w:rPr>
            </w:pPr>
            <w:r>
              <w:rPr>
                <w:bCs/>
                <w:spacing w:val="-4"/>
                <w:sz w:val="23"/>
                <w:szCs w:val="23"/>
              </w:rPr>
            </w:r>
          </w:p>
          <w:p>
            <w:pPr>
              <w:pStyle w:val="15"/>
              <w:widowControl/>
              <w:ind w:left="284" w:hanging="0"/>
              <w:rPr>
                <w:rStyle w:val="125"/>
                <w:rFonts w:eastAsia="Calibri"/>
                <w:b w:val="false"/>
                <w:b w:val="false"/>
                <w:color w:val="00000A"/>
                <w:sz w:val="23"/>
                <w:szCs w:val="23"/>
              </w:rPr>
            </w:pPr>
            <w:r>
              <w:rPr>
                <w:bCs/>
                <w:spacing w:val="-4"/>
                <w:sz w:val="23"/>
                <w:szCs w:val="23"/>
              </w:rPr>
              <w:t>___________________</w:t>
            </w:r>
            <w:r>
              <w:rPr>
                <w:b/>
                <w:bCs/>
                <w:color w:val="0000FF"/>
                <w:sz w:val="23"/>
                <w:szCs w:val="23"/>
              </w:rPr>
              <w:t>____________</w:t>
            </w:r>
          </w:p>
          <w:p>
            <w:pPr>
              <w:pStyle w:val="15"/>
              <w:widowControl/>
              <w:ind w:left="284" w:hanging="0"/>
              <w:rPr>
                <w:bCs/>
                <w:spacing w:val="-4"/>
                <w:sz w:val="23"/>
                <w:szCs w:val="23"/>
                <w:vertAlign w:val="superscript"/>
              </w:rPr>
            </w:pPr>
            <w:r>
              <w:rPr>
                <w:sz w:val="23"/>
                <w:szCs w:val="23"/>
                <w:vertAlign w:val="superscript"/>
              </w:rPr>
              <w:t xml:space="preserve">                                    </w:t>
            </w:r>
            <w:r>
              <w:rPr>
                <w:sz w:val="23"/>
                <w:szCs w:val="23"/>
                <w:vertAlign w:val="superscript"/>
              </w:rPr>
              <w:t xml:space="preserve">подпись                                             </w:t>
            </w:r>
          </w:p>
          <w:p>
            <w:pPr>
              <w:pStyle w:val="15"/>
              <w:widowControl/>
              <w:ind w:left="284" w:hanging="0"/>
              <w:rPr>
                <w:bCs/>
                <w:spacing w:val="-4"/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   </w:t>
            </w:r>
            <w:r>
              <w:rPr>
                <w:sz w:val="23"/>
                <w:szCs w:val="23"/>
              </w:rPr>
              <w:t>м.п.</w:t>
            </w:r>
          </w:p>
        </w:tc>
      </w:tr>
    </w:tbl>
    <w:p>
      <w:pPr>
        <w:pStyle w:val="Normal"/>
        <w:ind w:left="0" w:hanging="0"/>
        <w:rPr/>
      </w:pPr>
      <w:r>
        <w:rPr/>
      </w:r>
    </w:p>
    <w:sectPr>
      <w:footerReference w:type="default" r:id="rId12"/>
      <w:type w:val="nextPage"/>
      <w:pgSz w:orient="landscape" w:w="16838" w:h="11906"/>
      <w:pgMar w:left="1418" w:right="851" w:header="0" w:top="1134" w:footer="624" w:bottom="1134" w:gutter="0"/>
      <w:pgNumType w:fmt="decimal"/>
      <w:formProt w:val="false"/>
      <w:textDirection w:val="lrTb"/>
      <w:docGrid w:type="default" w:linePitch="249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ind w:left="0" w:hanging="0"/>
      <w:jc w:val="center"/>
      <w:rPr>
        <w:i/>
        <w:i/>
      </w:rPr>
    </w:pPr>
    <w:r>
      <w:rPr>
        <w:i/>
      </w:rPr>
    </w:r>
  </w:p>
  <w:p>
    <w:pPr>
      <w:pStyle w:val="Style21"/>
      <w:ind w:left="0" w:hanging="0"/>
      <w:jc w:val="center"/>
      <w:rPr>
        <w:i/>
        <w:i/>
      </w:rPr>
    </w:pPr>
    <w:r>
      <w:rPr>
        <w:i/>
      </w:rPr>
      <w:t>Договор теплоснабжения и горячего водоснабжения при открытой и закрытой системах теплоснабжения (внебюджетное финансирование).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ind w:left="0" w:hanging="0"/>
      <w:jc w:val="center"/>
      <w:rPr>
        <w:i/>
        <w:i/>
      </w:rPr>
    </w:pPr>
    <w:r>
      <w:rPr>
        <w:i/>
      </w:rPr>
    </w:r>
  </w:p>
  <w:p>
    <w:pPr>
      <w:pStyle w:val="Style21"/>
      <w:ind w:left="0" w:hanging="0"/>
      <w:jc w:val="center"/>
      <w:rPr/>
    </w:pPr>
    <w:r>
      <w:rPr>
        <w:i/>
      </w:rPr>
      <w:t>Договор теплоснабжения и горячего водоснабжения при открытой и закрытой системах теплоснабжения (внебюджетное финансирование).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4"/>
      <w:numFmt w:val="decimal"/>
      <w:lvlText w:val="%1."/>
      <w:lvlJc w:val="left"/>
      <w:pPr>
        <w:ind w:left="585" w:hanging="585"/>
      </w:pPr>
      <w:rPr>
        <w:sz w:val="22"/>
        <w:b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sz w:val="22"/>
        <w:i w:val="false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sz w:val="22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2">
    <w:lvl w:ilvl="0">
      <w:start w:val="2"/>
      <w:numFmt w:val="decimal"/>
      <w:lvlText w:val="%1."/>
      <w:lvlJc w:val="left"/>
      <w:pPr>
        <w:ind w:left="390" w:hanging="390"/>
      </w:pPr>
      <w:rPr>
        <w:sz w:val="22"/>
        <w:i w:val="false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sz w:val="22"/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6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7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Symbol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8"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sz w:val="22"/>
        <w:i w:val="false"/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9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0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1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2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6533c"/>
    <w:pPr>
      <w:widowControl/>
      <w:bidi w:val="0"/>
      <w:ind w:left="357" w:firstLine="357"/>
      <w:jc w:val="both"/>
    </w:pPr>
    <w:rPr>
      <w:rFonts w:ascii="Times New Roman" w:hAnsi="Times New Roman" w:eastAsia="Times New Roman" w:cs="Times New Roman"/>
      <w:color w:val="00000A"/>
      <w:sz w:val="20"/>
      <w:szCs w:val="20"/>
      <w:lang w:val="ru-RU" w:eastAsia="ru-RU" w:bidi="ar-SA"/>
    </w:rPr>
  </w:style>
  <w:style w:type="paragraph" w:styleId="1">
    <w:name w:val="Heading 1"/>
    <w:basedOn w:val="Normal"/>
    <w:qFormat/>
    <w:rsid w:val="0016533c"/>
    <w:pPr>
      <w:keepNext w:val="true"/>
      <w:jc w:val="center"/>
      <w:outlineLvl w:val="0"/>
    </w:pPr>
    <w:rPr>
      <w:rFonts w:ascii="Arial" w:hAnsi="Arial"/>
      <w:b/>
      <w:sz w:val="22"/>
    </w:rPr>
  </w:style>
  <w:style w:type="paragraph" w:styleId="2">
    <w:name w:val="Heading 2"/>
    <w:basedOn w:val="Normal"/>
    <w:link w:val="20"/>
    <w:qFormat/>
    <w:rsid w:val="0016533c"/>
    <w:pPr>
      <w:keepNext w:val="true"/>
      <w:outlineLvl w:val="1"/>
    </w:pPr>
    <w:rPr>
      <w:rFonts w:ascii="Arial" w:hAnsi="Arial"/>
      <w:b/>
      <w:sz w:val="22"/>
      <w:lang w:val="en-US"/>
    </w:rPr>
  </w:style>
  <w:style w:type="paragraph" w:styleId="3">
    <w:name w:val="Heading 3"/>
    <w:basedOn w:val="Normal"/>
    <w:qFormat/>
    <w:rsid w:val="0016533c"/>
    <w:pPr>
      <w:keepNext w:val="true"/>
      <w:jc w:val="center"/>
      <w:outlineLvl w:val="2"/>
    </w:pPr>
    <w:rPr>
      <w:rFonts w:ascii="Arial" w:hAnsi="Arial"/>
      <w:b/>
      <w:sz w:val="16"/>
      <w:lang w:val="en-US"/>
    </w:rPr>
  </w:style>
  <w:style w:type="paragraph" w:styleId="4">
    <w:name w:val="Heading 4"/>
    <w:basedOn w:val="Normal"/>
    <w:qFormat/>
    <w:rsid w:val="0016533c"/>
    <w:pPr>
      <w:keepNext w:val="true"/>
      <w:jc w:val="center"/>
      <w:outlineLvl w:val="3"/>
    </w:pPr>
    <w:rPr>
      <w:rFonts w:ascii="Arial" w:hAnsi="Arial"/>
      <w:b/>
      <w:lang w:val="en-US"/>
    </w:rPr>
  </w:style>
  <w:style w:type="paragraph" w:styleId="5">
    <w:name w:val="Heading 5"/>
    <w:basedOn w:val="Normal"/>
    <w:qFormat/>
    <w:rsid w:val="0016533c"/>
    <w:pPr>
      <w:keepNext w:val="true"/>
      <w:outlineLvl w:val="4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16533c"/>
    <w:rPr/>
  </w:style>
  <w:style w:type="character" w:styleId="Style9">
    <w:name w:val="Интернет-ссылка"/>
    <w:rsid w:val="00c84986"/>
    <w:rPr>
      <w:color w:val="0000FF"/>
      <w:u w:val="single"/>
    </w:rPr>
  </w:style>
  <w:style w:type="character" w:styleId="Style10" w:customStyle="1">
    <w:name w:val="Верхний колонтитул Знак"/>
    <w:basedOn w:val="DefaultParagraphFont"/>
    <w:link w:val="a3"/>
    <w:qFormat/>
    <w:rsid w:val="003a33d4"/>
    <w:rPr/>
  </w:style>
  <w:style w:type="character" w:styleId="11" w:customStyle="1">
    <w:name w:val="Стиль1_св-ва документа Знак"/>
    <w:link w:val="1-"/>
    <w:qFormat/>
    <w:rsid w:val="00f26e59"/>
    <w:rPr>
      <w:b/>
      <w:bCs/>
      <w:sz w:val="25"/>
      <w:szCs w:val="25"/>
    </w:rPr>
  </w:style>
  <w:style w:type="character" w:styleId="125" w:customStyle="1">
    <w:name w:val="Обычный125Жир Знак"/>
    <w:link w:val="125"/>
    <w:qFormat/>
    <w:rsid w:val="003c61f8"/>
    <w:rPr>
      <w:b/>
      <w:bCs/>
      <w:color w:val="0000FF"/>
      <w:sz w:val="25"/>
      <w:szCs w:val="25"/>
    </w:rPr>
  </w:style>
  <w:style w:type="character" w:styleId="12" w:customStyle="1">
    <w:name w:val="Об12жир Знак"/>
    <w:link w:val="12"/>
    <w:qFormat/>
    <w:rsid w:val="003c61f8"/>
    <w:rPr>
      <w:b/>
      <w:bCs/>
      <w:color w:val="0000FF"/>
      <w:sz w:val="24"/>
      <w:szCs w:val="24"/>
    </w:rPr>
  </w:style>
  <w:style w:type="character" w:styleId="13" w:customStyle="1">
    <w:name w:val="Об_13_Жир Знак"/>
    <w:link w:val="13"/>
    <w:qFormat/>
    <w:rsid w:val="003c61f8"/>
    <w:rPr>
      <w:b/>
      <w:color w:val="0000FF"/>
      <w:sz w:val="26"/>
      <w:szCs w:val="26"/>
    </w:rPr>
  </w:style>
  <w:style w:type="character" w:styleId="10" w:customStyle="1">
    <w:name w:val="ТР_10_Жир Знак"/>
    <w:link w:val="10"/>
    <w:qFormat/>
    <w:rsid w:val="003c61f8"/>
    <w:rPr>
      <w:b/>
      <w:color w:val="0000FF"/>
    </w:rPr>
  </w:style>
  <w:style w:type="character" w:styleId="101" w:customStyle="1">
    <w:name w:val="ТР_10 Знак"/>
    <w:link w:val="101"/>
    <w:qFormat/>
    <w:rsid w:val="003c61f8"/>
    <w:rPr>
      <w:color w:val="0000FF"/>
    </w:rPr>
  </w:style>
  <w:style w:type="character" w:styleId="102" w:customStyle="1">
    <w:name w:val="Тр_10_Жир Знак"/>
    <w:link w:val="103"/>
    <w:qFormat/>
    <w:rsid w:val="008910fe"/>
    <w:rPr>
      <w:b/>
      <w:color w:val="3333FF"/>
    </w:rPr>
  </w:style>
  <w:style w:type="character" w:styleId="21" w:customStyle="1">
    <w:name w:val="Заголовок 2 Знак"/>
    <w:link w:val="2"/>
    <w:qFormat/>
    <w:rsid w:val="00aa10ca"/>
    <w:rPr>
      <w:rFonts w:ascii="Arial" w:hAnsi="Arial"/>
      <w:b/>
      <w:sz w:val="22"/>
      <w:lang w:val="en-US"/>
    </w:rPr>
  </w:style>
  <w:style w:type="character" w:styleId="Annotationreference">
    <w:name w:val="annotation reference"/>
    <w:qFormat/>
    <w:rsid w:val="001667b2"/>
    <w:rPr>
      <w:sz w:val="16"/>
      <w:szCs w:val="16"/>
    </w:rPr>
  </w:style>
  <w:style w:type="character" w:styleId="Style11" w:customStyle="1">
    <w:name w:val="Текст примечания Знак"/>
    <w:basedOn w:val="DefaultParagraphFont"/>
    <w:link w:val="af2"/>
    <w:qFormat/>
    <w:rsid w:val="001667b2"/>
    <w:rPr/>
  </w:style>
  <w:style w:type="character" w:styleId="Style12" w:customStyle="1">
    <w:name w:val="Тема примечания Знак"/>
    <w:link w:val="af4"/>
    <w:qFormat/>
    <w:rsid w:val="001667b2"/>
    <w:rPr>
      <w:b/>
      <w:bCs/>
    </w:rPr>
  </w:style>
  <w:style w:type="character" w:styleId="Style13" w:customStyle="1">
    <w:name w:val="Нижний колонтитул Знак"/>
    <w:basedOn w:val="DefaultParagraphFont"/>
    <w:link w:val="a5"/>
    <w:uiPriority w:val="99"/>
    <w:qFormat/>
    <w:rsid w:val="00033d73"/>
    <w:rPr/>
  </w:style>
  <w:style w:type="character" w:styleId="Style14" w:customStyle="1">
    <w:name w:val="Основной текст_"/>
    <w:link w:val="15"/>
    <w:qFormat/>
    <w:rsid w:val="005c1d9e"/>
    <w:rPr>
      <w:spacing w:val="-2"/>
      <w:sz w:val="18"/>
      <w:szCs w:val="18"/>
      <w:shd w:fill="FFFFFF" w:val="clear"/>
    </w:rPr>
  </w:style>
  <w:style w:type="character" w:styleId="131" w:customStyle="1">
    <w:name w:val="ТР_13_жирный Знак"/>
    <w:link w:val="131"/>
    <w:qFormat/>
    <w:rsid w:val="00b67c34"/>
    <w:rPr>
      <w:b/>
      <w:color w:val="421CE2"/>
      <w:sz w:val="26"/>
    </w:rPr>
  </w:style>
  <w:style w:type="character" w:styleId="ListLabel1">
    <w:name w:val="ListLabel 1"/>
    <w:qFormat/>
    <w:rPr>
      <w:b/>
      <w:i w:val="false"/>
    </w:rPr>
  </w:style>
  <w:style w:type="character" w:styleId="ListLabel2">
    <w:name w:val="ListLabel 2"/>
    <w:qFormat/>
    <w:rPr>
      <w:b/>
    </w:rPr>
  </w:style>
  <w:style w:type="character" w:styleId="ListLabel3">
    <w:name w:val="ListLabel 3"/>
    <w:qFormat/>
    <w:rPr>
      <w:b/>
      <w:sz w:val="20"/>
      <w:szCs w:val="20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b/>
    </w:rPr>
  </w:style>
  <w:style w:type="character" w:styleId="ListLabel14">
    <w:name w:val="ListLabel 14"/>
    <w:qFormat/>
    <w:rPr>
      <w:b w:val="false"/>
      <w:sz w:val="24"/>
      <w:szCs w:val="24"/>
    </w:rPr>
  </w:style>
  <w:style w:type="character" w:styleId="ListLabel15">
    <w:name w:val="ListLabel 15"/>
    <w:qFormat/>
    <w:rPr>
      <w:b w:val="false"/>
      <w:i w:val="false"/>
    </w:rPr>
  </w:style>
  <w:style w:type="character" w:styleId="ListLabel16">
    <w:name w:val="ListLabel 16"/>
    <w:qFormat/>
    <w:rPr>
      <w:b/>
    </w:rPr>
  </w:style>
  <w:style w:type="character" w:styleId="ListLabel17">
    <w:name w:val="ListLabel 17"/>
    <w:qFormat/>
    <w:rPr>
      <w:b w:val="false"/>
      <w:color w:val="00000A"/>
      <w:sz w:val="24"/>
      <w:szCs w:val="24"/>
    </w:rPr>
  </w:style>
  <w:style w:type="character" w:styleId="ListLabel18">
    <w:name w:val="ListLabel 18"/>
    <w:qFormat/>
    <w:rPr>
      <w:b w:val="false"/>
      <w:i w:val="false"/>
    </w:rPr>
  </w:style>
  <w:style w:type="character" w:styleId="ListLabel19">
    <w:name w:val="ListLabel 19"/>
    <w:qFormat/>
    <w:rPr>
      <w:b/>
    </w:rPr>
  </w:style>
  <w:style w:type="character" w:styleId="ListLabel20">
    <w:name w:val="ListLabel 20"/>
    <w:qFormat/>
    <w:rPr>
      <w:b/>
    </w:rPr>
  </w:style>
  <w:style w:type="character" w:styleId="ListLabel21">
    <w:name w:val="ListLabel 21"/>
    <w:qFormat/>
    <w:rPr>
      <w:b w:val="false"/>
      <w:i w:val="false"/>
    </w:rPr>
  </w:style>
  <w:style w:type="character" w:styleId="ListLabel22">
    <w:name w:val="ListLabel 22"/>
    <w:qFormat/>
    <w:rPr>
      <w:b/>
    </w:rPr>
  </w:style>
  <w:style w:type="character" w:styleId="ListLabel23">
    <w:name w:val="ListLabel 23"/>
    <w:qFormat/>
    <w:rPr>
      <w:b/>
    </w:rPr>
  </w:style>
  <w:style w:type="character" w:styleId="ListLabel24">
    <w:name w:val="ListLabel 24"/>
    <w:qFormat/>
    <w:rPr>
      <w:b w:val="false"/>
      <w:i w:val="false"/>
    </w:rPr>
  </w:style>
  <w:style w:type="character" w:styleId="ListLabel25">
    <w:name w:val="ListLabel 25"/>
    <w:qFormat/>
    <w:rPr>
      <w:b/>
    </w:rPr>
  </w:style>
  <w:style w:type="character" w:styleId="ListLabel26">
    <w:name w:val="ListLabel 26"/>
    <w:qFormat/>
    <w:rPr>
      <w:b w:val="false"/>
      <w:i w:val="false"/>
    </w:rPr>
  </w:style>
  <w:style w:type="character" w:styleId="ListLabel27">
    <w:name w:val="ListLabel 27"/>
    <w:qFormat/>
    <w:rPr>
      <w:b/>
    </w:rPr>
  </w:style>
  <w:style w:type="character" w:styleId="ListLabel28">
    <w:name w:val="ListLabel 28"/>
    <w:qFormat/>
    <w:rPr>
      <w:b w:val="false"/>
      <w:i w:val="false"/>
    </w:rPr>
  </w:style>
  <w:style w:type="character" w:styleId="ListLabel29">
    <w:name w:val="ListLabel 29"/>
    <w:qFormat/>
    <w:rPr>
      <w:b/>
    </w:rPr>
  </w:style>
  <w:style w:type="character" w:styleId="ListLabel30">
    <w:name w:val="ListLabel 30"/>
    <w:qFormat/>
    <w:rPr>
      <w:rFonts w:eastAsia="Calibri" w:cs="Times New Roman"/>
    </w:rPr>
  </w:style>
  <w:style w:type="character" w:styleId="ListLabel31">
    <w:name w:val="ListLabel 31"/>
    <w:qFormat/>
    <w:rPr>
      <w:b/>
      <w:sz w:val="22"/>
    </w:rPr>
  </w:style>
  <w:style w:type="character" w:styleId="ListLabel32">
    <w:name w:val="ListLabel 32"/>
    <w:qFormat/>
    <w:rPr>
      <w:b/>
      <w:i w:val="false"/>
      <w:sz w:val="22"/>
    </w:rPr>
  </w:style>
  <w:style w:type="character" w:styleId="ListLabel33">
    <w:name w:val="ListLabel 33"/>
    <w:qFormat/>
    <w:rPr>
      <w:b/>
      <w:sz w:val="22"/>
    </w:rPr>
  </w:style>
  <w:style w:type="character" w:styleId="ListLabel34">
    <w:name w:val="ListLabel 34"/>
    <w:qFormat/>
    <w:rPr>
      <w:b/>
    </w:rPr>
  </w:style>
  <w:style w:type="character" w:styleId="ListLabel35">
    <w:name w:val="ListLabel 35"/>
    <w:qFormat/>
    <w:rPr>
      <w:b/>
    </w:rPr>
  </w:style>
  <w:style w:type="character" w:styleId="ListLabel36">
    <w:name w:val="ListLabel 36"/>
    <w:qFormat/>
    <w:rPr>
      <w:rFonts w:cs="Times New Roman"/>
    </w:rPr>
  </w:style>
  <w:style w:type="character" w:styleId="ListLabel37">
    <w:name w:val="ListLabel 37"/>
    <w:qFormat/>
    <w:rPr>
      <w:rFonts w:cs="Times New Roman"/>
    </w:rPr>
  </w:style>
  <w:style w:type="character" w:styleId="ListLabel38">
    <w:name w:val="ListLabel 38"/>
    <w:qFormat/>
    <w:rPr>
      <w:rFonts w:cs="Times New Roman"/>
    </w:rPr>
  </w:style>
  <w:style w:type="character" w:styleId="ListLabel39">
    <w:name w:val="ListLabel 39"/>
    <w:qFormat/>
    <w:rPr>
      <w:rFonts w:cs="Times New Roman"/>
    </w:rPr>
  </w:style>
  <w:style w:type="character" w:styleId="ListLabel40">
    <w:name w:val="ListLabel 40"/>
    <w:qFormat/>
    <w:rPr>
      <w:rFonts w:cs="Times New Roman"/>
    </w:rPr>
  </w:style>
  <w:style w:type="character" w:styleId="ListLabel41">
    <w:name w:val="ListLabel 41"/>
    <w:qFormat/>
    <w:rPr>
      <w:rFonts w:cs="Times New Roman"/>
    </w:rPr>
  </w:style>
  <w:style w:type="character" w:styleId="ListLabel42">
    <w:name w:val="ListLabel 42"/>
    <w:qFormat/>
    <w:rPr>
      <w:rFonts w:cs="Times New Roman"/>
    </w:rPr>
  </w:style>
  <w:style w:type="character" w:styleId="ListLabel43">
    <w:name w:val="ListLabel 43"/>
    <w:qFormat/>
    <w:rPr>
      <w:rFonts w:cs="Times New Roman"/>
    </w:rPr>
  </w:style>
  <w:style w:type="character" w:styleId="ListLabel44">
    <w:name w:val="ListLabel 44"/>
    <w:qFormat/>
    <w:rPr>
      <w:rFonts w:cs="Times New Roman"/>
    </w:rPr>
  </w:style>
  <w:style w:type="character" w:styleId="ListLabel45">
    <w:name w:val="ListLabel 45"/>
    <w:qFormat/>
    <w:rPr>
      <w:rFonts w:cs="Times New Roman"/>
    </w:rPr>
  </w:style>
  <w:style w:type="character" w:styleId="ListLabel46">
    <w:name w:val="ListLabel 46"/>
    <w:qFormat/>
    <w:rPr>
      <w:rFonts w:cs="Times New Roman"/>
    </w:rPr>
  </w:style>
  <w:style w:type="character" w:styleId="ListLabel47">
    <w:name w:val="ListLabel 47"/>
    <w:qFormat/>
    <w:rPr>
      <w:rFonts w:cs="Times New Roman"/>
    </w:rPr>
  </w:style>
  <w:style w:type="character" w:styleId="ListLabel48">
    <w:name w:val="ListLabel 48"/>
    <w:qFormat/>
    <w:rPr>
      <w:rFonts w:cs="Times New Roman"/>
    </w:rPr>
  </w:style>
  <w:style w:type="character" w:styleId="ListLabel49">
    <w:name w:val="ListLabel 49"/>
    <w:qFormat/>
    <w:rPr>
      <w:rFonts w:cs="Times New Roman"/>
    </w:rPr>
  </w:style>
  <w:style w:type="character" w:styleId="ListLabel50">
    <w:name w:val="ListLabel 50"/>
    <w:qFormat/>
    <w:rPr>
      <w:rFonts w:cs="Times New Roman"/>
    </w:rPr>
  </w:style>
  <w:style w:type="character" w:styleId="ListLabel51">
    <w:name w:val="ListLabel 51"/>
    <w:qFormat/>
    <w:rPr>
      <w:rFonts w:cs="Times New Roman"/>
    </w:rPr>
  </w:style>
  <w:style w:type="character" w:styleId="ListLabel52">
    <w:name w:val="ListLabel 52"/>
    <w:qFormat/>
    <w:rPr>
      <w:rFonts w:cs="Times New Roman"/>
    </w:rPr>
  </w:style>
  <w:style w:type="character" w:styleId="ListLabel53">
    <w:name w:val="ListLabel 53"/>
    <w:qFormat/>
    <w:rPr>
      <w:rFonts w:cs="Times New Roman"/>
    </w:rPr>
  </w:style>
  <w:style w:type="character" w:styleId="ListLabel54">
    <w:name w:val="ListLabel 54"/>
    <w:qFormat/>
    <w:rPr>
      <w:b/>
      <w:i w:val="false"/>
      <w:sz w:val="22"/>
    </w:rPr>
  </w:style>
  <w:style w:type="character" w:styleId="ListLabel55">
    <w:name w:val="ListLabel 55"/>
    <w:qFormat/>
    <w:rPr>
      <w:b/>
      <w:sz w:val="22"/>
    </w:rPr>
  </w:style>
  <w:style w:type="character" w:styleId="ListLabel56">
    <w:name w:val="ListLabel 56"/>
    <w:qFormat/>
    <w:rPr>
      <w:b/>
    </w:rPr>
  </w:style>
  <w:style w:type="character" w:styleId="ListLabel57">
    <w:name w:val="ListLabel 57"/>
    <w:qFormat/>
    <w:rPr>
      <w:b/>
    </w:rPr>
  </w:style>
  <w:style w:type="character" w:styleId="ListLabel58">
    <w:name w:val="ListLabel 58"/>
    <w:qFormat/>
    <w:rPr>
      <w:b/>
    </w:rPr>
  </w:style>
  <w:style w:type="character" w:styleId="ListLabel59">
    <w:name w:val="ListLabel 59"/>
    <w:qFormat/>
    <w:rPr>
      <w:b/>
    </w:rPr>
  </w:style>
  <w:style w:type="character" w:styleId="ListLabel60">
    <w:name w:val="ListLabel 60"/>
    <w:qFormat/>
    <w:rPr>
      <w:b/>
    </w:rPr>
  </w:style>
  <w:style w:type="character" w:styleId="ListLabel61">
    <w:name w:val="ListLabel 61"/>
    <w:qFormat/>
    <w:rPr>
      <w:rFonts w:eastAsia="Times New Roman" w:cs="Times New Roman"/>
      <w:sz w:val="22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color w:val="00000A"/>
      <w:sz w:val="22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b/>
    </w:rPr>
  </w:style>
  <w:style w:type="character" w:styleId="ListLabel76">
    <w:name w:val="ListLabel 76"/>
    <w:qFormat/>
    <w:rPr>
      <w:b/>
      <w:i w:val="false"/>
    </w:rPr>
  </w:style>
  <w:style w:type="character" w:styleId="ListLabel77">
    <w:name w:val="ListLabel 77"/>
    <w:qFormat/>
    <w:rPr>
      <w:b/>
    </w:rPr>
  </w:style>
  <w:style w:type="character" w:styleId="ListLabel78">
    <w:name w:val="ListLabel 78"/>
    <w:qFormat/>
    <w:rPr>
      <w:b/>
      <w:i w:val="false"/>
      <w:sz w:val="22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b w:val="false"/>
    </w:rPr>
  </w:style>
  <w:style w:type="character" w:styleId="ListLabel89">
    <w:name w:val="ListLabel 89"/>
    <w:qFormat/>
    <w:rPr>
      <w:b/>
      <w:sz w:val="22"/>
    </w:rPr>
  </w:style>
  <w:style w:type="character" w:styleId="ListLabel90">
    <w:name w:val="ListLabel 90"/>
    <w:qFormat/>
    <w:rPr>
      <w:b/>
      <w:i w:val="false"/>
      <w:sz w:val="22"/>
    </w:rPr>
  </w:style>
  <w:style w:type="character" w:styleId="ListLabel91">
    <w:name w:val="ListLabel 91"/>
    <w:qFormat/>
    <w:rPr>
      <w:b/>
      <w:sz w:val="22"/>
    </w:rPr>
  </w:style>
  <w:style w:type="character" w:styleId="ListLabel92">
    <w:name w:val="ListLabel 92"/>
    <w:qFormat/>
    <w:rPr>
      <w:b/>
      <w:i w:val="false"/>
      <w:sz w:val="22"/>
    </w:rPr>
  </w:style>
  <w:style w:type="character" w:styleId="ListLabel93">
    <w:name w:val="ListLabel 93"/>
    <w:qFormat/>
    <w:rPr>
      <w:b/>
      <w:sz w:val="22"/>
    </w:rPr>
  </w:style>
  <w:style w:type="character" w:styleId="ListLabel94">
    <w:name w:val="ListLabel 94"/>
    <w:qFormat/>
    <w:rPr>
      <w:b/>
    </w:rPr>
  </w:style>
  <w:style w:type="character" w:styleId="ListLabel95">
    <w:name w:val="ListLabel 95"/>
    <w:qFormat/>
    <w:rPr>
      <w:rFonts w:cs="Times New Roman"/>
      <w:sz w:val="22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Wingdings"/>
    </w:rPr>
  </w:style>
  <w:style w:type="character" w:styleId="ListLabel98">
    <w:name w:val="ListLabel 98"/>
    <w:qFormat/>
    <w:rPr>
      <w:rFonts w:cs="Symbol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cs="Wingdings"/>
    </w:rPr>
  </w:style>
  <w:style w:type="character" w:styleId="ListLabel101">
    <w:name w:val="ListLabel 101"/>
    <w:qFormat/>
    <w:rPr>
      <w:rFonts w:cs="Symbol"/>
    </w:rPr>
  </w:style>
  <w:style w:type="character" w:styleId="ListLabel102">
    <w:name w:val="ListLabel 102"/>
    <w:qFormat/>
    <w:rPr>
      <w:rFonts w:cs="Courier New"/>
    </w:rPr>
  </w:style>
  <w:style w:type="character" w:styleId="ListLabel103">
    <w:name w:val="ListLabel 103"/>
    <w:qFormat/>
    <w:rPr>
      <w:rFonts w:cs="Wingdings"/>
    </w:rPr>
  </w:style>
  <w:style w:type="character" w:styleId="ListLabel104">
    <w:name w:val="ListLabel 104"/>
    <w:qFormat/>
    <w:rPr>
      <w:rFonts w:cs="Symbol"/>
      <w:sz w:val="22"/>
    </w:rPr>
  </w:style>
  <w:style w:type="character" w:styleId="ListLabel105">
    <w:name w:val="ListLabel 105"/>
    <w:qFormat/>
    <w:rPr>
      <w:rFonts w:cs="Courier New"/>
    </w:rPr>
  </w:style>
  <w:style w:type="character" w:styleId="ListLabel106">
    <w:name w:val="ListLabel 106"/>
    <w:qFormat/>
    <w:rPr>
      <w:rFonts w:cs="Wingdings"/>
    </w:rPr>
  </w:style>
  <w:style w:type="character" w:styleId="ListLabel107">
    <w:name w:val="ListLabel 107"/>
    <w:qFormat/>
    <w:rPr>
      <w:rFonts w:cs="Symbol"/>
    </w:rPr>
  </w:style>
  <w:style w:type="character" w:styleId="ListLabel108">
    <w:name w:val="ListLabel 108"/>
    <w:qFormat/>
    <w:rPr>
      <w:rFonts w:cs="Courier New"/>
    </w:rPr>
  </w:style>
  <w:style w:type="character" w:styleId="ListLabel109">
    <w:name w:val="ListLabel 109"/>
    <w:qFormat/>
    <w:rPr>
      <w:rFonts w:cs="Wingdings"/>
    </w:rPr>
  </w:style>
  <w:style w:type="character" w:styleId="ListLabel110">
    <w:name w:val="ListLabel 110"/>
    <w:qFormat/>
    <w:rPr>
      <w:rFonts w:cs="Symbol"/>
    </w:rPr>
  </w:style>
  <w:style w:type="character" w:styleId="ListLabel111">
    <w:name w:val="ListLabel 111"/>
    <w:qFormat/>
    <w:rPr>
      <w:rFonts w:cs="Courier New"/>
    </w:rPr>
  </w:style>
  <w:style w:type="character" w:styleId="ListLabel112">
    <w:name w:val="ListLabel 112"/>
    <w:qFormat/>
    <w:rPr>
      <w:rFonts w:cs="Wingdings"/>
    </w:rPr>
  </w:style>
  <w:style w:type="character" w:styleId="ListLabel113">
    <w:name w:val="ListLabel 113"/>
    <w:qFormat/>
    <w:rPr>
      <w:rFonts w:cs="Symbol"/>
      <w:sz w:val="22"/>
    </w:rPr>
  </w:style>
  <w:style w:type="character" w:styleId="ListLabel114">
    <w:name w:val="ListLabel 114"/>
    <w:qFormat/>
    <w:rPr>
      <w:rFonts w:cs="Courier New"/>
    </w:rPr>
  </w:style>
  <w:style w:type="character" w:styleId="ListLabel115">
    <w:name w:val="ListLabel 115"/>
    <w:qFormat/>
    <w:rPr>
      <w:rFonts w:cs="Wingdings"/>
    </w:rPr>
  </w:style>
  <w:style w:type="character" w:styleId="ListLabel116">
    <w:name w:val="ListLabel 116"/>
    <w:qFormat/>
    <w:rPr>
      <w:rFonts w:cs="Symbol"/>
    </w:rPr>
  </w:style>
  <w:style w:type="character" w:styleId="ListLabel117">
    <w:name w:val="ListLabel 117"/>
    <w:qFormat/>
    <w:rPr>
      <w:rFonts w:cs="Courier New"/>
    </w:rPr>
  </w:style>
  <w:style w:type="character" w:styleId="ListLabel118">
    <w:name w:val="ListLabel 118"/>
    <w:qFormat/>
    <w:rPr>
      <w:rFonts w:cs="Wingdings"/>
    </w:rPr>
  </w:style>
  <w:style w:type="character" w:styleId="ListLabel119">
    <w:name w:val="ListLabel 119"/>
    <w:qFormat/>
    <w:rPr>
      <w:rFonts w:cs="Symbol"/>
    </w:rPr>
  </w:style>
  <w:style w:type="character" w:styleId="ListLabel120">
    <w:name w:val="ListLabel 120"/>
    <w:qFormat/>
    <w:rPr>
      <w:rFonts w:cs="Courier New"/>
    </w:rPr>
  </w:style>
  <w:style w:type="character" w:styleId="ListLabel121">
    <w:name w:val="ListLabel 121"/>
    <w:qFormat/>
    <w:rPr>
      <w:rFonts w:cs="Wingdings"/>
    </w:rPr>
  </w:style>
  <w:style w:type="character" w:styleId="ListLabel122">
    <w:name w:val="ListLabel 122"/>
    <w:qFormat/>
    <w:rPr>
      <w:rFonts w:cs="Symbol"/>
      <w:color w:val="00000A"/>
      <w:sz w:val="22"/>
    </w:rPr>
  </w:style>
  <w:style w:type="character" w:styleId="ListLabel123">
    <w:name w:val="ListLabel 123"/>
    <w:qFormat/>
    <w:rPr>
      <w:rFonts w:cs="Courier New"/>
    </w:rPr>
  </w:style>
  <w:style w:type="character" w:styleId="ListLabel124">
    <w:name w:val="ListLabel 124"/>
    <w:qFormat/>
    <w:rPr>
      <w:rFonts w:cs="Wingdings"/>
    </w:rPr>
  </w:style>
  <w:style w:type="character" w:styleId="ListLabel125">
    <w:name w:val="ListLabel 125"/>
    <w:qFormat/>
    <w:rPr>
      <w:rFonts w:cs="Symbol"/>
    </w:rPr>
  </w:style>
  <w:style w:type="character" w:styleId="ListLabel126">
    <w:name w:val="ListLabel 126"/>
    <w:qFormat/>
    <w:rPr>
      <w:rFonts w:cs="Courier New"/>
    </w:rPr>
  </w:style>
  <w:style w:type="character" w:styleId="ListLabel127">
    <w:name w:val="ListLabel 127"/>
    <w:qFormat/>
    <w:rPr>
      <w:rFonts w:cs="Wingdings"/>
    </w:rPr>
  </w:style>
  <w:style w:type="character" w:styleId="ListLabel128">
    <w:name w:val="ListLabel 128"/>
    <w:qFormat/>
    <w:rPr>
      <w:rFonts w:cs="Symbol"/>
    </w:rPr>
  </w:style>
  <w:style w:type="character" w:styleId="ListLabel129">
    <w:name w:val="ListLabel 129"/>
    <w:qFormat/>
    <w:rPr>
      <w:rFonts w:cs="Courier New"/>
    </w:rPr>
  </w:style>
  <w:style w:type="character" w:styleId="ListLabel130">
    <w:name w:val="ListLabel 130"/>
    <w:qFormat/>
    <w:rPr>
      <w:rFonts w:cs="Wingdings"/>
    </w:rPr>
  </w:style>
  <w:style w:type="character" w:styleId="ListLabel131">
    <w:name w:val="ListLabel 131"/>
    <w:qFormat/>
    <w:rPr>
      <w:b/>
      <w:i w:val="false"/>
      <w:sz w:val="22"/>
    </w:rPr>
  </w:style>
  <w:style w:type="character" w:styleId="ListLabel132">
    <w:name w:val="ListLabel 132"/>
    <w:qFormat/>
    <w:rPr>
      <w:rFonts w:cs="Symbol"/>
      <w:sz w:val="22"/>
    </w:rPr>
  </w:style>
  <w:style w:type="character" w:styleId="ListLabel133">
    <w:name w:val="ListLabel 133"/>
    <w:qFormat/>
    <w:rPr>
      <w:rFonts w:cs="Courier New"/>
    </w:rPr>
  </w:style>
  <w:style w:type="character" w:styleId="ListLabel134">
    <w:name w:val="ListLabel 134"/>
    <w:qFormat/>
    <w:rPr>
      <w:rFonts w:cs="Wingdings"/>
    </w:rPr>
  </w:style>
  <w:style w:type="character" w:styleId="ListLabel135">
    <w:name w:val="ListLabel 135"/>
    <w:qFormat/>
    <w:rPr>
      <w:rFonts w:cs="Symbol"/>
    </w:rPr>
  </w:style>
  <w:style w:type="character" w:styleId="ListLabel136">
    <w:name w:val="ListLabel 136"/>
    <w:qFormat/>
    <w:rPr>
      <w:rFonts w:cs="Courier New"/>
    </w:rPr>
  </w:style>
  <w:style w:type="character" w:styleId="ListLabel137">
    <w:name w:val="ListLabel 137"/>
    <w:qFormat/>
    <w:rPr>
      <w:rFonts w:cs="Wingdings"/>
    </w:rPr>
  </w:style>
  <w:style w:type="character" w:styleId="ListLabel138">
    <w:name w:val="ListLabel 138"/>
    <w:qFormat/>
    <w:rPr>
      <w:rFonts w:cs="Symbol"/>
    </w:rPr>
  </w:style>
  <w:style w:type="character" w:styleId="ListLabel139">
    <w:name w:val="ListLabel 139"/>
    <w:qFormat/>
    <w:rPr>
      <w:rFonts w:cs="Courier New"/>
    </w:rPr>
  </w:style>
  <w:style w:type="character" w:styleId="ListLabel140">
    <w:name w:val="ListLabel 140"/>
    <w:qFormat/>
    <w:rPr>
      <w:rFonts w:cs="Wingdings"/>
    </w:rPr>
  </w:style>
  <w:style w:type="character" w:styleId="ListLabel141">
    <w:name w:val="ListLabel 141"/>
    <w:qFormat/>
    <w:rPr>
      <w:rFonts w:cs="Symbol"/>
      <w:sz w:val="22"/>
    </w:rPr>
  </w:style>
  <w:style w:type="character" w:styleId="ListLabel142">
    <w:name w:val="ListLabel 142"/>
    <w:qFormat/>
    <w:rPr>
      <w:rFonts w:cs="Courier New"/>
    </w:rPr>
  </w:style>
  <w:style w:type="character" w:styleId="ListLabel143">
    <w:name w:val="ListLabel 143"/>
    <w:qFormat/>
    <w:rPr>
      <w:rFonts w:cs="Wingdings"/>
    </w:rPr>
  </w:style>
  <w:style w:type="character" w:styleId="ListLabel144">
    <w:name w:val="ListLabel 144"/>
    <w:qFormat/>
    <w:rPr>
      <w:rFonts w:cs="Symbol"/>
    </w:rPr>
  </w:style>
  <w:style w:type="character" w:styleId="ListLabel145">
    <w:name w:val="ListLabel 145"/>
    <w:qFormat/>
    <w:rPr>
      <w:rFonts w:cs="Courier New"/>
    </w:rPr>
  </w:style>
  <w:style w:type="character" w:styleId="ListLabel146">
    <w:name w:val="ListLabel 146"/>
    <w:qFormat/>
    <w:rPr>
      <w:rFonts w:cs="Wingdings"/>
    </w:rPr>
  </w:style>
  <w:style w:type="character" w:styleId="ListLabel147">
    <w:name w:val="ListLabel 147"/>
    <w:qFormat/>
    <w:rPr>
      <w:rFonts w:cs="Symbol"/>
    </w:rPr>
  </w:style>
  <w:style w:type="character" w:styleId="ListLabel148">
    <w:name w:val="ListLabel 148"/>
    <w:qFormat/>
    <w:rPr>
      <w:rFonts w:cs="Courier New"/>
    </w:rPr>
  </w:style>
  <w:style w:type="character" w:styleId="ListLabel149">
    <w:name w:val="ListLabel 149"/>
    <w:qFormat/>
    <w:rPr>
      <w:rFonts w:cs="Wingdings"/>
    </w:rPr>
  </w:style>
  <w:style w:type="character" w:styleId="ListLabel150">
    <w:name w:val="ListLabel 150"/>
    <w:qFormat/>
    <w:rPr>
      <w:rFonts w:cs="Symbol"/>
      <w:sz w:val="22"/>
    </w:rPr>
  </w:style>
  <w:style w:type="character" w:styleId="ListLabel151">
    <w:name w:val="ListLabel 151"/>
    <w:qFormat/>
    <w:rPr>
      <w:rFonts w:cs="Courier New"/>
    </w:rPr>
  </w:style>
  <w:style w:type="character" w:styleId="ListLabel152">
    <w:name w:val="ListLabel 152"/>
    <w:qFormat/>
    <w:rPr>
      <w:rFonts w:cs="Wingdings"/>
    </w:rPr>
  </w:style>
  <w:style w:type="character" w:styleId="ListLabel153">
    <w:name w:val="ListLabel 153"/>
    <w:qFormat/>
    <w:rPr>
      <w:rFonts w:cs="Symbol"/>
    </w:rPr>
  </w:style>
  <w:style w:type="character" w:styleId="ListLabel154">
    <w:name w:val="ListLabel 154"/>
    <w:qFormat/>
    <w:rPr>
      <w:rFonts w:cs="Courier New"/>
    </w:rPr>
  </w:style>
  <w:style w:type="character" w:styleId="ListLabel155">
    <w:name w:val="ListLabel 155"/>
    <w:qFormat/>
    <w:rPr>
      <w:rFonts w:cs="Wingdings"/>
    </w:rPr>
  </w:style>
  <w:style w:type="character" w:styleId="ListLabel156">
    <w:name w:val="ListLabel 156"/>
    <w:qFormat/>
    <w:rPr>
      <w:rFonts w:cs="Symbol"/>
    </w:rPr>
  </w:style>
  <w:style w:type="character" w:styleId="ListLabel157">
    <w:name w:val="ListLabel 157"/>
    <w:qFormat/>
    <w:rPr>
      <w:rFonts w:cs="Courier New"/>
    </w:rPr>
  </w:style>
  <w:style w:type="character" w:styleId="ListLabel158">
    <w:name w:val="ListLabel 158"/>
    <w:qFormat/>
    <w:rPr>
      <w:rFonts w:cs="Wingdings"/>
    </w:rPr>
  </w:style>
  <w:style w:type="character" w:styleId="ListLabel159">
    <w:name w:val="ListLabel 159"/>
    <w:qFormat/>
    <w:rPr>
      <w:b/>
      <w:sz w:val="22"/>
    </w:rPr>
  </w:style>
  <w:style w:type="character" w:styleId="ListLabel160">
    <w:name w:val="ListLabel 160"/>
    <w:qFormat/>
    <w:rPr>
      <w:b/>
      <w:i w:val="false"/>
      <w:sz w:val="22"/>
    </w:rPr>
  </w:style>
  <w:style w:type="character" w:styleId="ListLabel161">
    <w:name w:val="ListLabel 161"/>
    <w:qFormat/>
    <w:rPr>
      <w:b/>
      <w:sz w:val="22"/>
    </w:rPr>
  </w:style>
  <w:style w:type="character" w:styleId="ListLabel162">
    <w:name w:val="ListLabel 162"/>
    <w:qFormat/>
    <w:rPr>
      <w:b/>
      <w:i w:val="false"/>
      <w:sz w:val="22"/>
    </w:rPr>
  </w:style>
  <w:style w:type="character" w:styleId="ListLabel163">
    <w:name w:val="ListLabel 163"/>
    <w:qFormat/>
    <w:rPr>
      <w:b/>
      <w:sz w:val="22"/>
    </w:rPr>
  </w:style>
  <w:style w:type="character" w:styleId="ListLabel164">
    <w:name w:val="ListLabel 164"/>
    <w:qFormat/>
    <w:rPr>
      <w:b/>
    </w:rPr>
  </w:style>
  <w:style w:type="character" w:styleId="ListLabel165">
    <w:name w:val="ListLabel 165"/>
    <w:qFormat/>
    <w:rPr>
      <w:rFonts w:cs="Times New Roman"/>
      <w:sz w:val="22"/>
    </w:rPr>
  </w:style>
  <w:style w:type="character" w:styleId="ListLabel166">
    <w:name w:val="ListLabel 166"/>
    <w:qFormat/>
    <w:rPr>
      <w:rFonts w:cs="Courier New"/>
    </w:rPr>
  </w:style>
  <w:style w:type="character" w:styleId="ListLabel167">
    <w:name w:val="ListLabel 167"/>
    <w:qFormat/>
    <w:rPr>
      <w:rFonts w:cs="Wingdings"/>
    </w:rPr>
  </w:style>
  <w:style w:type="character" w:styleId="ListLabel168">
    <w:name w:val="ListLabel 168"/>
    <w:qFormat/>
    <w:rPr>
      <w:rFonts w:cs="Symbol"/>
    </w:rPr>
  </w:style>
  <w:style w:type="character" w:styleId="ListLabel169">
    <w:name w:val="ListLabel 169"/>
    <w:qFormat/>
    <w:rPr>
      <w:rFonts w:cs="Courier New"/>
    </w:rPr>
  </w:style>
  <w:style w:type="character" w:styleId="ListLabel170">
    <w:name w:val="ListLabel 170"/>
    <w:qFormat/>
    <w:rPr>
      <w:rFonts w:cs="Wingdings"/>
    </w:rPr>
  </w:style>
  <w:style w:type="character" w:styleId="ListLabel171">
    <w:name w:val="ListLabel 171"/>
    <w:qFormat/>
    <w:rPr>
      <w:rFonts w:cs="Symbol"/>
    </w:rPr>
  </w:style>
  <w:style w:type="character" w:styleId="ListLabel172">
    <w:name w:val="ListLabel 172"/>
    <w:qFormat/>
    <w:rPr>
      <w:rFonts w:cs="Courier New"/>
    </w:rPr>
  </w:style>
  <w:style w:type="character" w:styleId="ListLabel173">
    <w:name w:val="ListLabel 173"/>
    <w:qFormat/>
    <w:rPr>
      <w:rFonts w:cs="Wingdings"/>
    </w:rPr>
  </w:style>
  <w:style w:type="character" w:styleId="ListLabel174">
    <w:name w:val="ListLabel 174"/>
    <w:qFormat/>
    <w:rPr>
      <w:rFonts w:cs="Symbol"/>
      <w:sz w:val="22"/>
    </w:rPr>
  </w:style>
  <w:style w:type="character" w:styleId="ListLabel175">
    <w:name w:val="ListLabel 175"/>
    <w:qFormat/>
    <w:rPr>
      <w:rFonts w:cs="Courier New"/>
    </w:rPr>
  </w:style>
  <w:style w:type="character" w:styleId="ListLabel176">
    <w:name w:val="ListLabel 176"/>
    <w:qFormat/>
    <w:rPr>
      <w:rFonts w:cs="Wingdings"/>
    </w:rPr>
  </w:style>
  <w:style w:type="character" w:styleId="ListLabel177">
    <w:name w:val="ListLabel 177"/>
    <w:qFormat/>
    <w:rPr>
      <w:rFonts w:cs="Symbol"/>
    </w:rPr>
  </w:style>
  <w:style w:type="character" w:styleId="ListLabel178">
    <w:name w:val="ListLabel 178"/>
    <w:qFormat/>
    <w:rPr>
      <w:rFonts w:cs="Courier New"/>
    </w:rPr>
  </w:style>
  <w:style w:type="character" w:styleId="ListLabel179">
    <w:name w:val="ListLabel 179"/>
    <w:qFormat/>
    <w:rPr>
      <w:rFonts w:cs="Wingdings"/>
    </w:rPr>
  </w:style>
  <w:style w:type="character" w:styleId="ListLabel180">
    <w:name w:val="ListLabel 180"/>
    <w:qFormat/>
    <w:rPr>
      <w:rFonts w:cs="Symbol"/>
    </w:rPr>
  </w:style>
  <w:style w:type="character" w:styleId="ListLabel181">
    <w:name w:val="ListLabel 181"/>
    <w:qFormat/>
    <w:rPr>
      <w:rFonts w:cs="Courier New"/>
    </w:rPr>
  </w:style>
  <w:style w:type="character" w:styleId="ListLabel182">
    <w:name w:val="ListLabel 182"/>
    <w:qFormat/>
    <w:rPr>
      <w:rFonts w:cs="Wingdings"/>
    </w:rPr>
  </w:style>
  <w:style w:type="character" w:styleId="ListLabel183">
    <w:name w:val="ListLabel 183"/>
    <w:qFormat/>
    <w:rPr>
      <w:rFonts w:cs="Symbol"/>
      <w:sz w:val="22"/>
    </w:rPr>
  </w:style>
  <w:style w:type="character" w:styleId="ListLabel184">
    <w:name w:val="ListLabel 184"/>
    <w:qFormat/>
    <w:rPr>
      <w:rFonts w:cs="Courier New"/>
    </w:rPr>
  </w:style>
  <w:style w:type="character" w:styleId="ListLabel185">
    <w:name w:val="ListLabel 185"/>
    <w:qFormat/>
    <w:rPr>
      <w:rFonts w:cs="Wingdings"/>
    </w:rPr>
  </w:style>
  <w:style w:type="character" w:styleId="ListLabel186">
    <w:name w:val="ListLabel 186"/>
    <w:qFormat/>
    <w:rPr>
      <w:rFonts w:cs="Symbol"/>
    </w:rPr>
  </w:style>
  <w:style w:type="character" w:styleId="ListLabel187">
    <w:name w:val="ListLabel 187"/>
    <w:qFormat/>
    <w:rPr>
      <w:rFonts w:cs="Courier New"/>
    </w:rPr>
  </w:style>
  <w:style w:type="character" w:styleId="ListLabel188">
    <w:name w:val="ListLabel 188"/>
    <w:qFormat/>
    <w:rPr>
      <w:rFonts w:cs="Wingdings"/>
    </w:rPr>
  </w:style>
  <w:style w:type="character" w:styleId="ListLabel189">
    <w:name w:val="ListLabel 189"/>
    <w:qFormat/>
    <w:rPr>
      <w:rFonts w:cs="Symbol"/>
    </w:rPr>
  </w:style>
  <w:style w:type="character" w:styleId="ListLabel190">
    <w:name w:val="ListLabel 190"/>
    <w:qFormat/>
    <w:rPr>
      <w:rFonts w:cs="Courier New"/>
    </w:rPr>
  </w:style>
  <w:style w:type="character" w:styleId="ListLabel191">
    <w:name w:val="ListLabel 191"/>
    <w:qFormat/>
    <w:rPr>
      <w:rFonts w:cs="Wingdings"/>
    </w:rPr>
  </w:style>
  <w:style w:type="character" w:styleId="ListLabel192">
    <w:name w:val="ListLabel 192"/>
    <w:qFormat/>
    <w:rPr>
      <w:rFonts w:cs="Symbol"/>
      <w:color w:val="00000A"/>
      <w:sz w:val="22"/>
    </w:rPr>
  </w:style>
  <w:style w:type="character" w:styleId="ListLabel193">
    <w:name w:val="ListLabel 193"/>
    <w:qFormat/>
    <w:rPr>
      <w:rFonts w:cs="Courier New"/>
    </w:rPr>
  </w:style>
  <w:style w:type="character" w:styleId="ListLabel194">
    <w:name w:val="ListLabel 194"/>
    <w:qFormat/>
    <w:rPr>
      <w:rFonts w:cs="Wingdings"/>
    </w:rPr>
  </w:style>
  <w:style w:type="character" w:styleId="ListLabel195">
    <w:name w:val="ListLabel 195"/>
    <w:qFormat/>
    <w:rPr>
      <w:rFonts w:cs="Symbol"/>
    </w:rPr>
  </w:style>
  <w:style w:type="character" w:styleId="ListLabel196">
    <w:name w:val="ListLabel 196"/>
    <w:qFormat/>
    <w:rPr>
      <w:rFonts w:cs="Courier New"/>
    </w:rPr>
  </w:style>
  <w:style w:type="character" w:styleId="ListLabel197">
    <w:name w:val="ListLabel 197"/>
    <w:qFormat/>
    <w:rPr>
      <w:rFonts w:cs="Wingdings"/>
    </w:rPr>
  </w:style>
  <w:style w:type="character" w:styleId="ListLabel198">
    <w:name w:val="ListLabel 198"/>
    <w:qFormat/>
    <w:rPr>
      <w:rFonts w:cs="Symbol"/>
    </w:rPr>
  </w:style>
  <w:style w:type="character" w:styleId="ListLabel199">
    <w:name w:val="ListLabel 199"/>
    <w:qFormat/>
    <w:rPr>
      <w:rFonts w:cs="Courier New"/>
    </w:rPr>
  </w:style>
  <w:style w:type="character" w:styleId="ListLabel200">
    <w:name w:val="ListLabel 200"/>
    <w:qFormat/>
    <w:rPr>
      <w:rFonts w:cs="Wingdings"/>
    </w:rPr>
  </w:style>
  <w:style w:type="character" w:styleId="ListLabel201">
    <w:name w:val="ListLabel 201"/>
    <w:qFormat/>
    <w:rPr>
      <w:b/>
      <w:i w:val="false"/>
      <w:sz w:val="22"/>
    </w:rPr>
  </w:style>
  <w:style w:type="character" w:styleId="ListLabel202">
    <w:name w:val="ListLabel 202"/>
    <w:qFormat/>
    <w:rPr>
      <w:rFonts w:cs="Symbol"/>
      <w:sz w:val="22"/>
    </w:rPr>
  </w:style>
  <w:style w:type="character" w:styleId="ListLabel203">
    <w:name w:val="ListLabel 203"/>
    <w:qFormat/>
    <w:rPr>
      <w:rFonts w:cs="Courier New"/>
    </w:rPr>
  </w:style>
  <w:style w:type="character" w:styleId="ListLabel204">
    <w:name w:val="ListLabel 204"/>
    <w:qFormat/>
    <w:rPr>
      <w:rFonts w:cs="Wingdings"/>
    </w:rPr>
  </w:style>
  <w:style w:type="character" w:styleId="ListLabel205">
    <w:name w:val="ListLabel 205"/>
    <w:qFormat/>
    <w:rPr>
      <w:rFonts w:cs="Symbol"/>
    </w:rPr>
  </w:style>
  <w:style w:type="character" w:styleId="ListLabel206">
    <w:name w:val="ListLabel 206"/>
    <w:qFormat/>
    <w:rPr>
      <w:rFonts w:cs="Courier New"/>
    </w:rPr>
  </w:style>
  <w:style w:type="character" w:styleId="ListLabel207">
    <w:name w:val="ListLabel 207"/>
    <w:qFormat/>
    <w:rPr>
      <w:rFonts w:cs="Wingdings"/>
    </w:rPr>
  </w:style>
  <w:style w:type="character" w:styleId="ListLabel208">
    <w:name w:val="ListLabel 208"/>
    <w:qFormat/>
    <w:rPr>
      <w:rFonts w:cs="Symbol"/>
    </w:rPr>
  </w:style>
  <w:style w:type="character" w:styleId="ListLabel209">
    <w:name w:val="ListLabel 209"/>
    <w:qFormat/>
    <w:rPr>
      <w:rFonts w:cs="Courier New"/>
    </w:rPr>
  </w:style>
  <w:style w:type="character" w:styleId="ListLabel210">
    <w:name w:val="ListLabel 210"/>
    <w:qFormat/>
    <w:rPr>
      <w:rFonts w:cs="Wingdings"/>
    </w:rPr>
  </w:style>
  <w:style w:type="character" w:styleId="ListLabel211">
    <w:name w:val="ListLabel 211"/>
    <w:qFormat/>
    <w:rPr>
      <w:rFonts w:cs="Symbol"/>
      <w:sz w:val="22"/>
    </w:rPr>
  </w:style>
  <w:style w:type="character" w:styleId="ListLabel212">
    <w:name w:val="ListLabel 212"/>
    <w:qFormat/>
    <w:rPr>
      <w:rFonts w:cs="Courier New"/>
    </w:rPr>
  </w:style>
  <w:style w:type="character" w:styleId="ListLabel213">
    <w:name w:val="ListLabel 213"/>
    <w:qFormat/>
    <w:rPr>
      <w:rFonts w:cs="Wingdings"/>
    </w:rPr>
  </w:style>
  <w:style w:type="character" w:styleId="ListLabel214">
    <w:name w:val="ListLabel 214"/>
    <w:qFormat/>
    <w:rPr>
      <w:rFonts w:cs="Symbol"/>
    </w:rPr>
  </w:style>
  <w:style w:type="character" w:styleId="ListLabel215">
    <w:name w:val="ListLabel 215"/>
    <w:qFormat/>
    <w:rPr>
      <w:rFonts w:cs="Courier New"/>
    </w:rPr>
  </w:style>
  <w:style w:type="character" w:styleId="ListLabel216">
    <w:name w:val="ListLabel 216"/>
    <w:qFormat/>
    <w:rPr>
      <w:rFonts w:cs="Wingdings"/>
    </w:rPr>
  </w:style>
  <w:style w:type="character" w:styleId="ListLabel217">
    <w:name w:val="ListLabel 217"/>
    <w:qFormat/>
    <w:rPr>
      <w:rFonts w:cs="Symbol"/>
    </w:rPr>
  </w:style>
  <w:style w:type="character" w:styleId="ListLabel218">
    <w:name w:val="ListLabel 218"/>
    <w:qFormat/>
    <w:rPr>
      <w:rFonts w:cs="Courier New"/>
    </w:rPr>
  </w:style>
  <w:style w:type="character" w:styleId="ListLabel219">
    <w:name w:val="ListLabel 219"/>
    <w:qFormat/>
    <w:rPr>
      <w:rFonts w:cs="Wingdings"/>
    </w:rPr>
  </w:style>
  <w:style w:type="character" w:styleId="ListLabel220">
    <w:name w:val="ListLabel 220"/>
    <w:qFormat/>
    <w:rPr>
      <w:rFonts w:cs="Symbol"/>
      <w:sz w:val="22"/>
    </w:rPr>
  </w:style>
  <w:style w:type="character" w:styleId="ListLabel221">
    <w:name w:val="ListLabel 221"/>
    <w:qFormat/>
    <w:rPr>
      <w:rFonts w:cs="Courier New"/>
    </w:rPr>
  </w:style>
  <w:style w:type="character" w:styleId="ListLabel222">
    <w:name w:val="ListLabel 222"/>
    <w:qFormat/>
    <w:rPr>
      <w:rFonts w:cs="Wingdings"/>
    </w:rPr>
  </w:style>
  <w:style w:type="character" w:styleId="ListLabel223">
    <w:name w:val="ListLabel 223"/>
    <w:qFormat/>
    <w:rPr>
      <w:rFonts w:cs="Symbol"/>
    </w:rPr>
  </w:style>
  <w:style w:type="character" w:styleId="ListLabel224">
    <w:name w:val="ListLabel 224"/>
    <w:qFormat/>
    <w:rPr>
      <w:rFonts w:cs="Courier New"/>
    </w:rPr>
  </w:style>
  <w:style w:type="character" w:styleId="ListLabel225">
    <w:name w:val="ListLabel 225"/>
    <w:qFormat/>
    <w:rPr>
      <w:rFonts w:cs="Wingdings"/>
    </w:rPr>
  </w:style>
  <w:style w:type="character" w:styleId="ListLabel226">
    <w:name w:val="ListLabel 226"/>
    <w:qFormat/>
    <w:rPr>
      <w:rFonts w:cs="Symbol"/>
    </w:rPr>
  </w:style>
  <w:style w:type="character" w:styleId="ListLabel227">
    <w:name w:val="ListLabel 227"/>
    <w:qFormat/>
    <w:rPr>
      <w:rFonts w:cs="Courier New"/>
    </w:rPr>
  </w:style>
  <w:style w:type="character" w:styleId="ListLabel228">
    <w:name w:val="ListLabel 228"/>
    <w:qFormat/>
    <w:rPr>
      <w:rFonts w:cs="Wingdings"/>
    </w:rPr>
  </w:style>
  <w:style w:type="character" w:styleId="ListLabel229">
    <w:name w:val="ListLabel 229"/>
    <w:qFormat/>
    <w:rPr>
      <w:b/>
      <w:sz w:val="22"/>
    </w:rPr>
  </w:style>
  <w:style w:type="character" w:styleId="ListLabel230">
    <w:name w:val="ListLabel 230"/>
    <w:qFormat/>
    <w:rPr>
      <w:b/>
      <w:i w:val="false"/>
      <w:sz w:val="22"/>
    </w:rPr>
  </w:style>
  <w:style w:type="character" w:styleId="ListLabel231">
    <w:name w:val="ListLabel 231"/>
    <w:qFormat/>
    <w:rPr>
      <w:b/>
      <w:sz w:val="22"/>
    </w:rPr>
  </w:style>
  <w:style w:type="character" w:styleId="ListLabel232">
    <w:name w:val="ListLabel 232"/>
    <w:qFormat/>
    <w:rPr>
      <w:b/>
      <w:i w:val="false"/>
      <w:sz w:val="22"/>
    </w:rPr>
  </w:style>
  <w:style w:type="character" w:styleId="ListLabel233">
    <w:name w:val="ListLabel 233"/>
    <w:qFormat/>
    <w:rPr>
      <w:b/>
      <w:sz w:val="22"/>
    </w:rPr>
  </w:style>
  <w:style w:type="character" w:styleId="ListLabel234">
    <w:name w:val="ListLabel 234"/>
    <w:qFormat/>
    <w:rPr>
      <w:b/>
    </w:rPr>
  </w:style>
  <w:style w:type="character" w:styleId="ListLabel235">
    <w:name w:val="ListLabel 235"/>
    <w:qFormat/>
    <w:rPr>
      <w:rFonts w:cs="Times New Roman"/>
      <w:sz w:val="22"/>
    </w:rPr>
  </w:style>
  <w:style w:type="character" w:styleId="ListLabel236">
    <w:name w:val="ListLabel 236"/>
    <w:qFormat/>
    <w:rPr>
      <w:rFonts w:cs="Courier New"/>
    </w:rPr>
  </w:style>
  <w:style w:type="character" w:styleId="ListLabel237">
    <w:name w:val="ListLabel 237"/>
    <w:qFormat/>
    <w:rPr>
      <w:rFonts w:cs="Wingdings"/>
    </w:rPr>
  </w:style>
  <w:style w:type="character" w:styleId="ListLabel238">
    <w:name w:val="ListLabel 238"/>
    <w:qFormat/>
    <w:rPr>
      <w:rFonts w:cs="Symbol"/>
    </w:rPr>
  </w:style>
  <w:style w:type="character" w:styleId="ListLabel239">
    <w:name w:val="ListLabel 239"/>
    <w:qFormat/>
    <w:rPr>
      <w:rFonts w:cs="Courier New"/>
    </w:rPr>
  </w:style>
  <w:style w:type="character" w:styleId="ListLabel240">
    <w:name w:val="ListLabel 240"/>
    <w:qFormat/>
    <w:rPr>
      <w:rFonts w:cs="Wingdings"/>
    </w:rPr>
  </w:style>
  <w:style w:type="character" w:styleId="ListLabel241">
    <w:name w:val="ListLabel 241"/>
    <w:qFormat/>
    <w:rPr>
      <w:rFonts w:cs="Symbol"/>
    </w:rPr>
  </w:style>
  <w:style w:type="character" w:styleId="ListLabel242">
    <w:name w:val="ListLabel 242"/>
    <w:qFormat/>
    <w:rPr>
      <w:rFonts w:cs="Courier New"/>
    </w:rPr>
  </w:style>
  <w:style w:type="character" w:styleId="ListLabel243">
    <w:name w:val="ListLabel 243"/>
    <w:qFormat/>
    <w:rPr>
      <w:rFonts w:cs="Wingdings"/>
    </w:rPr>
  </w:style>
  <w:style w:type="character" w:styleId="ListLabel244">
    <w:name w:val="ListLabel 244"/>
    <w:qFormat/>
    <w:rPr>
      <w:rFonts w:cs="Symbol"/>
      <w:sz w:val="22"/>
    </w:rPr>
  </w:style>
  <w:style w:type="character" w:styleId="ListLabel245">
    <w:name w:val="ListLabel 245"/>
    <w:qFormat/>
    <w:rPr>
      <w:rFonts w:cs="Courier New"/>
    </w:rPr>
  </w:style>
  <w:style w:type="character" w:styleId="ListLabel246">
    <w:name w:val="ListLabel 246"/>
    <w:qFormat/>
    <w:rPr>
      <w:rFonts w:cs="Wingdings"/>
    </w:rPr>
  </w:style>
  <w:style w:type="character" w:styleId="ListLabel247">
    <w:name w:val="ListLabel 247"/>
    <w:qFormat/>
    <w:rPr>
      <w:rFonts w:cs="Symbol"/>
    </w:rPr>
  </w:style>
  <w:style w:type="character" w:styleId="ListLabel248">
    <w:name w:val="ListLabel 248"/>
    <w:qFormat/>
    <w:rPr>
      <w:rFonts w:cs="Courier New"/>
    </w:rPr>
  </w:style>
  <w:style w:type="character" w:styleId="ListLabel249">
    <w:name w:val="ListLabel 249"/>
    <w:qFormat/>
    <w:rPr>
      <w:rFonts w:cs="Wingdings"/>
    </w:rPr>
  </w:style>
  <w:style w:type="character" w:styleId="ListLabel250">
    <w:name w:val="ListLabel 250"/>
    <w:qFormat/>
    <w:rPr>
      <w:rFonts w:cs="Symbol"/>
    </w:rPr>
  </w:style>
  <w:style w:type="character" w:styleId="ListLabel251">
    <w:name w:val="ListLabel 251"/>
    <w:qFormat/>
    <w:rPr>
      <w:rFonts w:cs="Courier New"/>
    </w:rPr>
  </w:style>
  <w:style w:type="character" w:styleId="ListLabel252">
    <w:name w:val="ListLabel 252"/>
    <w:qFormat/>
    <w:rPr>
      <w:rFonts w:cs="Wingdings"/>
    </w:rPr>
  </w:style>
  <w:style w:type="character" w:styleId="ListLabel253">
    <w:name w:val="ListLabel 253"/>
    <w:qFormat/>
    <w:rPr>
      <w:rFonts w:cs="Symbol"/>
      <w:sz w:val="22"/>
    </w:rPr>
  </w:style>
  <w:style w:type="character" w:styleId="ListLabel254">
    <w:name w:val="ListLabel 254"/>
    <w:qFormat/>
    <w:rPr>
      <w:rFonts w:cs="Courier New"/>
    </w:rPr>
  </w:style>
  <w:style w:type="character" w:styleId="ListLabel255">
    <w:name w:val="ListLabel 255"/>
    <w:qFormat/>
    <w:rPr>
      <w:rFonts w:cs="Wingdings"/>
    </w:rPr>
  </w:style>
  <w:style w:type="character" w:styleId="ListLabel256">
    <w:name w:val="ListLabel 256"/>
    <w:qFormat/>
    <w:rPr>
      <w:rFonts w:cs="Symbol"/>
    </w:rPr>
  </w:style>
  <w:style w:type="character" w:styleId="ListLabel257">
    <w:name w:val="ListLabel 257"/>
    <w:qFormat/>
    <w:rPr>
      <w:rFonts w:cs="Courier New"/>
    </w:rPr>
  </w:style>
  <w:style w:type="character" w:styleId="ListLabel258">
    <w:name w:val="ListLabel 258"/>
    <w:qFormat/>
    <w:rPr>
      <w:rFonts w:cs="Wingdings"/>
    </w:rPr>
  </w:style>
  <w:style w:type="character" w:styleId="ListLabel259">
    <w:name w:val="ListLabel 259"/>
    <w:qFormat/>
    <w:rPr>
      <w:rFonts w:cs="Symbol"/>
    </w:rPr>
  </w:style>
  <w:style w:type="character" w:styleId="ListLabel260">
    <w:name w:val="ListLabel 260"/>
    <w:qFormat/>
    <w:rPr>
      <w:rFonts w:cs="Courier New"/>
    </w:rPr>
  </w:style>
  <w:style w:type="character" w:styleId="ListLabel261">
    <w:name w:val="ListLabel 261"/>
    <w:qFormat/>
    <w:rPr>
      <w:rFonts w:cs="Wingdings"/>
    </w:rPr>
  </w:style>
  <w:style w:type="character" w:styleId="ListLabel262">
    <w:name w:val="ListLabel 262"/>
    <w:qFormat/>
    <w:rPr>
      <w:rFonts w:cs="Symbol"/>
      <w:color w:val="00000A"/>
      <w:sz w:val="22"/>
    </w:rPr>
  </w:style>
  <w:style w:type="character" w:styleId="ListLabel263">
    <w:name w:val="ListLabel 263"/>
    <w:qFormat/>
    <w:rPr>
      <w:rFonts w:cs="Courier New"/>
    </w:rPr>
  </w:style>
  <w:style w:type="character" w:styleId="ListLabel264">
    <w:name w:val="ListLabel 264"/>
    <w:qFormat/>
    <w:rPr>
      <w:rFonts w:cs="Wingdings"/>
    </w:rPr>
  </w:style>
  <w:style w:type="character" w:styleId="ListLabel265">
    <w:name w:val="ListLabel 265"/>
    <w:qFormat/>
    <w:rPr>
      <w:rFonts w:cs="Symbol"/>
    </w:rPr>
  </w:style>
  <w:style w:type="character" w:styleId="ListLabel266">
    <w:name w:val="ListLabel 266"/>
    <w:qFormat/>
    <w:rPr>
      <w:rFonts w:cs="Courier New"/>
    </w:rPr>
  </w:style>
  <w:style w:type="character" w:styleId="ListLabel267">
    <w:name w:val="ListLabel 267"/>
    <w:qFormat/>
    <w:rPr>
      <w:rFonts w:cs="Wingdings"/>
    </w:rPr>
  </w:style>
  <w:style w:type="character" w:styleId="ListLabel268">
    <w:name w:val="ListLabel 268"/>
    <w:qFormat/>
    <w:rPr>
      <w:rFonts w:cs="Symbol"/>
    </w:rPr>
  </w:style>
  <w:style w:type="character" w:styleId="ListLabel269">
    <w:name w:val="ListLabel 269"/>
    <w:qFormat/>
    <w:rPr>
      <w:rFonts w:cs="Courier New"/>
    </w:rPr>
  </w:style>
  <w:style w:type="character" w:styleId="ListLabel270">
    <w:name w:val="ListLabel 270"/>
    <w:qFormat/>
    <w:rPr>
      <w:rFonts w:cs="Wingdings"/>
    </w:rPr>
  </w:style>
  <w:style w:type="character" w:styleId="ListLabel271">
    <w:name w:val="ListLabel 271"/>
    <w:qFormat/>
    <w:rPr>
      <w:b/>
      <w:i w:val="false"/>
      <w:sz w:val="22"/>
    </w:rPr>
  </w:style>
  <w:style w:type="character" w:styleId="ListLabel272">
    <w:name w:val="ListLabel 272"/>
    <w:qFormat/>
    <w:rPr>
      <w:rFonts w:cs="Symbol"/>
      <w:sz w:val="22"/>
    </w:rPr>
  </w:style>
  <w:style w:type="character" w:styleId="ListLabel273">
    <w:name w:val="ListLabel 273"/>
    <w:qFormat/>
    <w:rPr>
      <w:rFonts w:cs="Courier New"/>
    </w:rPr>
  </w:style>
  <w:style w:type="character" w:styleId="ListLabel274">
    <w:name w:val="ListLabel 274"/>
    <w:qFormat/>
    <w:rPr>
      <w:rFonts w:cs="Wingdings"/>
    </w:rPr>
  </w:style>
  <w:style w:type="character" w:styleId="ListLabel275">
    <w:name w:val="ListLabel 275"/>
    <w:qFormat/>
    <w:rPr>
      <w:rFonts w:cs="Symbol"/>
    </w:rPr>
  </w:style>
  <w:style w:type="character" w:styleId="ListLabel276">
    <w:name w:val="ListLabel 276"/>
    <w:qFormat/>
    <w:rPr>
      <w:rFonts w:cs="Courier New"/>
    </w:rPr>
  </w:style>
  <w:style w:type="character" w:styleId="ListLabel277">
    <w:name w:val="ListLabel 277"/>
    <w:qFormat/>
    <w:rPr>
      <w:rFonts w:cs="Wingdings"/>
    </w:rPr>
  </w:style>
  <w:style w:type="character" w:styleId="ListLabel278">
    <w:name w:val="ListLabel 278"/>
    <w:qFormat/>
    <w:rPr>
      <w:rFonts w:cs="Symbol"/>
    </w:rPr>
  </w:style>
  <w:style w:type="character" w:styleId="ListLabel279">
    <w:name w:val="ListLabel 279"/>
    <w:qFormat/>
    <w:rPr>
      <w:rFonts w:cs="Courier New"/>
    </w:rPr>
  </w:style>
  <w:style w:type="character" w:styleId="ListLabel280">
    <w:name w:val="ListLabel 280"/>
    <w:qFormat/>
    <w:rPr>
      <w:rFonts w:cs="Wingdings"/>
    </w:rPr>
  </w:style>
  <w:style w:type="character" w:styleId="ListLabel281">
    <w:name w:val="ListLabel 281"/>
    <w:qFormat/>
    <w:rPr>
      <w:rFonts w:cs="Symbol"/>
      <w:sz w:val="22"/>
    </w:rPr>
  </w:style>
  <w:style w:type="character" w:styleId="ListLabel282">
    <w:name w:val="ListLabel 282"/>
    <w:qFormat/>
    <w:rPr>
      <w:rFonts w:cs="Courier New"/>
    </w:rPr>
  </w:style>
  <w:style w:type="character" w:styleId="ListLabel283">
    <w:name w:val="ListLabel 283"/>
    <w:qFormat/>
    <w:rPr>
      <w:rFonts w:cs="Wingdings"/>
    </w:rPr>
  </w:style>
  <w:style w:type="character" w:styleId="ListLabel284">
    <w:name w:val="ListLabel 284"/>
    <w:qFormat/>
    <w:rPr>
      <w:rFonts w:cs="Symbol"/>
    </w:rPr>
  </w:style>
  <w:style w:type="character" w:styleId="ListLabel285">
    <w:name w:val="ListLabel 285"/>
    <w:qFormat/>
    <w:rPr>
      <w:rFonts w:cs="Courier New"/>
    </w:rPr>
  </w:style>
  <w:style w:type="character" w:styleId="ListLabel286">
    <w:name w:val="ListLabel 286"/>
    <w:qFormat/>
    <w:rPr>
      <w:rFonts w:cs="Wingdings"/>
    </w:rPr>
  </w:style>
  <w:style w:type="character" w:styleId="ListLabel287">
    <w:name w:val="ListLabel 287"/>
    <w:qFormat/>
    <w:rPr>
      <w:rFonts w:cs="Symbol"/>
    </w:rPr>
  </w:style>
  <w:style w:type="character" w:styleId="ListLabel288">
    <w:name w:val="ListLabel 288"/>
    <w:qFormat/>
    <w:rPr>
      <w:rFonts w:cs="Courier New"/>
    </w:rPr>
  </w:style>
  <w:style w:type="character" w:styleId="ListLabel289">
    <w:name w:val="ListLabel 289"/>
    <w:qFormat/>
    <w:rPr>
      <w:rFonts w:cs="Wingdings"/>
    </w:rPr>
  </w:style>
  <w:style w:type="character" w:styleId="ListLabel290">
    <w:name w:val="ListLabel 290"/>
    <w:qFormat/>
    <w:rPr>
      <w:rFonts w:cs="Symbol"/>
      <w:sz w:val="22"/>
    </w:rPr>
  </w:style>
  <w:style w:type="character" w:styleId="ListLabel291">
    <w:name w:val="ListLabel 291"/>
    <w:qFormat/>
    <w:rPr>
      <w:rFonts w:cs="Courier New"/>
    </w:rPr>
  </w:style>
  <w:style w:type="character" w:styleId="ListLabel292">
    <w:name w:val="ListLabel 292"/>
    <w:qFormat/>
    <w:rPr>
      <w:rFonts w:cs="Wingdings"/>
    </w:rPr>
  </w:style>
  <w:style w:type="character" w:styleId="ListLabel293">
    <w:name w:val="ListLabel 293"/>
    <w:qFormat/>
    <w:rPr>
      <w:rFonts w:cs="Symbol"/>
    </w:rPr>
  </w:style>
  <w:style w:type="character" w:styleId="ListLabel294">
    <w:name w:val="ListLabel 294"/>
    <w:qFormat/>
    <w:rPr>
      <w:rFonts w:cs="Courier New"/>
    </w:rPr>
  </w:style>
  <w:style w:type="character" w:styleId="ListLabel295">
    <w:name w:val="ListLabel 295"/>
    <w:qFormat/>
    <w:rPr>
      <w:rFonts w:cs="Wingdings"/>
    </w:rPr>
  </w:style>
  <w:style w:type="character" w:styleId="ListLabel296">
    <w:name w:val="ListLabel 296"/>
    <w:qFormat/>
    <w:rPr>
      <w:rFonts w:cs="Symbol"/>
    </w:rPr>
  </w:style>
  <w:style w:type="character" w:styleId="ListLabel297">
    <w:name w:val="ListLabel 297"/>
    <w:qFormat/>
    <w:rPr>
      <w:rFonts w:cs="Courier New"/>
    </w:rPr>
  </w:style>
  <w:style w:type="character" w:styleId="ListLabel298">
    <w:name w:val="ListLabel 298"/>
    <w:qFormat/>
    <w:rPr>
      <w:rFonts w:cs="Wingdings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6">
    <w:name w:val="Body Text"/>
    <w:basedOn w:val="Normal"/>
    <w:rsid w:val="0016533c"/>
    <w:pPr/>
    <w:rPr>
      <w:sz w:val="24"/>
    </w:rPr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Style20">
    <w:name w:val="Header"/>
    <w:basedOn w:val="Normal"/>
    <w:link w:val="a4"/>
    <w:rsid w:val="0016533c"/>
    <w:pPr>
      <w:tabs>
        <w:tab w:val="center" w:pos="4153" w:leader="none"/>
        <w:tab w:val="right" w:pos="8306" w:leader="none"/>
      </w:tabs>
    </w:pPr>
    <w:rPr/>
  </w:style>
  <w:style w:type="paragraph" w:styleId="Style21">
    <w:name w:val="Footer"/>
    <w:basedOn w:val="Normal"/>
    <w:link w:val="a6"/>
    <w:uiPriority w:val="99"/>
    <w:rsid w:val="0016533c"/>
    <w:pPr>
      <w:tabs>
        <w:tab w:val="center" w:pos="4153" w:leader="none"/>
        <w:tab w:val="right" w:pos="8306" w:leader="none"/>
      </w:tabs>
    </w:pPr>
    <w:rPr/>
  </w:style>
  <w:style w:type="paragraph" w:styleId="Caption">
    <w:name w:val="caption"/>
    <w:basedOn w:val="Normal"/>
    <w:qFormat/>
    <w:rsid w:val="0016533c"/>
    <w:pPr/>
    <w:rPr>
      <w:b/>
      <w:bCs/>
    </w:rPr>
  </w:style>
  <w:style w:type="paragraph" w:styleId="Style22">
    <w:name w:val="Body Text Indent"/>
    <w:basedOn w:val="Normal"/>
    <w:rsid w:val="0016533c"/>
    <w:pPr>
      <w:ind w:left="6096" w:firstLine="357"/>
    </w:pPr>
    <w:rPr>
      <w:rFonts w:ascii="Arial" w:hAnsi="Arial"/>
    </w:rPr>
  </w:style>
  <w:style w:type="paragraph" w:styleId="MessageHeader">
    <w:name w:val="Message Header"/>
    <w:basedOn w:val="Style16"/>
    <w:qFormat/>
    <w:rsid w:val="0016533c"/>
    <w:pPr>
      <w:keepLines/>
      <w:spacing w:lineRule="atLeast" w:line="415"/>
      <w:ind w:left="1985" w:right="-360" w:hanging="1145"/>
      <w:jc w:val="left"/>
    </w:pPr>
    <w:rPr>
      <w:sz w:val="20"/>
    </w:rPr>
  </w:style>
  <w:style w:type="paragraph" w:styleId="BodyTextIndent2">
    <w:name w:val="Body Text Indent 2"/>
    <w:basedOn w:val="Normal"/>
    <w:qFormat/>
    <w:rsid w:val="00c84986"/>
    <w:pPr>
      <w:spacing w:lineRule="auto" w:line="480" w:before="0" w:after="120"/>
      <w:ind w:left="283" w:firstLine="357"/>
    </w:pPr>
    <w:rPr>
      <w:sz w:val="24"/>
      <w:szCs w:val="24"/>
    </w:rPr>
  </w:style>
  <w:style w:type="paragraph" w:styleId="Style23">
    <w:name w:val="Title"/>
    <w:basedOn w:val="Normal"/>
    <w:qFormat/>
    <w:rsid w:val="005861ca"/>
    <w:pPr>
      <w:jc w:val="center"/>
    </w:pPr>
    <w:rPr>
      <w:b/>
      <w:bCs/>
      <w:sz w:val="22"/>
      <w:szCs w:val="22"/>
    </w:rPr>
  </w:style>
  <w:style w:type="paragraph" w:styleId="PlainText">
    <w:name w:val="Plain Text"/>
    <w:basedOn w:val="Normal"/>
    <w:qFormat/>
    <w:rsid w:val="006d5ed5"/>
    <w:pPr/>
    <w:rPr>
      <w:rFonts w:ascii="Courier New" w:hAnsi="Courier New" w:cs="Courier New"/>
    </w:rPr>
  </w:style>
  <w:style w:type="paragraph" w:styleId="BalloonText">
    <w:name w:val="Balloon Text"/>
    <w:basedOn w:val="Normal"/>
    <w:semiHidden/>
    <w:qFormat/>
    <w:rsid w:val="00b85c86"/>
    <w:pPr/>
    <w:rPr>
      <w:rFonts w:ascii="Tahoma" w:hAnsi="Tahoma" w:cs="Tahoma"/>
      <w:sz w:val="16"/>
      <w:szCs w:val="16"/>
    </w:rPr>
  </w:style>
  <w:style w:type="paragraph" w:styleId="14" w:customStyle="1">
    <w:name w:val="Стиль1_св-ва документа"/>
    <w:basedOn w:val="4"/>
    <w:link w:val="1-0"/>
    <w:qFormat/>
    <w:rsid w:val="00f26e59"/>
    <w:pPr>
      <w:ind w:left="-13" w:hanging="0"/>
      <w:jc w:val="both"/>
    </w:pPr>
    <w:rPr>
      <w:rFonts w:ascii="Times New Roman" w:hAnsi="Times New Roman"/>
      <w:bCs/>
      <w:sz w:val="25"/>
      <w:szCs w:val="25"/>
    </w:rPr>
  </w:style>
  <w:style w:type="paragraph" w:styleId="1251" w:customStyle="1">
    <w:name w:val="Обычный125Жир"/>
    <w:basedOn w:val="Normal"/>
    <w:link w:val="1250"/>
    <w:qFormat/>
    <w:rsid w:val="003c61f8"/>
    <w:pPr>
      <w:keepNext w:val="true"/>
      <w:ind w:left="-13" w:hanging="0"/>
      <w:jc w:val="left"/>
      <w:outlineLvl w:val="3"/>
    </w:pPr>
    <w:rPr>
      <w:b/>
      <w:bCs/>
      <w:color w:val="0000FF"/>
      <w:sz w:val="25"/>
      <w:szCs w:val="25"/>
    </w:rPr>
  </w:style>
  <w:style w:type="paragraph" w:styleId="121" w:customStyle="1">
    <w:name w:val="Об12жир"/>
    <w:basedOn w:val="Normal"/>
    <w:link w:val="120"/>
    <w:qFormat/>
    <w:rsid w:val="003c61f8"/>
    <w:pPr>
      <w:ind w:left="0" w:hanging="0"/>
    </w:pPr>
    <w:rPr>
      <w:b/>
      <w:bCs/>
      <w:color w:val="0000FF"/>
      <w:sz w:val="24"/>
      <w:szCs w:val="24"/>
    </w:rPr>
  </w:style>
  <w:style w:type="paragraph" w:styleId="132" w:customStyle="1">
    <w:name w:val="Об_13_Жир"/>
    <w:basedOn w:val="Normal"/>
    <w:link w:val="130"/>
    <w:qFormat/>
    <w:rsid w:val="003c61f8"/>
    <w:pPr>
      <w:spacing w:before="120" w:after="120"/>
      <w:ind w:left="0" w:firstLine="357"/>
    </w:pPr>
    <w:rPr>
      <w:b/>
      <w:color w:val="0000FF"/>
      <w:sz w:val="26"/>
      <w:szCs w:val="26"/>
    </w:rPr>
  </w:style>
  <w:style w:type="paragraph" w:styleId="103" w:customStyle="1">
    <w:name w:val="ТР_10_Жир"/>
    <w:basedOn w:val="Normal"/>
    <w:link w:val="100"/>
    <w:qFormat/>
    <w:rsid w:val="003c61f8"/>
    <w:pPr>
      <w:ind w:left="0" w:hanging="0"/>
      <w:jc w:val="left"/>
    </w:pPr>
    <w:rPr>
      <w:b/>
      <w:color w:val="0000FF"/>
    </w:rPr>
  </w:style>
  <w:style w:type="paragraph" w:styleId="104" w:customStyle="1">
    <w:name w:val="ТР_10"/>
    <w:basedOn w:val="Normal"/>
    <w:link w:val="102"/>
    <w:qFormat/>
    <w:rsid w:val="003c61f8"/>
    <w:pPr>
      <w:ind w:left="0" w:hanging="0"/>
      <w:jc w:val="left"/>
    </w:pPr>
    <w:rPr>
      <w:color w:val="0000FF"/>
    </w:rPr>
  </w:style>
  <w:style w:type="paragraph" w:styleId="105" w:customStyle="1">
    <w:name w:val="Тр_10_Жир"/>
    <w:basedOn w:val="BodyTextIndent2"/>
    <w:link w:val="104"/>
    <w:qFormat/>
    <w:rsid w:val="008910fe"/>
    <w:pPr>
      <w:spacing w:lineRule="auto" w:line="240" w:before="120" w:after="120"/>
      <w:ind w:left="0" w:hanging="0"/>
      <w:jc w:val="center"/>
    </w:pPr>
    <w:rPr>
      <w:b/>
      <w:color w:val="3333FF"/>
      <w:sz w:val="20"/>
      <w:szCs w:val="20"/>
    </w:rPr>
  </w:style>
  <w:style w:type="paragraph" w:styleId="Annotationtext">
    <w:name w:val="annotation text"/>
    <w:basedOn w:val="Normal"/>
    <w:link w:val="af3"/>
    <w:qFormat/>
    <w:rsid w:val="001667b2"/>
    <w:pPr/>
    <w:rPr/>
  </w:style>
  <w:style w:type="paragraph" w:styleId="Annotationsubject">
    <w:name w:val="annotation subject"/>
    <w:basedOn w:val="Annotationtext"/>
    <w:link w:val="af5"/>
    <w:qFormat/>
    <w:rsid w:val="001667b2"/>
    <w:pPr/>
    <w:rPr>
      <w:b/>
      <w:bCs/>
    </w:rPr>
  </w:style>
  <w:style w:type="paragraph" w:styleId="ListParagraph">
    <w:name w:val="List Paragraph"/>
    <w:basedOn w:val="Normal"/>
    <w:uiPriority w:val="34"/>
    <w:qFormat/>
    <w:rsid w:val="00ec5e22"/>
    <w:pPr>
      <w:spacing w:before="0" w:after="0"/>
      <w:ind w:left="720" w:firstLine="357"/>
      <w:contextualSpacing/>
    </w:pPr>
    <w:rPr/>
  </w:style>
  <w:style w:type="paragraph" w:styleId="ConsPlusTitle" w:customStyle="1">
    <w:name w:val="ConsPlusTitle"/>
    <w:uiPriority w:val="99"/>
    <w:qFormat/>
    <w:rsid w:val="00366433"/>
    <w:pPr>
      <w:widowControl w:val="false"/>
      <w:bidi w:val="0"/>
      <w:jc w:val="left"/>
    </w:pPr>
    <w:rPr>
      <w:rFonts w:ascii="Arial" w:hAnsi="Arial" w:eastAsia="Times New Roman" w:cs="Arial"/>
      <w:b/>
      <w:bCs/>
      <w:color w:val="00000A"/>
      <w:sz w:val="20"/>
      <w:szCs w:val="20"/>
      <w:lang w:val="ru-RU" w:eastAsia="ru-RU" w:bidi="ar-SA"/>
    </w:rPr>
  </w:style>
  <w:style w:type="paragraph" w:styleId="15" w:customStyle="1">
    <w:name w:val="Стиль1"/>
    <w:basedOn w:val="Normal"/>
    <w:qFormat/>
    <w:rsid w:val="00c62470"/>
    <w:pPr>
      <w:widowControl w:val="false"/>
      <w:suppressAutoHyphens w:val="true"/>
      <w:ind w:left="0" w:firstLine="709"/>
    </w:pPr>
    <w:rPr>
      <w:sz w:val="28"/>
      <w:szCs w:val="28"/>
    </w:rPr>
  </w:style>
  <w:style w:type="paragraph" w:styleId="16" w:customStyle="1">
    <w:name w:val="Основной текст1"/>
    <w:basedOn w:val="Normal"/>
    <w:link w:val="af7"/>
    <w:qFormat/>
    <w:rsid w:val="005c1d9e"/>
    <w:pPr>
      <w:widowControl w:val="false"/>
      <w:shd w:val="clear" w:color="auto" w:fill="FFFFFF"/>
      <w:spacing w:lineRule="auto" w:line="240" w:before="0" w:after="120"/>
      <w:ind w:left="0" w:hanging="0"/>
      <w:jc w:val="left"/>
    </w:pPr>
    <w:rPr>
      <w:spacing w:val="-2"/>
      <w:sz w:val="18"/>
      <w:szCs w:val="18"/>
    </w:rPr>
  </w:style>
  <w:style w:type="paragraph" w:styleId="133" w:customStyle="1">
    <w:name w:val="ТР_13_жирный"/>
    <w:basedOn w:val="Style23"/>
    <w:link w:val="132"/>
    <w:qFormat/>
    <w:rsid w:val="00b67c34"/>
    <w:pPr>
      <w:ind w:left="0" w:hanging="0"/>
    </w:pPr>
    <w:rPr>
      <w:bCs w:val="false"/>
      <w:color w:val="421CE2"/>
      <w:sz w:val="26"/>
      <w:szCs w:val="20"/>
    </w:rPr>
  </w:style>
  <w:style w:type="paragraph" w:styleId="Style2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rsid w:val="005861c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59"/>
    <w:rsid w:val="008e5ab2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">
    <w:name w:val="Сетка таблицы2"/>
    <w:basedOn w:val="a1"/>
    <w:uiPriority w:val="59"/>
    <w:rsid w:val="008e5ab2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">
    <w:name w:val="Сетка таблицы3"/>
    <w:basedOn w:val="a1"/>
    <w:uiPriority w:val="59"/>
    <w:rsid w:val="008e5ab2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1"/>
    <w:uiPriority w:val="59"/>
    <w:rsid w:val="002020c4"/>
    <w:rPr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">
    <w:name w:val="Сетка таблицы11"/>
    <w:basedOn w:val="a1"/>
    <w:rsid w:val="0036343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docs.cntd.ru/document/420231391" TargetMode="External"/><Relationship Id="rId4" Type="http://schemas.openxmlformats.org/officeDocument/2006/relationships/image" Target="media/image2.wmf"/><Relationship Id="rId5" Type="http://schemas.openxmlformats.org/officeDocument/2006/relationships/image" Target="media/image3.wmf"/><Relationship Id="rId6" Type="http://schemas.openxmlformats.org/officeDocument/2006/relationships/image" Target="media/image4.wmf"/><Relationship Id="rId7" Type="http://schemas.openxmlformats.org/officeDocument/2006/relationships/hyperlink" Target="http://www.kamenergo.ru/" TargetMode="External"/><Relationship Id="rId8" Type="http://schemas.openxmlformats.org/officeDocument/2006/relationships/hyperlink" Target="mailto:Drogaytseva_N&#1040;@kamch.dvec.ru" TargetMode="External"/><Relationship Id="rId9" Type="http://schemas.openxmlformats.org/officeDocument/2006/relationships/hyperlink" Target="mailto:Mokhova_NV@kamch.dvec.ru" TargetMode="External"/><Relationship Id="rId10" Type="http://schemas.openxmlformats.org/officeDocument/2006/relationships/hyperlink" Target="mailto:Balan_EV@kamch.dvec.ru" TargetMode="Externa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<Relationship Id="rId1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A37A0-B997-46E8-B127-218B2BBCD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теплоснабжения и горячего водоснабжения ХОЗ</Template>
  <TotalTime>15</TotalTime>
  <Application>LibreOffice/5.3.6.1$Linux_X86_64 LibreOffice_project/30$Build-1</Application>
  <Pages>18</Pages>
  <Words>6557</Words>
  <Characters>47245</Characters>
  <CharactersWithSpaces>53746</CharactersWithSpaces>
  <Paragraphs>357</Paragraphs>
  <Company>LENENERGO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2022-02-17T03:14:00Z</dcterms:created>
  <dc:creator>Тимошенко Анастасия Александровна</dc:creator>
  <dc:description/>
  <dc:language>ru-RU</dc:language>
  <cp:lastModifiedBy/>
  <cp:lastPrinted>2013-12-17T06:12:00Z</cp:lastPrinted>
  <dcterms:modified xsi:type="dcterms:W3CDTF">2025-07-10T14:23:51Z</dcterms:modified>
  <cp:revision>8</cp:revision>
  <dc:subject/>
  <dc:title>ПРИЛОЖЕНИЕ 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ountName">
    <vt:lpwstr>@@AccountName</vt:lpwstr>
  </property>
  <property fmtid="{D5CDD505-2E9C-101B-9397-08002B2CF9AE}" pid="3" name="AccountNum">
    <vt:lpwstr>@@AccountNum</vt:lpwstr>
  </property>
  <property fmtid="{D5CDD505-2E9C-101B-9397-08002B2CF9AE}" pid="4" name="AdressAbonent">
    <vt:lpwstr>@@AdressAbonent</vt:lpwstr>
  </property>
  <property fmtid="{D5CDD505-2E9C-101B-9397-08002B2CF9AE}" pid="5" name="AppVersion">
    <vt:lpwstr>16.0000</vt:lpwstr>
  </property>
  <property fmtid="{D5CDD505-2E9C-101B-9397-08002B2CF9AE}" pid="6" name="Company">
    <vt:lpwstr>LENENERGO</vt:lpwstr>
  </property>
  <property fmtid="{D5CDD505-2E9C-101B-9397-08002B2CF9AE}" pid="7" name="DateContact">
    <vt:lpwstr>@@DateContact</vt:lpwstr>
  </property>
  <property fmtid="{D5CDD505-2E9C-101B-9397-08002B2CF9AE}" pid="8" name="DirectNameRP">
    <vt:lpwstr>@@DirectNameRP</vt:lpwstr>
  </property>
  <property fmtid="{D5CDD505-2E9C-101B-9397-08002B2CF9AE}" pid="9" name="DocSecurity">
    <vt:i4>0</vt:i4>
  </property>
  <property fmtid="{D5CDD505-2E9C-101B-9397-08002B2CF9AE}" pid="10" name="Email">
    <vt:lpwstr>@@Email</vt:lpwstr>
  </property>
  <property fmtid="{D5CDD505-2E9C-101B-9397-08002B2CF9AE}" pid="11" name="FirstName">
    <vt:lpwstr>@@FirstName</vt:lpwstr>
  </property>
  <property fmtid="{D5CDD505-2E9C-101B-9397-08002B2CF9AE}" pid="12" name="GroupId">
    <vt:lpwstr>@@GroupId</vt:lpwstr>
  </property>
  <property fmtid="{D5CDD505-2E9C-101B-9397-08002B2CF9AE}" pid="13" name="HyperlinksChanged">
    <vt:bool>0</vt:bool>
  </property>
  <property fmtid="{D5CDD505-2E9C-101B-9397-08002B2CF9AE}" pid="14" name="INN">
    <vt:lpwstr>@@INN</vt:lpwstr>
  </property>
  <property fmtid="{D5CDD505-2E9C-101B-9397-08002B2CF9AE}" pid="15" name="KPP">
    <vt:lpwstr>@@KPP</vt:lpwstr>
  </property>
  <property fmtid="{D5CDD505-2E9C-101B-9397-08002B2CF9AE}" pid="16" name="LinksUpToDate">
    <vt:bool>0</vt:bool>
  </property>
  <property fmtid="{D5CDD505-2E9C-101B-9397-08002B2CF9AE}" pid="17" name="MiddleName">
    <vt:lpwstr>@@MiddleName</vt:lpwstr>
  </property>
  <property fmtid="{D5CDD505-2E9C-101B-9397-08002B2CF9AE}" pid="18" name="NContract">
    <vt:lpwstr>@@NContract</vt:lpwstr>
  </property>
  <property fmtid="{D5CDD505-2E9C-101B-9397-08002B2CF9AE}" pid="19" name="NContractNumOnly">
    <vt:lpwstr>@@NContractNumOnly</vt:lpwstr>
  </property>
  <property fmtid="{D5CDD505-2E9C-101B-9397-08002B2CF9AE}" pid="20" name="NDS">
    <vt:lpwstr>@@NDS</vt:lpwstr>
  </property>
  <property fmtid="{D5CDD505-2E9C-101B-9397-08002B2CF9AE}" pid="21" name="NameAbonent">
    <vt:lpwstr>@@NameAbonent</vt:lpwstr>
  </property>
  <property fmtid="{D5CDD505-2E9C-101B-9397-08002B2CF9AE}" pid="22" name="NameDirectAbonent">
    <vt:lpwstr>@@NameDirectAbonent</vt:lpwstr>
  </property>
  <property fmtid="{D5CDD505-2E9C-101B-9397-08002B2CF9AE}" pid="23" name="OGRN">
    <vt:lpwstr>@@OGRN</vt:lpwstr>
  </property>
  <property fmtid="{D5CDD505-2E9C-101B-9397-08002B2CF9AE}" pid="24" name="OKPO">
    <vt:lpwstr>@@OKPO</vt:lpwstr>
  </property>
  <property fmtid="{D5CDD505-2E9C-101B-9397-08002B2CF9AE}" pid="25" name="OKVED">
    <vt:lpwstr>@@OKVED</vt:lpwstr>
  </property>
  <property fmtid="{D5CDD505-2E9C-101B-9397-08002B2CF9AE}" pid="26" name="Phone">
    <vt:lpwstr>@@Phone</vt:lpwstr>
  </property>
  <property fmtid="{D5CDD505-2E9C-101B-9397-08002B2CF9AE}" pid="27" name="PostIP">
    <vt:lpwstr>@@PostIP</vt:lpwstr>
  </property>
  <property fmtid="{D5CDD505-2E9C-101B-9397-08002B2CF9AE}" pid="28" name="PostRP">
    <vt:lpwstr>@@PostRP</vt:lpwstr>
  </property>
  <property fmtid="{D5CDD505-2E9C-101B-9397-08002B2CF9AE}" pid="29" name="ScaleCrop">
    <vt:bool>0</vt:bool>
  </property>
  <property fmtid="{D5CDD505-2E9C-101B-9397-08002B2CF9AE}" pid="30" name="ShareDoc">
    <vt:bool>0</vt:bool>
  </property>
  <property fmtid="{D5CDD505-2E9C-101B-9397-08002B2CF9AE}" pid="31" name="Telephone">
    <vt:lpwstr>@@Telephone</vt:lpwstr>
  </property>
</Properties>
</file>