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/>
        <w:drawing>
          <wp:inline distT="0" distB="0" distL="0" distR="0">
            <wp:extent cx="2486025" cy="38100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ДОГОВОР ТЕПЛОСНАБЖЕНИЯ</w:t>
      </w:r>
    </w:p>
    <w:p>
      <w:pPr>
        <w:pStyle w:val="Normal"/>
        <w:ind w:left="0" w:hanging="142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(поставка тепловой энергии в паре и теплоносителя (пар))</w:t>
      </w:r>
    </w:p>
    <w:p>
      <w:pPr>
        <w:pStyle w:val="BodyTextIndent2"/>
        <w:spacing w:lineRule="auto" w:line="240" w:before="0" w:after="0"/>
        <w:ind w:left="426" w:firstLine="283"/>
        <w:jc w:val="center"/>
        <w:rPr/>
      </w:pPr>
      <w:r>
        <w:rPr>
          <w:rStyle w:val="125"/>
          <w:rFonts w:eastAsia="Arial Unicode MS"/>
          <w:color w:val="00000A"/>
          <w:sz w:val="22"/>
          <w:szCs w:val="22"/>
        </w:rPr>
        <w:t>№</w:t>
      </w:r>
      <w:r>
        <w:rPr>
          <w:rStyle w:val="125"/>
          <w:rFonts w:eastAsia="Arial Unicode MS"/>
          <w:color w:val="00000A"/>
          <w:sz w:val="22"/>
          <w:szCs w:val="22"/>
        </w:rPr>
        <w:t>___________</w:t>
      </w:r>
    </w:p>
    <w:p>
      <w:pPr>
        <w:pStyle w:val="BodyTextIndent2"/>
        <w:spacing w:lineRule="auto" w:line="240" w:before="0" w:after="0"/>
        <w:ind w:left="0" w:firstLine="357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Indent2"/>
        <w:spacing w:lineRule="auto" w:line="240" w:before="0" w:after="0"/>
        <w:ind w:left="0" w:hanging="0"/>
        <w:rPr/>
      </w:pPr>
      <w:r>
        <w:rPr>
          <w:sz w:val="22"/>
          <w:szCs w:val="22"/>
        </w:rPr>
        <w:t>г. Петропавловск-Камчатский                                                                              «__» _________20___г.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b/>
          <w:sz w:val="23"/>
          <w:szCs w:val="23"/>
        </w:rPr>
        <w:t>Публичное акционерное общество энергетики и электрификации «Камчатскэнерго»</w:t>
      </w:r>
      <w:r>
        <w:rPr>
          <w:sz w:val="23"/>
          <w:szCs w:val="23"/>
        </w:rPr>
        <w:t xml:space="preserve">, именуемое в дальнейшем </w:t>
      </w:r>
      <w:r>
        <w:rPr>
          <w:b/>
          <w:sz w:val="23"/>
          <w:szCs w:val="23"/>
        </w:rPr>
        <w:t>«Теплоснабжающая организация» – далее по тексту «ТСО»</w:t>
      </w:r>
      <w:r>
        <w:rPr>
          <w:sz w:val="23"/>
          <w:szCs w:val="23"/>
        </w:rPr>
        <w:t xml:space="preserve">, в лице </w:t>
      </w:r>
      <w:r>
        <w:rPr>
          <w:b/>
          <w:sz w:val="23"/>
          <w:szCs w:val="23"/>
        </w:rPr>
        <w:t>_____________________________________________________________ филиала Публичного акционерного общества «Дальневосточная энергетическая компания» «Камчатскэнергосбыт» ____________________,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действующего на основании </w:t>
      </w:r>
      <w:r>
        <w:rPr>
          <w:b/>
          <w:bCs/>
          <w:iCs/>
          <w:sz w:val="23"/>
          <w:szCs w:val="23"/>
        </w:rPr>
        <w:t xml:space="preserve">доверенности </w:t>
      </w:r>
      <w:r>
        <w:rPr>
          <w:b/>
          <w:sz w:val="23"/>
          <w:szCs w:val="23"/>
        </w:rPr>
        <w:t>№ ______________ от _____________</w:t>
      </w:r>
      <w:r>
        <w:rPr>
          <w:sz w:val="23"/>
          <w:szCs w:val="23"/>
        </w:rPr>
        <w:t>, с одной стороны, и</w:t>
      </w:r>
    </w:p>
    <w:p>
      <w:pPr>
        <w:pStyle w:val="Normal"/>
        <w:ind w:left="0" w:firstLine="851"/>
        <w:rPr/>
      </w:pPr>
      <w:r>
        <w:rPr>
          <w:sz w:val="22"/>
          <w:szCs w:val="22"/>
        </w:rPr>
        <w:t>________________________________________________________________________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именуемый в дальнейшем </w:t>
      </w:r>
      <w:r>
        <w:rPr>
          <w:b/>
          <w:bCs/>
          <w:sz w:val="22"/>
          <w:szCs w:val="22"/>
        </w:rPr>
        <w:t xml:space="preserve">«Потребитель», </w:t>
      </w:r>
      <w:r>
        <w:rPr>
          <w:sz w:val="22"/>
          <w:szCs w:val="22"/>
        </w:rPr>
        <w:t xml:space="preserve">в лице </w:t>
      </w:r>
      <w:r>
        <w:rPr>
          <w:rStyle w:val="13"/>
          <w:color w:val="00000A"/>
          <w:sz w:val="22"/>
          <w:szCs w:val="22"/>
        </w:rPr>
        <w:t>_______________________________________</w:t>
      </w:r>
      <w:r>
        <w:rPr>
          <w:sz w:val="22"/>
          <w:szCs w:val="22"/>
        </w:rPr>
        <w:t>, действующий на основании _______________________, с другой стороны (далее по тексту – «Стороны»), заключили настоящий договор о нижеследующем.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4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ОБЩИЕ ПОЛОЖЕНИЯ.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4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Понятия, используемые в тексте настоящего договора, имеют значения, определенные Федеральным законом «О теплоснабжении», иными федеральными законами и нормативно-правовыми актами.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>По всем вопросам, не оговоренным настоящим Договором, стороны обязуются руководствоваться следующими документами: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0"/>
        <w:rPr>
          <w:sz w:val="22"/>
          <w:szCs w:val="22"/>
        </w:rPr>
      </w:pPr>
      <w:r>
        <w:rPr>
          <w:sz w:val="22"/>
          <w:szCs w:val="22"/>
        </w:rPr>
        <w:t>- Гражданским кодексом РФ;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 Федеральным законом от 27.07.2010 № 190-ФЗ «О теплоснабжении»;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 «Правилами организации теплоснабжения в Российской Федерации», утвержденными постановлением Правительства Российской Федерации от 08.08.2012 № 808;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>- Фе</w:t>
      </w:r>
      <w:r>
        <w:rPr>
          <w:sz w:val="22"/>
          <w:szCs w:val="22"/>
        </w:rPr>
        <w:t>деральным законом от 23.11.2009 № 261-ФЗ «Об энергосбережении и о повышении энергетической эффективности»;</w:t>
      </w:r>
    </w:p>
    <w:p>
      <w:pPr>
        <w:pStyle w:val="Normal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 Постановление Правительства РФ от 18 ноября 2013 г. № 1034 «О коммерческом учете тепловой энергии, теплоносителя»;</w:t>
      </w:r>
    </w:p>
    <w:p>
      <w:pPr>
        <w:pStyle w:val="Normal"/>
        <w:ind w:left="0" w:hanging="0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«Правилами технической эксплуатации тепловых энергоустановок», утвержденными </w:t>
      </w:r>
      <w:hyperlink w:anchor="sub_0">
        <w:r>
          <w:rPr>
            <w:rStyle w:val="Style9"/>
            <w:sz w:val="22"/>
            <w:szCs w:val="22"/>
          </w:rPr>
          <w:t>приказом</w:t>
        </w:r>
      </w:hyperlink>
      <w:r>
        <w:rPr>
          <w:sz w:val="22"/>
          <w:szCs w:val="22"/>
        </w:rPr>
        <w:t xml:space="preserve"> Минэнерго РФ от 24.03.2003г. № 115;</w:t>
      </w:r>
    </w:p>
    <w:p>
      <w:pPr>
        <w:pStyle w:val="Normal"/>
        <w:widowControl w:val="fals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- 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 Приказом Министерства энергетики РФ от 30.12.2008 № 325 «Об утверждении порядка определении нормативов технологических потерь при передаче тепловой энергии, теплоносителя», зарегистрированным в Минюсте России 16.03.2009 № 13513;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 Приказом Минэнерго России от 19.06.2003 N 229 (ред. от 11.02.2019) «Об утверждении Правил технической эксплуатации электрических станций и сетей Российской Федерации» (Зарегистрировано в Минюсте России 20.06.2003 N 4799) (с изм. и доп., вступ. в силу с 30.04.2019). Другими документами, регламентирующими взаимоотношения между потребителями тепловой энергии (мощности), теплоносителя и теплоснабжающей организацией.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3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ПРЕДМЕТ ДОГОВОРА.</w:t>
      </w:r>
    </w:p>
    <w:p>
      <w:pPr>
        <w:pStyle w:val="ListParagraph"/>
        <w:ind w:left="39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ТСО обязуется поставить (отпустить) Потребителю через присоединенную сеть тепловую энергию в паре и теплоноситель (пар) (далее - тепловая энергия и теплоноситель) в точки поставки на объекты, указанные в Приложении №1, а Потребитель обязуется принять тепловую энергию и теплоноситель на условиях, предусмотренных настоящим договором, действующим законодательством РФ, и оплатить в порядке, сроки в соответствии с условиями настоящего договора и требованиями, отраженными в приложениях к нему, а также выполнять иные обязательства, возложенные на Потребителя в соответствии с условиями настоящего договора.</w:t>
      </w:r>
    </w:p>
    <w:p>
      <w:pPr>
        <w:pStyle w:val="ListParagraph"/>
        <w:numPr>
          <w:ilvl w:val="1"/>
          <w:numId w:val="3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Местом исполнения обязательств ТСО являются т</w:t>
      </w:r>
      <w:r>
        <w:rPr>
          <w:spacing w:val="-1"/>
          <w:sz w:val="22"/>
          <w:szCs w:val="22"/>
        </w:rPr>
        <w:t xml:space="preserve">очки поставки тепловой энергии </w:t>
      </w:r>
      <w:r>
        <w:rPr>
          <w:sz w:val="22"/>
          <w:szCs w:val="22"/>
        </w:rPr>
        <w:t xml:space="preserve">и теплоносителя </w:t>
      </w:r>
      <w:r>
        <w:rPr>
          <w:spacing w:val="-1"/>
          <w:sz w:val="22"/>
          <w:szCs w:val="22"/>
        </w:rPr>
        <w:t>установленные в Актах разграничения балансовой принадлежности тепловых сетей и эксплуатационной ответственности сторон, оформленных между ТСО и Потребителем</w:t>
      </w:r>
      <w:r>
        <w:rPr>
          <w:sz w:val="22"/>
          <w:szCs w:val="22"/>
        </w:rPr>
        <w:t xml:space="preserve"> по каждой точке поставки, которые являются неотъемлемой частью договора (Приложение № 2).</w:t>
      </w:r>
    </w:p>
    <w:p>
      <w:pPr>
        <w:pStyle w:val="Normal"/>
        <w:widowControl w:val="false"/>
        <w:numPr>
          <w:ilvl w:val="1"/>
          <w:numId w:val="3"/>
        </w:numPr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 принятия нормативно-правовых актов, регулирующих вопросы в сфере теплоснабжения и горячего водоснабжения, в том числе, устанавливающих иной, по сравнению с настоящим договором, порядок организации отношений сторон, стороны применяют указанные нормативно-правовые акты в целях исполнения договора с даты их вступления в законную силу без внесения соответствующих изменений в настоящий договор.</w:t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3"/>
        </w:numPr>
        <w:suppressAutoHyphens w:val="true"/>
        <w:ind w:left="357" w:hanging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ЦЕНА ДОГОВОРА.</w:t>
      </w:r>
    </w:p>
    <w:p>
      <w:pPr>
        <w:pStyle w:val="ListParagraph"/>
        <w:suppressAutoHyphens w:val="true"/>
        <w:ind w:left="39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Расчеты за тепловую энергию и теплоноситель, в том числе за повышенный расход, связанный с авариями и (или) технологическими отказами на сетях и во внутренних системах Потребителя, производится Потребителем по цене в размере _________ руб., кроме того НДС 20 % _________, стоимость за 1 Гкал составляет __________ руб. </w:t>
      </w:r>
    </w:p>
    <w:p>
      <w:pPr>
        <w:pStyle w:val="ListParagraph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 случае если после заключения Договора принято решение об установлении цены, отличной от указанной в настоящем абзаце (или об изменении цены, указанной в настоящем абзаце), то Стороны в течение 10 (Десяти) дней с даты принятия такого решения обязаны подписать дополнительное соглашение к Договору о соответствующем установлении или изменении цены с даты, указанной в таком решении. </w:t>
      </w:r>
    </w:p>
    <w:p>
      <w:pPr>
        <w:pStyle w:val="ListParagraph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 случае, если одна из Сторон отказывается подписать указанное дополнительное соглашение к Договору, то другая Сторона вправе обратиться в суд с исковым заявлением о понуждении заключить указанное дополнительное соглашение.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3"/>
        </w:numPr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КОЛИЧЕСТВО И КАЧЕСТВО </w:t>
      </w:r>
    </w:p>
    <w:p>
      <w:pPr>
        <w:pStyle w:val="ListParagraph"/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ТЕПЛОВОЙ ЭНЕРГИИ И ТЕПЛОНОСИТЕЛЯ</w:t>
      </w:r>
      <w:r>
        <w:rPr>
          <w:b/>
          <w:sz w:val="22"/>
          <w:szCs w:val="22"/>
        </w:rPr>
        <w:t>.</w:t>
      </w:r>
    </w:p>
    <w:p>
      <w:pPr>
        <w:pStyle w:val="ListParagraph"/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>Количество тепловой энергии и теплоносителя, фактически поставленных и подлежащих оплате по Договору, определяется в порядке, определённом в разделе 7 настоящего договора. Расчетные тепловые нагрузки Потребителя приведены в Приложении № 1 к Договору. Указанные в данном приложении тепловые нагрузки должны быть документально подтверждены Потребителем технической или проектной документацией</w:t>
      </w:r>
    </w:p>
    <w:p>
      <w:pPr>
        <w:pStyle w:val="ListParagraph"/>
        <w:widowControl w:val="false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Договорные объемы тепловой энергии и теплоносителя, поставляемые ТСО и приобретаемые Потребителем, с указанием тепловой нагрузки по каждому объекту и видам теплопотребления, с учетом объема тепловых потерь тепловой энергии и теплоносителя в тепловых сетях Потребителя от границы балансовой принадлежности до теплового узла, указаны в Приложении №1 и являются плановыми (ориентировочными).</w:t>
      </w:r>
    </w:p>
    <w:p>
      <w:pPr>
        <w:pStyle w:val="Normal"/>
        <w:widowControl w:val="false"/>
        <w:numPr>
          <w:ilvl w:val="1"/>
          <w:numId w:val="1"/>
        </w:numPr>
        <w:suppressLineNumbers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  <w:u w:val="single"/>
        </w:rPr>
        <w:t>Параметры теплоносителя</w:t>
      </w:r>
      <w:r>
        <w:rPr>
          <w:sz w:val="22"/>
          <w:szCs w:val="22"/>
        </w:rPr>
        <w:t xml:space="preserve">: </w:t>
      </w:r>
    </w:p>
    <w:p>
      <w:pPr>
        <w:pStyle w:val="ListParagraph"/>
        <w:widowControl w:val="false"/>
        <w:numPr>
          <w:ilvl w:val="0"/>
          <w:numId w:val="6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 xml:space="preserve">Диапазон температуры теплоносителя (пара) в подающем трубопроводе _________ </w:t>
      </w:r>
      <w:r>
        <w:rPr>
          <w:sz w:val="22"/>
          <w:szCs w:val="22"/>
          <w:vertAlign w:val="superscript"/>
        </w:rPr>
        <w:t>О</w:t>
      </w:r>
      <w:r>
        <w:rPr>
          <w:sz w:val="22"/>
          <w:szCs w:val="22"/>
        </w:rPr>
        <w:t>С.</w:t>
      </w:r>
    </w:p>
    <w:p>
      <w:pPr>
        <w:pStyle w:val="ListParagraph"/>
        <w:widowControl w:val="false"/>
        <w:numPr>
          <w:ilvl w:val="0"/>
          <w:numId w:val="6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Диапазон давления теплоносителя (пара) в подающем трубопроводе ___________ кгс/см2.</w:t>
      </w:r>
    </w:p>
    <w:p>
      <w:pPr>
        <w:pStyle w:val="Normal"/>
        <w:widowControl w:val="false"/>
        <w:suppressLineNumbers/>
        <w:ind w:left="0" w:firstLine="567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Режим потребления тепловой энергии и теплоносителя:</w:t>
      </w:r>
    </w:p>
    <w:p>
      <w:pPr>
        <w:pStyle w:val="ListParagraph"/>
        <w:widowControl w:val="false"/>
        <w:numPr>
          <w:ilvl w:val="0"/>
          <w:numId w:val="5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Величина расхода теплоносителя (пара) указана в Приложении №1;</w:t>
      </w:r>
    </w:p>
    <w:p>
      <w:pPr>
        <w:pStyle w:val="ListParagraph"/>
        <w:widowControl w:val="false"/>
        <w:numPr>
          <w:ilvl w:val="0"/>
          <w:numId w:val="5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 xml:space="preserve">Объем возврата/невозврата конденсата - </w:t>
      </w:r>
      <w:r>
        <w:rPr>
          <w:sz w:val="22"/>
          <w:szCs w:val="22"/>
          <w:u w:val="single"/>
        </w:rPr>
        <w:t>________</w:t>
      </w:r>
      <w:r>
        <w:rPr>
          <w:sz w:val="22"/>
          <w:szCs w:val="22"/>
        </w:rPr>
        <w:t>;</w:t>
      </w:r>
    </w:p>
    <w:p>
      <w:pPr>
        <w:pStyle w:val="Normal"/>
        <w:widowControl w:val="false"/>
        <w:suppressLineNumbers/>
        <w:ind w:left="0" w:firstLine="585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jc w:val="center"/>
        <w:rPr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>ОБЯЗАННОСТИ И ПРАВА ТСО.</w:t>
      </w:r>
    </w:p>
    <w:p>
      <w:pPr>
        <w:pStyle w:val="ListParagraph"/>
        <w:suppressAutoHyphens w:val="true"/>
        <w:ind w:left="585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b/>
          <w:bCs/>
          <w:sz w:val="22"/>
          <w:szCs w:val="22"/>
        </w:rPr>
        <w:t>ТСО обязуется: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Поставлять тепловую энергию и теплоноситель Потребителю (с учетом его субабонентов) в объеме, установленном в Приложении № 1 по каждой точке поставки, в течение года, кроме перерывов (технологических, плановых и аварийных ремонтов).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Уведомлять Потребителя о причинах, начале и сроках перерывов в поставке тепловой энергии и теплоносителя:</w:t>
      </w:r>
    </w:p>
    <w:p>
      <w:pPr>
        <w:pStyle w:val="ListParagraph"/>
        <w:widowControl w:val="false"/>
        <w:numPr>
          <w:ilvl w:val="0"/>
          <w:numId w:val="7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в день, предшествующий дню производства работ - при производстве внеплановых работ в любое время года;</w:t>
      </w:r>
    </w:p>
    <w:p>
      <w:pPr>
        <w:pStyle w:val="ListParagraph"/>
        <w:widowControl w:val="false"/>
        <w:numPr>
          <w:ilvl w:val="0"/>
          <w:numId w:val="7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в течение 1 часа после введенного ограничения (отключения) в случае аварийной ситуации.</w:t>
      </w:r>
    </w:p>
    <w:p>
      <w:pPr>
        <w:pStyle w:val="ListParagraph"/>
        <w:widowControl w:val="false"/>
        <w:numPr>
          <w:ilvl w:val="0"/>
          <w:numId w:val="7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Информация о сроках проведения планового ремонта в межотопительный период доводится до Потребителя специальным сообщением (уведомлением).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Ежегодно проверять техническое состояние и готовность тепловых сетей и теплопотребляющего оборудования Потребителя к работе в отопительный период с оформлением двухстороннего акта.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Выдавать технические условия на установку узла (прибора) учета</w:t>
      </w:r>
      <w:r>
        <w:rPr>
          <w:i/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присоединение дополнительной нагрузки</w:t>
      </w:r>
      <w:r>
        <w:rPr>
          <w:sz w:val="22"/>
          <w:szCs w:val="22"/>
        </w:rPr>
        <w:t>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Осуществлять допуск в эксплуатацию и пломбирование узла (прибора) учета, </w:t>
      </w:r>
      <w:r>
        <w:rPr>
          <w:spacing w:val="9"/>
          <w:sz w:val="22"/>
          <w:szCs w:val="22"/>
        </w:rPr>
        <w:t xml:space="preserve">установленного у Потребителя, по согласованному ТСО </w:t>
      </w:r>
      <w:r>
        <w:rPr>
          <w:spacing w:val="-5"/>
          <w:sz w:val="22"/>
          <w:szCs w:val="22"/>
        </w:rPr>
        <w:t xml:space="preserve">проекту. </w:t>
      </w:r>
      <w:r>
        <w:rPr>
          <w:sz w:val="22"/>
          <w:szCs w:val="22"/>
        </w:rPr>
        <w:t xml:space="preserve">Принимать узел (приборы) учета, </w:t>
      </w:r>
      <w:r>
        <w:rPr>
          <w:spacing w:val="9"/>
          <w:sz w:val="22"/>
          <w:szCs w:val="22"/>
        </w:rPr>
        <w:t>установленного у Потребителя,</w:t>
      </w:r>
      <w:r>
        <w:rPr>
          <w:sz w:val="22"/>
          <w:szCs w:val="22"/>
        </w:rPr>
        <w:t xml:space="preserve"> на коммерческий учет перед началом каждого отопительного периода.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Исполнять другие обязательства, предусмотренные настоящим договором.</w:t>
      </w:r>
    </w:p>
    <w:p>
      <w:pPr>
        <w:pStyle w:val="ListParagraph"/>
        <w:widowControl w:val="false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Сообщать Потребителю в письменной форме об изменении своего адреса и банковских реквизитов, на которые должна поступать оплата за тепловую энергию и теплоноситель.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ТСО имеет право: 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Производить ограничения отпуска тепловой энергии и теплоносителя и отключение Потребителя полностью или частично в соответствии с графиками ограничения потребления и отключения тепловой энергии и теплоносителя при возникновении (угрозе возникновения) аварийных ситуаций в системе теплоснабжения без согласования с Потребителем с последующим оповещением Потребителя о причинах и предполагаемой продолжительности ограничения или отключения.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Производить ограничения отпуска тепловой энергии и теплоносителя и отключение Потребителя полностью за неисполнение или ненадлежащее исполнение потребителем обязательств по оплате тепловой энергии и  теплоносителя, в том числе обязательств по их предварительной оплате, а также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 и теплоносителя,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договору теплоснабжения, выявление фактов бездоговорного потребления тепловой энергии и теплоносителя. Прекращение подачи тепловой энергии и теплоносителя производится в соответствии с законодательством РФ.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наличии оснований для прекращения подачи тепловой энергии и теплоносителя производить ограничения по всем видам нагрузок 100% от максимума соответствующей нагрузки, указанной в Приложении № 1. 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Беспрепятственного доступа (с предварительным уведомлением Потребителя) к тепловым сетям, находящимся на территории Потребителя, к теплоиспользующему оборудованию, узлам (приборам) учета в целях:</w:t>
      </w:r>
    </w:p>
    <w:p>
      <w:pPr>
        <w:pStyle w:val="ListParagraph"/>
        <w:widowControl w:val="false"/>
        <w:suppressLineNumbers/>
        <w:tabs>
          <w:tab w:val="left" w:pos="142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 </w:t>
        <w:tab/>
        <w:t>производства ремонтных работ в случае аварии - в любое время суток;</w:t>
        <w:tab/>
      </w:r>
    </w:p>
    <w:p>
      <w:pPr>
        <w:pStyle w:val="ListParagraph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4"/>
          <w:sz w:val="22"/>
          <w:szCs w:val="22"/>
        </w:rPr>
        <w:t>- </w:t>
        <w:tab/>
        <w:t xml:space="preserve">контроля над соблюдением установленных режимов и согласованных объемов </w:t>
      </w:r>
      <w:r>
        <w:rPr>
          <w:sz w:val="22"/>
          <w:szCs w:val="22"/>
        </w:rPr>
        <w:t>теплопотребления - в рабочее время суток;</w:t>
      </w:r>
    </w:p>
    <w:p>
      <w:pPr>
        <w:pStyle w:val="ListParagraph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3"/>
          <w:sz w:val="22"/>
          <w:szCs w:val="22"/>
        </w:rPr>
        <w:t>- </w:t>
        <w:tab/>
        <w:t xml:space="preserve">проведения замеров по определению качества </w:t>
      </w:r>
      <w:r>
        <w:rPr>
          <w:sz w:val="22"/>
          <w:szCs w:val="22"/>
        </w:rPr>
        <w:t>тепловой энергии и теплоносителя - в рабочее время суток.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наличии на объекте Потребителя оборудования, подключенного к автоматизированной системе дистанционного снятия показаний приборов учета тепловой энергии и (или) теплоносителя, и (или) горячей воды, ТСО имеет право самостоятельно производить снятие показаний с последующим уведомлением Потребителя в течение суток после снятия о полученной информации любым доступным способом, и использовать показания при расчете размера платы за коммунальные ресурсы, потребленные в расчетном периоде.</w:t>
      </w:r>
    </w:p>
    <w:p>
      <w:pPr>
        <w:pStyle w:val="ListParagraph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ab/>
        <w:t>В случае невозможности снятия показаний прибора учета с использованием автоматизированной системы дистанционного снятия показаний, ТСО информирует Потребителя в течение суток любым доступным способом, подтверждающим факт передачи информации.</w:t>
      </w:r>
    </w:p>
    <w:p>
      <w:pPr>
        <w:pStyle w:val="Normal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ОБЯЗАННОСТИ И ПРАВА ПОТРЕБИТЕЛЯ.</w:t>
      </w:r>
    </w:p>
    <w:p>
      <w:pPr>
        <w:pStyle w:val="ListParagraph"/>
        <w:ind w:left="357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Потребитель обязуется: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Оплачивать стоимость потребленной тепловой энергии и теплоносителя за расчетный период в порядке, сроки и размере, предусмотренном настоящим договором.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Предоставлять данные о плановом количестве тепловой энергии (мощности) и (или) теплоносителя на новый календарный год не позднее 01 марта текущего года.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Представлять до 01 сентября ежегодно «Акт готовности потребителя к пользованию тепловой энергией (мощности) и (или) теплоносителем в осеннее-зимний период» (технической возможности систем теплопотребления), а также перечень ответственных лиц.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pacing w:val="5"/>
          <w:sz w:val="22"/>
          <w:szCs w:val="22"/>
        </w:rPr>
        <w:t xml:space="preserve">Обеспечивать исправное состояние узла (прибора) учета, находящегося в </w:t>
      </w:r>
      <w:r>
        <w:rPr>
          <w:spacing w:val="-2"/>
          <w:sz w:val="22"/>
          <w:szCs w:val="22"/>
        </w:rPr>
        <w:t>ведении Потребителя.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временного выхода прибора учета из эксплуатации или утраты, обеспечить восстановление работоспособности прибора учета в течение 30 суток, с момента выхода его из строя,</w:t>
      </w:r>
      <w:r>
        <w:rPr>
          <w:spacing w:val="6"/>
          <w:sz w:val="22"/>
          <w:szCs w:val="22"/>
        </w:rPr>
        <w:t xml:space="preserve"> в соответствии с техническими условиями, выданными </w:t>
      </w:r>
      <w:r>
        <w:rPr>
          <w:spacing w:val="-2"/>
          <w:sz w:val="22"/>
          <w:szCs w:val="22"/>
        </w:rPr>
        <w:t>ТСО и согласованным с ней проектом.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2"/>
          <w:sz w:val="22"/>
          <w:szCs w:val="22"/>
        </w:rPr>
        <w:t>В</w:t>
      </w:r>
      <w:r>
        <w:rPr>
          <w:sz w:val="22"/>
          <w:szCs w:val="22"/>
        </w:rPr>
        <w:t xml:space="preserve"> случае не восстановления работы прибора учета в течение 2-х месяцев ТСО самостоятельно выполняет работы по ремонту (обслуживанию) прибора учета с последующим предъявлением понесенных затрат за выполненный объем работ. Потребитель обязан возместить затраты за выполненные работы в течение 30 дней с момента получения Акта выполненных работ от ТСО.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Незамедлительно в день обнаружения сообщать в диспетчерский пункт ТСО: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обнаружении утечек (ликвидации аварии);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 неисправностях в работе и механических повреждениях узла (прибора) учета;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 нарушениях целостности пломб и повреждении приборов узла (прибора) учета;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авариях, пожарах и иных нарушениях (в том числе и в случае обнаружения источника загрязнения теплоносителя), возникающих при эксплуатации систем теплопотребления Потребителя, узла (прибора) учета и автоматики;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изменении режимов теплопотребления.</w:t>
      </w:r>
    </w:p>
    <w:p>
      <w:pPr>
        <w:pStyle w:val="ListParagraph"/>
        <w:numPr>
          <w:ilvl w:val="2"/>
          <w:numId w:val="1"/>
        </w:numPr>
        <w:tabs>
          <w:tab w:val="left" w:pos="0" w:leader="none"/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При наличии автоматизированной системы дистанционного снятия показаний, принадлежащей Потребителю, предоставить ТСО доступ к данной системе для снятия показаний.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При снятии ТСО показаний приборов учета тепловой энергии и (или) теплоносителя, и (или) горячей воды с использованием автоматизированной системы дистанционного снятия показаний, принимать данные показания при расчетах за коммунальные ресурсы, потребленные в расчетном периоде.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В случае получения от ТСО сообщения о невозможности снятия показаний прибора учета с использованием автоматизированной системы дистанционного снятия показаний, предоставлять информацию о количестве потребленных коммунальных ресурсов за расчетный период в соответствии с настоящим договором.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При выявлении неисправностей в работе автоматизированной системы дистанционного снятия показаний незамедлительно извещать ТСО любым доступным способом, подтверждающим факт передачи информации.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Обеспечивать </w:t>
      </w:r>
      <w:r>
        <w:rPr>
          <w:sz w:val="22"/>
          <w:szCs w:val="22"/>
        </w:rPr>
        <w:t xml:space="preserve">(не чаще 1 раз в квартал) </w:t>
      </w:r>
      <w:r>
        <w:rPr>
          <w:spacing w:val="-1"/>
          <w:sz w:val="22"/>
          <w:szCs w:val="22"/>
        </w:rPr>
        <w:t xml:space="preserve">беспрепятственный доступ (при предварительном уведомлении </w:t>
      </w:r>
      <w:r>
        <w:rPr>
          <w:sz w:val="22"/>
          <w:szCs w:val="22"/>
        </w:rPr>
        <w:t>Потребителя) представителей ТСО к теплопотребляющим установкам и узлу (прибору) учета с целью проверки условий их эксплуатации и сохранности, снятия контрольных показаний, а также в любое время при несоблюдении режима потребления тепловой энергии и теплоносителя или подачи недостоверных показаний приборов учета.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предписания ТСО в отношении режима потребления тепловой энергии и теплоносителя, нести ответственность за сохранность, изоляцию сооружений, коммуникаций и тепловых установок, находящихся на территории Потребителя, но принадлежащих ТСО.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 xml:space="preserve">За самовольное подключение систем теплопотребления или подключение их до приборов учета оплачивать ТСО стоимость бездоговорного, безучетного потребления </w:t>
      </w:r>
      <w:r>
        <w:rPr>
          <w:sz w:val="22"/>
          <w:szCs w:val="22"/>
        </w:rPr>
        <w:t>тепловой энергии (мощности) и (или) теплоносителя</w:t>
      </w:r>
      <w:r>
        <w:rPr>
          <w:bCs/>
          <w:sz w:val="22"/>
          <w:szCs w:val="22"/>
        </w:rPr>
        <w:t>, рассчитанную в соответствии с нормативными документами, за период с даты предыдущей проверки, а при невозможности установить дату, за период исковой давности</w:t>
      </w:r>
      <w:r>
        <w:rPr>
          <w:bCs/>
          <w:sz w:val="22"/>
          <w:szCs w:val="22"/>
          <w:shd w:fill="FFFFFF" w:val="clear"/>
        </w:rPr>
        <w:t>, по цене, действующей</w:t>
      </w:r>
      <w:r>
        <w:rPr>
          <w:bCs/>
          <w:sz w:val="22"/>
          <w:szCs w:val="22"/>
          <w:shd w:fill="F2F2F2" w:val="clear"/>
        </w:rPr>
        <w:t xml:space="preserve"> на</w:t>
      </w:r>
      <w:r>
        <w:rPr>
          <w:bCs/>
          <w:sz w:val="22"/>
          <w:szCs w:val="22"/>
        </w:rPr>
        <w:t xml:space="preserve"> момент обнаружения факта бездоговорного, безучетного потребления.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выявления нарушения Потребителем режима потребления тепловой энергии (мощности) и (или) теплоносителя при условии отсутствия у Потребителя коммерческого учета тепловой энергии (мощности) и (или) теплоносителя, Потребитель обязан оплатить ТСО объем сверхдоговорного, бездоговорного, безучетного потребления в соответствии с действующим законодательством РФ.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началом каждого отопительного периода и после очередной поверки или ремонта приборов учета осуществлять проверку готовности узла учета к эксплуатации с составлением акта периодической проверки узла учета.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Вместе с отчетом о показаниях прибора учета Потребитель представляет данные о часовых и суточных значениях параметров в электронном виде (в одном из следующих форматов: .</w:t>
      </w:r>
      <w:r>
        <w:rPr>
          <w:sz w:val="22"/>
          <w:szCs w:val="22"/>
          <w:lang w:val="en-US"/>
        </w:rPr>
        <w:t>bin</w:t>
      </w:r>
      <w:r>
        <w:rPr>
          <w:sz w:val="22"/>
          <w:szCs w:val="22"/>
        </w:rPr>
        <w:t>, 7</w:t>
      </w:r>
      <w:r>
        <w:rPr>
          <w:sz w:val="22"/>
          <w:szCs w:val="22"/>
          <w:lang w:val="en-US"/>
        </w:rPr>
        <w:t>kt</w:t>
      </w:r>
      <w:r>
        <w:rPr>
          <w:sz w:val="22"/>
          <w:szCs w:val="22"/>
        </w:rPr>
        <w:t>, .</w:t>
      </w:r>
      <w:r>
        <w:rPr>
          <w:sz w:val="22"/>
          <w:szCs w:val="22"/>
          <w:lang w:val="en-US"/>
        </w:rPr>
        <w:t>dtt</w:t>
      </w:r>
      <w:r>
        <w:rPr>
          <w:sz w:val="22"/>
          <w:szCs w:val="22"/>
        </w:rPr>
        <w:t>, .</w:t>
      </w:r>
      <w:r>
        <w:rPr>
          <w:sz w:val="22"/>
          <w:szCs w:val="22"/>
          <w:lang w:val="en-US"/>
        </w:rPr>
        <w:t>np</w:t>
      </w:r>
      <w:r>
        <w:rPr>
          <w:sz w:val="22"/>
          <w:szCs w:val="22"/>
        </w:rPr>
        <w:t>3, .</w:t>
      </w:r>
      <w:r>
        <w:rPr>
          <w:sz w:val="22"/>
          <w:szCs w:val="22"/>
          <w:lang w:val="en-US"/>
        </w:rPr>
        <w:t>xls</w:t>
      </w:r>
      <w:r>
        <w:rPr>
          <w:sz w:val="22"/>
          <w:szCs w:val="22"/>
        </w:rPr>
        <w:t>, или на переносчике архивных данных), а также другие материалы и сведения, касающиеся организации и ведения учета потребления за текущий месяц (журнал учета тепловой энергии (мощности) и (или) теплоносителя, паспорта приборов, номер модема, показания приборов, нефиксируемых в архиве тепловычислителя и т.д.).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Своевременно производить плановый предупредительный ремонт, испытания теплопроводов, теплопотребляющего оборудования, запорной и регулирующей арматуры, согласовывая с ТСО объём, сроки и графики ремонта.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плановых отключениях, ремонтных, профилактических работах и других отключениях Потребитель обязан письменно уведомлять ТСО за 3 дня до начала работ.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включения и отключения объекта, не запланированного ТСО, возмещать расходы, связанные с включением и отключением объектов.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возмещает ТСО стоимость повышенного расхода тепловой энергии и теплоносителя, связанного с авариями и (или) технологическими отказами на сетях и во внутренних системах Потребителя, определенного на основании показаний приборов учета или по расчету ТСО по действующим ценам, определенным соглашением сторон в соответствии с законодательством РФ.</w:t>
      </w:r>
    </w:p>
    <w:p>
      <w:pPr>
        <w:pStyle w:val="ListParagraph"/>
        <w:numPr>
          <w:ilvl w:val="2"/>
          <w:numId w:val="1"/>
        </w:numPr>
        <w:ind w:left="0" w:hanging="0"/>
        <w:rPr/>
      </w:pPr>
      <w:r>
        <w:rPr>
          <w:sz w:val="22"/>
          <w:szCs w:val="22"/>
        </w:rPr>
        <w:t>Потребитель оплачивает тепловую энергию и теплоноситель по цене, определенной настоящим договором или соглашением сторон, а также возмещает ТСО затраты, связанные с частичным или полным невозвратом конденсата (затраты на воду и химводоподготовку), и (или) затраты, связанные с поступлением на источник тепловой энергии конденсата, качество которого не соответствует условиям договора.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внеплановом отключении подачи тепловой энергии и теплоносителя направлять заявку не позднее, чем за 10 дней до планируемой даты отключения, с последующим составлением акта об отключении между ТСО и Потребителем.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внеплановом отключении для повторного подключения обеспечить выполнение следующих условий: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наличие письменной заявки Потребителя;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оплата авансового счета согласно действующему законодательству РФ;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отсутствие дебиторской задолженности.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Не допускать в охранных зонах теплотрасс (паропровода) возведение построек, складирования материалов, посадки деревьев на расстоянии менее 5 м от теплопроводов, производства земляных работ без разрешения ТСО, а также нахождения людей в помещениях, по которым проходят магистральные теплопроводы.</w:t>
      </w:r>
    </w:p>
    <w:p>
      <w:pPr>
        <w:pStyle w:val="Normal"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При несоблюдении условий настоящего пункта Потребитель возмещает ТСО все убытки, причиненные неисполнением обязательств по договору в соответствии с действующим законодательством РФ.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Передавать тепловую энергию </w:t>
      </w:r>
      <w:r>
        <w:rPr>
          <w:sz w:val="22"/>
          <w:szCs w:val="22"/>
        </w:rPr>
        <w:t xml:space="preserve">и теплоноситель </w:t>
      </w:r>
      <w:r>
        <w:rPr>
          <w:bCs/>
          <w:sz w:val="22"/>
          <w:szCs w:val="22"/>
        </w:rPr>
        <w:t>субабонентам, присоединенным к сетям Потребителя, только с письменного разрешения ТСО после внесения соответствующих изменений в настоящий договор.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При отчуждении объектов (освобождении занимаемого помещения или прекращении деятельности):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за 30 дней направить письмо в ТСО о прекращении действия настоящего договора;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выезде из занимаемого помещения Потребитель обязан уплатить задолженность за полученную тепловую энергию и теплоноситель и представить ТСО 2-хсторонний акт передачи объекта теплопотребления новому Потребителю, оформленный надлежащим образом.</w:t>
      </w:r>
    </w:p>
    <w:p>
      <w:pPr>
        <w:pStyle w:val="ListParagraph"/>
        <w:numPr>
          <w:ilvl w:val="2"/>
          <w:numId w:val="1"/>
        </w:numPr>
        <w:ind w:left="0" w:hanging="0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В десятидневный срок с даты изменения уведомлять ТСО об изменении реквизитов, в том числе: своего местонахождения и (или) почтового адреса, банковских реквизитов, наименования, состава субабонентов, изменении режима теплопотребления, а также информации о ликвидации или отчуждении теплоиспользующих установок.</w:t>
      </w:r>
    </w:p>
    <w:p>
      <w:pPr>
        <w:pStyle w:val="ListParagraph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Потребитель имеет право: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 предварительного письменного согласия ТСО присоединять к своей сети субабонентов после реализации технических условий на присоединение дополнительной нагрузки.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Представлять заявки на изменение объема теплопотребления в порядке, предусмотренном п.22, гл.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Правил организации теплоснабжения в Российской Федерации, утвержденных Постановлением Правительства Российской Федерации от 08.08.2012 № 808. 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Заявки на корректировку объема в сторону увеличения рассматриваются ТСО при отсутствии дебиторской задолженности за потребленную тепловую энергию и теплоноситель.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Требовать поддержания показателей качества тепловой энергии и теплоносителя на границе раздела балансовой принадлежности тепловых сетей и эксплуатационной ответственности сторон в соответствии с настоящим </w:t>
      </w:r>
      <w:r>
        <w:rPr>
          <w:spacing w:val="-2"/>
          <w:sz w:val="22"/>
          <w:szCs w:val="22"/>
        </w:rPr>
        <w:t xml:space="preserve">договором. </w:t>
      </w:r>
    </w:p>
    <w:p>
      <w:pPr>
        <w:pStyle w:val="ListParagraph"/>
        <w:widowControl w:val="false"/>
        <w:suppressLineNumbers/>
        <w:ind w:left="0" w:firstLine="720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В случае отклонения параметров </w:t>
      </w:r>
      <w:r>
        <w:rPr>
          <w:sz w:val="22"/>
          <w:szCs w:val="22"/>
        </w:rPr>
        <w:t xml:space="preserve">тепловой энергии и теплоносителя </w:t>
      </w:r>
      <w:r>
        <w:rPr>
          <w:spacing w:val="-2"/>
          <w:sz w:val="22"/>
          <w:szCs w:val="22"/>
        </w:rPr>
        <w:t xml:space="preserve">от показателей качества, предусмотренных настоящим договором, стороны подписывают 2-х сторонний акт по результатам проверки параметров </w:t>
      </w:r>
      <w:r>
        <w:rPr>
          <w:sz w:val="22"/>
          <w:szCs w:val="22"/>
        </w:rPr>
        <w:t>тепловой энергии и теплоносителя в точке поставки.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1"/>
          <w:sz w:val="22"/>
          <w:szCs w:val="22"/>
        </w:rPr>
        <w:t xml:space="preserve">Пользоваться другими правами, предусмотренными настоящим договором </w:t>
      </w:r>
      <w:r>
        <w:rPr>
          <w:spacing w:val="-1"/>
          <w:sz w:val="22"/>
          <w:szCs w:val="22"/>
        </w:rPr>
        <w:t>и законодательством РФ.</w:t>
      </w:r>
    </w:p>
    <w:p>
      <w:pPr>
        <w:pStyle w:val="Normal"/>
        <w:widowControl w:val="false"/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УЧЕТА И ОПРЕДЕЛЕНИЯ ОБЪЕМА.</w:t>
      </w:r>
    </w:p>
    <w:p>
      <w:pPr>
        <w:pStyle w:val="ListParagraph"/>
        <w:widowControl w:val="false"/>
        <w:suppressAutoHyphens w:val="true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Учет отпускаемой тепловой энергии и теплоносителя производится в соответствии с </w:t>
      </w:r>
      <w:r>
        <w:rPr>
          <w:bCs/>
          <w:sz w:val="22"/>
          <w:szCs w:val="22"/>
        </w:rPr>
        <w:t>Постановлением Правительства РФ от 18 ноября 2013 г. № 1034 «О коммерческом учете тепловой энергии, теплоносителя»</w:t>
      </w:r>
      <w:r>
        <w:rPr>
          <w:sz w:val="22"/>
          <w:szCs w:val="22"/>
        </w:rPr>
        <w:t xml:space="preserve">.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При отсутствии прибора учета расчет величины потребленной тепловой энергии и теплоносителя, производится в соответствии с Методикой осуществления коммерческого учета тепловой энергии и теплоносителя, утвержденной Приказом Минстроя России от 17.03.2014 N 99/пр «Об утверждении Методики осуществления коммерческого учета тепловой энергии, теплоносителя» (Зарегистрировано в Минюсте России 12.09.2014 N 34040).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Величина потерь тепловой энергии и теплоносителя по тепловым сетям, принадлежащим Потребителю рассчитывается на основании Приказа Министерства энергетики РФ от 30.12.2008 № 325 «Об утверждении порядка определении нормативов технологических потерь при передаче тепловой энергии, теплоносителя», зарегистрированного в Минюсте России 16.03.2009 № 13513.</w:t>
      </w:r>
    </w:p>
    <w:p>
      <w:pPr>
        <w:pStyle w:val="ListParagraph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Учет принятой Потребителем тепловой энергии и теплоносителя осуществляется узлами (приборами) учета, установленными в точке учета и допущенными в эксплуатацию в качестве коммерческих в соответствии с требованиями Правил коммерческого учета тепловой энергии и теплоносителя. </w:t>
      </w:r>
    </w:p>
    <w:p>
      <w:pPr>
        <w:pStyle w:val="ListParagraph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При установке узла (прибора) учета тепловой энергии и теплоносителя не в точке поставки, количество учтенной тепловой энергии и теплоносителя увеличивается на величину потерь тепловой энергии и теплоносителя от места установки узла учета до границы раздела балансовой принадлежности сетей</w:t>
      </w:r>
      <w:r>
        <w:rPr>
          <w:spacing w:val="9"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Перечень точек учета и узлов учета тепловой энергии и теплоносителя, принадлежащих Потребителю, по которым производится расчет за потребленную тепловую энергию и теплоноситель, с указанием технических данных узлов (приборов) учета содержится в Приложении № 4.</w:t>
      </w:r>
    </w:p>
    <w:p>
      <w:pPr>
        <w:pStyle w:val="ListParagraph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Снятие показаний узла (прибора) учета производится ежемесячно </w:t>
      </w:r>
      <w:r>
        <w:rPr>
          <w:b/>
          <w:sz w:val="22"/>
          <w:szCs w:val="22"/>
        </w:rPr>
        <w:t>___ числа</w:t>
      </w:r>
      <w:r>
        <w:rPr>
          <w:sz w:val="22"/>
          <w:szCs w:val="22"/>
        </w:rPr>
        <w:t xml:space="preserve"> с составлением соответствующего акта. Срок снятия показаний прибора учета не должен превышать 48 часов со дня отчетного снятия показаний предыдущего месяца.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выхода из строя приборов учета расчет потребления тепловой энергии и теплоносителя ТСО производит в следующем порядке:</w:t>
      </w:r>
    </w:p>
    <w:p>
      <w:pPr>
        <w:pStyle w:val="ListParagraph"/>
        <w:numPr>
          <w:ilvl w:val="0"/>
          <w:numId w:val="8"/>
        </w:numPr>
        <w:ind w:left="585" w:hanging="159"/>
        <w:rPr>
          <w:sz w:val="22"/>
          <w:szCs w:val="22"/>
        </w:rPr>
      </w:pPr>
      <w:r>
        <w:rPr>
          <w:sz w:val="22"/>
          <w:szCs w:val="22"/>
        </w:rPr>
        <w:t xml:space="preserve">При неисправности приборов учета, истечении срока их  поверки, включая вывод из работы для ремонта или поверки </w:t>
      </w:r>
      <w:r>
        <w:rPr>
          <w:b/>
          <w:sz w:val="22"/>
          <w:szCs w:val="22"/>
          <w:u w:val="single"/>
        </w:rPr>
        <w:t>на срок до  15 суток</w:t>
      </w:r>
      <w:r>
        <w:rPr>
          <w:sz w:val="22"/>
          <w:szCs w:val="22"/>
        </w:rPr>
        <w:t>, в качестве базового показателя для расчета тепловой энергии и теплоносителя принимается среднесуточное количество тепловой энергии и теплоносителя, определенное по приборам учета за время штатной работы в  отчетный период при условии своевременного уведомления ТСО о выходе из строя приборов учета;</w:t>
      </w:r>
    </w:p>
    <w:p>
      <w:pPr>
        <w:pStyle w:val="ListParagraph"/>
        <w:numPr>
          <w:ilvl w:val="0"/>
          <w:numId w:val="8"/>
        </w:numPr>
        <w:ind w:left="585" w:hanging="159"/>
        <w:rPr>
          <w:sz w:val="22"/>
          <w:szCs w:val="22"/>
        </w:rPr>
      </w:pPr>
      <w:r>
        <w:rPr>
          <w:sz w:val="22"/>
          <w:szCs w:val="22"/>
        </w:rPr>
        <w:t xml:space="preserve">При отсутствии в точках учета приборов учета или работы приборов учета </w:t>
      </w:r>
      <w:r>
        <w:rPr>
          <w:b/>
          <w:sz w:val="22"/>
          <w:szCs w:val="22"/>
          <w:u w:val="single"/>
        </w:rPr>
        <w:t>более 15 суток</w:t>
      </w:r>
      <w:r>
        <w:rPr>
          <w:sz w:val="22"/>
          <w:szCs w:val="22"/>
        </w:rPr>
        <w:t xml:space="preserve"> расчетного периода определение количества тепловой энергии и теплоносителя, осуществляется расчетным путем (Приложение №1);</w:t>
      </w:r>
    </w:p>
    <w:p>
      <w:pPr>
        <w:pStyle w:val="ListParagraph"/>
        <w:numPr>
          <w:ilvl w:val="0"/>
          <w:numId w:val="8"/>
        </w:numPr>
        <w:ind w:left="585" w:hanging="159"/>
        <w:rPr>
          <w:sz w:val="22"/>
          <w:szCs w:val="22"/>
        </w:rPr>
      </w:pPr>
      <w:r>
        <w:rPr>
          <w:sz w:val="22"/>
          <w:szCs w:val="22"/>
        </w:rPr>
        <w:t>При нарушении сроков представления показаний приборов в  качестве среднесуточного показателя принимается количество тепловой энергии  и теплоносителя, определенное по приборам учета за предыдущий расчетный период.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7.7.</w:t>
      </w:r>
      <w:r>
        <w:rPr>
          <w:sz w:val="22"/>
          <w:szCs w:val="22"/>
        </w:rPr>
        <w:t xml:space="preserve"> Количество тепловой энергии и теплоносителя, отпущенные Потребителю за расчетный период, определяется расчетным путем согласно нагрузкам, приведенным в Приложении № 1 при отсутствии в точках поставки приборов учета.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РАСЧЕТОВ.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widowControl w:val="false"/>
        <w:numPr>
          <w:ilvl w:val="1"/>
          <w:numId w:val="1"/>
        </w:numPr>
        <w:suppressAutoHyphens w:val="true"/>
        <w:ind w:left="0" w:hanging="0"/>
        <w:rPr>
          <w:i/>
          <w:i/>
          <w:sz w:val="22"/>
          <w:szCs w:val="22"/>
        </w:rPr>
      </w:pPr>
      <w:r>
        <w:rPr>
          <w:sz w:val="22"/>
          <w:szCs w:val="22"/>
        </w:rPr>
        <w:t xml:space="preserve">Расчетным периодом по настоящему договору является один календарный месяц. </w:t>
      </w:r>
    </w:p>
    <w:p>
      <w:pPr>
        <w:pStyle w:val="ListParagraph"/>
        <w:numPr>
          <w:ilvl w:val="1"/>
          <w:numId w:val="1"/>
        </w:numPr>
        <w:ind w:left="709" w:hanging="709"/>
        <w:rPr>
          <w:b/>
          <w:b/>
          <w:sz w:val="22"/>
          <w:szCs w:val="22"/>
        </w:rPr>
      </w:pPr>
      <w:r>
        <w:rPr>
          <w:sz w:val="22"/>
          <w:szCs w:val="22"/>
        </w:rPr>
        <w:t>Потребитель оплачивает приобретенный объем тепловой энергии и теплоносителя в следующем порядке: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-</w:t>
        <w:tab/>
      </w:r>
      <w:r>
        <w:rPr>
          <w:rFonts w:eastAsia="Calibri"/>
          <w:b/>
          <w:sz w:val="22"/>
          <w:szCs w:val="22"/>
          <w:lang w:eastAsia="en-US"/>
        </w:rPr>
        <w:t>35 процентов</w:t>
      </w:r>
      <w:r>
        <w:rPr>
          <w:rFonts w:eastAsia="Calibri"/>
          <w:sz w:val="22"/>
          <w:szCs w:val="22"/>
          <w:lang w:eastAsia="en-US"/>
        </w:rPr>
        <w:t xml:space="preserve"> плановой общей стоимости тепловой энергии и теплоносителя, потребляемой в месяце, за который осуществляется оплата, вносится до 18-го числа текущего месяца, и 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</w:r>
      <w:r>
        <w:rPr>
          <w:rFonts w:eastAsia="Calibri"/>
          <w:b/>
          <w:sz w:val="22"/>
          <w:szCs w:val="22"/>
          <w:lang w:eastAsia="en-US"/>
        </w:rPr>
        <w:t>50 процентов</w:t>
      </w:r>
      <w:r>
        <w:rPr>
          <w:rFonts w:eastAsia="Calibri"/>
          <w:sz w:val="22"/>
          <w:szCs w:val="22"/>
          <w:lang w:eastAsia="en-US"/>
        </w:rPr>
        <w:t xml:space="preserve"> плановой общей стоимости тепловой энергии и теплоносителя, потребляемой в месяце, за который осуществляется оплата, вносится до истечения последнего числа текущего месяца;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  <w:t xml:space="preserve">оплата за фактически потребленную в истекшем месяце тепловую энергию и теплоноситель с учетом средств, ранее внесенных потребителем в качестве оплаты за тепловую энергию в расчетном периоде, осуществляется </w:t>
      </w:r>
      <w:r>
        <w:rPr>
          <w:rFonts w:eastAsia="Calibri"/>
          <w:b/>
          <w:sz w:val="22"/>
          <w:szCs w:val="22"/>
          <w:lang w:eastAsia="en-US"/>
        </w:rPr>
        <w:t>до 10-го числа</w:t>
      </w:r>
      <w:r>
        <w:rPr>
          <w:rFonts w:eastAsia="Calibri"/>
          <w:sz w:val="22"/>
          <w:szCs w:val="22"/>
          <w:lang w:eastAsia="en-US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теплоносителя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sz w:val="22"/>
          <w:szCs w:val="22"/>
        </w:rPr>
        <w:t>Плановая общая стоимость потребляемой тепловой энергии и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и теплоносителя в месяце, за который осуществляется оплата, и тарифа на тепловую энергию и теплоноситель или цены, определяемой по соглашению сторон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bCs/>
          <w:sz w:val="22"/>
          <w:szCs w:val="22"/>
        </w:rPr>
        <w:t xml:space="preserve">Расчет за тепловую энергию </w:t>
      </w:r>
      <w:r>
        <w:rPr>
          <w:sz w:val="22"/>
          <w:szCs w:val="22"/>
        </w:rPr>
        <w:t xml:space="preserve">и теплоноситель </w:t>
      </w:r>
      <w:r>
        <w:rPr>
          <w:bCs/>
          <w:sz w:val="22"/>
          <w:szCs w:val="22"/>
        </w:rPr>
        <w:t>производится платежными поручениями или другими формами расчетов, не запрещенными действующим законодательством</w:t>
      </w:r>
      <w:r>
        <w:rPr>
          <w:sz w:val="22"/>
          <w:szCs w:val="22"/>
        </w:rPr>
        <w:t xml:space="preserve"> РФ.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По окончании расчетного периода ТСО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 подписанным руководителем и скрепленным печатью, </w:t>
      </w:r>
      <w:r>
        <w:rPr>
          <w:sz w:val="22"/>
          <w:szCs w:val="22"/>
          <w:lang w:eastAsia="en-US"/>
        </w:rPr>
        <w:t>в адрес ТСО не позднее 5-ти рабочих дней с момента получения</w:t>
      </w:r>
      <w:r>
        <w:rPr>
          <w:color w:val="000000"/>
          <w:sz w:val="22"/>
          <w:szCs w:val="22"/>
          <w:lang w:eastAsia="en-US"/>
        </w:rPr>
        <w:t>. В случае н</w:t>
      </w:r>
      <w:r>
        <w:rPr>
          <w:rFonts w:eastAsia="Calibri"/>
          <w:color w:val="000000"/>
          <w:sz w:val="22"/>
          <w:szCs w:val="22"/>
          <w:lang w:eastAsia="en-US"/>
        </w:rPr>
        <w:t xml:space="preserve">евозврата </w:t>
      </w:r>
      <w:r>
        <w:rPr>
          <w:color w:val="000000"/>
          <w:sz w:val="22"/>
          <w:szCs w:val="22"/>
        </w:rPr>
        <w:t>Потребителем</w:t>
      </w:r>
      <w:r>
        <w:rPr>
          <w:rFonts w:eastAsia="Calibri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color w:val="000000"/>
          <w:sz w:val="22"/>
          <w:szCs w:val="22"/>
        </w:rPr>
        <w:t>Акт считается принятым, объемы энергоресурсов согласованными</w:t>
      </w:r>
      <w:r>
        <w:rPr>
          <w:sz w:val="22"/>
          <w:szCs w:val="22"/>
          <w:lang w:eastAsia="en-US"/>
        </w:rPr>
        <w:t>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частичного отказа от объема потребления тепловой энергии и теплоносителя, указанного в Акте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Потребитель обязан оплатить стоимость неоспариваемой части потребления в срок, установленный настоящим договором и направить в ТСО обоснованный отказ от оплаты оспариваемой части объема потребления.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если Потребитель не направил в адрес ТСО обоснования своего отказа в течение 5-ти рабочих дней с момента получения Акта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претензии по объему и качеству не принимаются. 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Порядок оплаты оспариваемой части определяется соглашением сторон, а в случае не достижения такого соглашения – в судебном порядке.</w:t>
      </w:r>
    </w:p>
    <w:p>
      <w:pPr>
        <w:pStyle w:val="Normal"/>
        <w:suppressAutoHyphens w:val="true"/>
        <w:ind w:left="0" w:firstLine="720"/>
        <w:rPr>
          <w:sz w:val="22"/>
          <w:szCs w:val="22"/>
        </w:rPr>
      </w:pPr>
      <w:r>
        <w:rPr>
          <w:sz w:val="22"/>
          <w:szCs w:val="22"/>
        </w:rPr>
        <w:t>Размер оспариваемых обязательств по оплате определяется Сторонами путём переговоров, а в случае не достижения согласия – в судебном порядке.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/>
      </w:pPr>
      <w:r>
        <w:rPr>
          <w:sz w:val="22"/>
          <w:szCs w:val="22"/>
        </w:rPr>
        <w:t xml:space="preserve">При оплате стоимости потребленной тепловой энергии и теплоносителя платежными поручениями Потребитель обязательно в поле «назначение платежа» указывает: оплата по договору </w:t>
      </w:r>
      <w:r>
        <w:rPr>
          <w:b/>
          <w:sz w:val="22"/>
          <w:szCs w:val="22"/>
        </w:rPr>
        <w:t>№ ______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от ________</w:t>
      </w:r>
      <w:r>
        <w:rPr>
          <w:sz w:val="22"/>
          <w:szCs w:val="22"/>
        </w:rPr>
        <w:t xml:space="preserve"> за тепловую энергию и теплоноситель, номер и дату счета-фактуры или счета, период за который производится оплата. В случае отсутствия в платежном поручении назначения платежа полученная сумма направляется ТСО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Для изменения назначения платежа требуется обязательное письменное согласие обеих сторон</w:t>
      </w:r>
      <w:r>
        <w:rPr>
          <w:sz w:val="22"/>
          <w:szCs w:val="22"/>
        </w:rPr>
        <w:t xml:space="preserve">. 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Обязательство по оплате считается исполненным в день поступления денежных</w:t>
      </w:r>
      <w:r>
        <w:rPr>
          <w:sz w:val="22"/>
          <w:szCs w:val="22"/>
        </w:rPr>
        <w:t xml:space="preserve"> средств на расчетный счет ТСО. 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Стороны обязуются ежеквартально проводить сверку взаимных расчетов с составлением Акта сверки. ТСО по истечении квартала направляет Потребителю оформленный со своей стороны Акт сверки. Потребитель обязан в течение 10 дней с момента получения рассмотреть Акт сверки, подписать и направить один экземпляр ТСО. </w:t>
      </w:r>
    </w:p>
    <w:p>
      <w:pPr>
        <w:pStyle w:val="ListParagraph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36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9. ОТВЕТСТВЕННОСТЬ СТОРОН.</w:t>
      </w:r>
    </w:p>
    <w:p>
      <w:pPr>
        <w:pStyle w:val="Normal"/>
        <w:ind w:left="36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9.1.</w:t>
      </w:r>
      <w:r>
        <w:rPr>
          <w:rFonts w:eastAsia="Calibri"/>
          <w:sz w:val="22"/>
          <w:szCs w:val="22"/>
          <w:lang w:eastAsia="en-US"/>
        </w:rPr>
        <w:t xml:space="preserve"> Стороны несут ответственность за неисполнение или ненадлежащее исполнение обязательств по настоящему договору, в случаях и порядке, определенных законодательством Российской Федерации и настоящим договором, в том числе за нарушение порядка полного и (или) частичного ограничения режима потребления. </w:t>
      </w:r>
    </w:p>
    <w:p>
      <w:pPr>
        <w:pStyle w:val="Normal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 нарушение обязательств по настоящему договору (в том числе за несоблюдение требований к параметрам качества теплоснабжения, нарушение режима потребления тепловой энергии и теплоносителя, за нарушение условий о количестве, качестве и значениях термодинамических параметров возвращаемого теплоносителя, Стороны несут ответственность в соответствии с законодательством РФ.</w:t>
      </w:r>
    </w:p>
    <w:p>
      <w:pPr>
        <w:pStyle w:val="ListParagraph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9.3.</w:t>
      </w:r>
      <w:r>
        <w:rPr>
          <w:rFonts w:eastAsia="Calibri"/>
          <w:sz w:val="22"/>
          <w:szCs w:val="22"/>
          <w:lang w:eastAsia="en-US"/>
        </w:rPr>
        <w:t xml:space="preserve"> ТСО несет ответственность за нарушение условий поставки, в том числе надежности качества тепловой энергии</w:t>
      </w: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и </w:t>
      </w:r>
      <w:r>
        <w:rPr>
          <w:sz w:val="22"/>
          <w:szCs w:val="22"/>
        </w:rPr>
        <w:t>теплоносителя до точек раздела границ,</w:t>
      </w:r>
      <w:r>
        <w:rPr>
          <w:spacing w:val="-1"/>
          <w:sz w:val="22"/>
          <w:szCs w:val="22"/>
        </w:rPr>
        <w:t xml:space="preserve"> определенных в Актах разграничения балансовой принадлежности тепловых сетей</w:t>
      </w:r>
      <w:r>
        <w:rPr>
          <w:rFonts w:eastAsia="Calibri"/>
          <w:sz w:val="22"/>
          <w:szCs w:val="22"/>
          <w:lang w:eastAsia="en-US"/>
        </w:rPr>
        <w:t>. Потребитель несет ответственность за нарушение порядка оплаты.</w:t>
      </w:r>
    </w:p>
    <w:p>
      <w:pPr>
        <w:pStyle w:val="Normal"/>
        <w:widowControl w:val="false"/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9.4.</w:t>
      </w:r>
      <w:r>
        <w:rPr>
          <w:rFonts w:eastAsia="Calibri"/>
          <w:sz w:val="22"/>
          <w:szCs w:val="22"/>
          <w:lang w:eastAsia="en-US"/>
        </w:rPr>
        <w:t xml:space="preserve"> Т</w:t>
      </w:r>
      <w:r>
        <w:rPr>
          <w:sz w:val="22"/>
          <w:szCs w:val="22"/>
        </w:rPr>
        <w:t xml:space="preserve">СО не несет ответственности за недоотпуск </w:t>
      </w:r>
      <w:r>
        <w:rPr>
          <w:spacing w:val="5"/>
          <w:sz w:val="22"/>
          <w:szCs w:val="22"/>
        </w:rPr>
        <w:t>тепловой энергии</w:t>
      </w: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>и теплоносителя</w:t>
      </w:r>
      <w:r>
        <w:rPr>
          <w:sz w:val="22"/>
          <w:szCs w:val="22"/>
        </w:rPr>
        <w:t xml:space="preserve">, </w:t>
      </w:r>
      <w:r>
        <w:rPr>
          <w:spacing w:val="5"/>
          <w:sz w:val="22"/>
          <w:szCs w:val="22"/>
        </w:rPr>
        <w:t xml:space="preserve">произошедший по вине Потребителя (субабонентов), или вызванный </w:t>
      </w:r>
      <w:r>
        <w:rPr>
          <w:spacing w:val="2"/>
          <w:sz w:val="22"/>
          <w:szCs w:val="22"/>
        </w:rPr>
        <w:t xml:space="preserve">стихийным явлением, или ненадлежащим исполнением Потребителем своих обязательств, </w:t>
      </w:r>
      <w:r>
        <w:rPr>
          <w:sz w:val="22"/>
          <w:szCs w:val="22"/>
        </w:rPr>
        <w:t>предусмотренных настоящим договором или действующим законодательством РФ.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9.5.</w:t>
      </w:r>
      <w:r>
        <w:rPr>
          <w:sz w:val="22"/>
          <w:szCs w:val="22"/>
        </w:rPr>
        <w:t xml:space="preserve"> Потребитель несёт ответственность за предоставление недостоверных исходных данных, используемых ТСО при расчётах потребления тепловой энергии </w:t>
      </w:r>
      <w:r>
        <w:rPr>
          <w:rFonts w:eastAsia="Calibri"/>
          <w:sz w:val="22"/>
          <w:szCs w:val="22"/>
          <w:lang w:eastAsia="en-US"/>
        </w:rPr>
        <w:t>и теплоносителя</w:t>
      </w:r>
      <w:r>
        <w:rPr>
          <w:sz w:val="22"/>
          <w:szCs w:val="22"/>
        </w:rPr>
        <w:t xml:space="preserve"> и возмещает ТСО разницу в потреблении за весь период в пределах срока исковой давности.</w:t>
      </w:r>
    </w:p>
    <w:p>
      <w:pPr>
        <w:pStyle w:val="ListParagraph"/>
        <w:ind w:left="0" w:hanging="0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9.6.</w:t>
      </w:r>
      <w:r>
        <w:rPr>
          <w:sz w:val="22"/>
          <w:szCs w:val="22"/>
        </w:rPr>
        <w:t xml:space="preserve"> Потребитель несёт ответственность за невозврат конденсата и возмещает Теплоснабжающей организации убытки в размере понесённых ею затрат на добавочную воду питания паровых котлов, соответствующую объёму невозвращенного конденсата, при этом возврат конденсата не соответствующего качества приравнивается к невозврату конденсата.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9.7.</w:t>
      </w:r>
      <w:r>
        <w:rPr>
          <w:sz w:val="22"/>
          <w:szCs w:val="22"/>
        </w:rPr>
        <w:t xml:space="preserve"> Потребитель несет ответственность за умышленный вывод из строя прибора учета или иное воздействие на прибор с целью искажения его показаний. При обнаружении данного факта производится перерасчет в соответствии с нормативными документами с даты вмешательства в работу прибора, а при невозможности установить дату – с даты предыдущей проверки, по цене, согласованной на момент обнаружения факта умышленного вывода из строя прибора учета или воздействия на прибор с целью искажения его показаний.</w:t>
      </w:r>
    </w:p>
    <w:p>
      <w:pPr>
        <w:pStyle w:val="Normal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9.8.</w:t>
      </w:r>
      <w:r>
        <w:rPr>
          <w:rFonts w:eastAsia="Calibri"/>
          <w:sz w:val="22"/>
          <w:szCs w:val="22"/>
          <w:lang w:eastAsia="en-US"/>
        </w:rPr>
        <w:t xml:space="preserve"> В случае несвоевременной и (или) неполной оплаты тепловой энергии и теплоносителя по настоящему договору Потребитель несет ответственность, предусмотренную действующим законодательством.</w:t>
      </w:r>
    </w:p>
    <w:p>
      <w:pPr>
        <w:pStyle w:val="Normal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9.9.</w:t>
      </w:r>
      <w:r>
        <w:rPr>
          <w:sz w:val="22"/>
          <w:szCs w:val="22"/>
        </w:rPr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>
      <w:pPr>
        <w:pStyle w:val="Normal"/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9.10.</w:t>
      </w:r>
      <w:r>
        <w:rPr>
          <w:sz w:val="22"/>
          <w:szCs w:val="22"/>
        </w:rPr>
        <w:t xml:space="preserve"> Уплата неустоек за просрочку, неисполнение или ненадлежащее исполнение обязательств по настоящему договору, а также возмещение убытков, причиненных ненадлежащим исполнением обязательств, не освобождает Стороны от исполнения обязательств по договору.</w:t>
      </w:r>
    </w:p>
    <w:p>
      <w:pPr>
        <w:pStyle w:val="ListParagraph"/>
        <w:numPr>
          <w:ilvl w:val="1"/>
          <w:numId w:val="2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Все споры и разногласия, возникающие в связи с исполнением, заключением и расторжением настоящего договора, разрешаются сторонами в досудебном порядке, в случае недостижения согласия подлежат разрешению в Арбитражном суде Камчатского края или суде общей юрисдикции, в зависимости от подсудности. Каждая из Сторон имеет право обратиться с заявлением об урегулировании разногласий, возникших при заключении, изменении настоящего договора </w:t>
      </w:r>
      <w:r>
        <w:rPr>
          <w:sz w:val="22"/>
          <w:szCs w:val="22"/>
        </w:rPr>
        <w:t>после принятия мер по досудебному урегулированию по истечении десяти календарных дней со дня направления претензии (требования)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ListParagraph"/>
        <w:numPr>
          <w:ilvl w:val="1"/>
          <w:numId w:val="2"/>
        </w:numPr>
        <w:suppressAutoHyphens w:val="true"/>
        <w:ind w:left="0" w:hanging="0"/>
        <w:rPr>
          <w:sz w:val="22"/>
          <w:szCs w:val="22"/>
        </w:rPr>
      </w:pPr>
      <w:r>
        <w:rPr>
          <w:spacing w:val="1"/>
          <w:sz w:val="22"/>
          <w:szCs w:val="22"/>
        </w:rPr>
        <w:t>Перечень должностных лиц, имеющих право проведения переговоров по качеству и количеству тепловой энергии</w:t>
      </w: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>и теплоносителя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снятия показаний приборов учета, а также по вопросам взаимных </w:t>
      </w:r>
      <w:r>
        <w:rPr>
          <w:sz w:val="22"/>
          <w:szCs w:val="22"/>
        </w:rPr>
        <w:t>обязательств, приведен в Приложении № 3.</w:t>
      </w:r>
    </w:p>
    <w:p>
      <w:pPr>
        <w:pStyle w:val="ListParagraph"/>
        <w:numPr>
          <w:ilvl w:val="1"/>
          <w:numId w:val="2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>
        <w:rPr>
          <w:rFonts w:eastAsia="Calibri"/>
          <w:sz w:val="22"/>
          <w:szCs w:val="22"/>
          <w:lang w:eastAsia="en-US"/>
        </w:rPr>
        <w:t>договору</w:t>
      </w:r>
      <w:r>
        <w:rPr>
          <w:sz w:val="22"/>
          <w:szCs w:val="22"/>
        </w:rPr>
        <w:t xml:space="preserve">, если это явилось следствием обстоятельств непреодолимой силы, возникших после заключения </w:t>
      </w:r>
      <w:r>
        <w:rPr>
          <w:rFonts w:eastAsia="Calibri"/>
          <w:sz w:val="22"/>
          <w:szCs w:val="22"/>
          <w:lang w:eastAsia="en-US"/>
        </w:rPr>
        <w:t>договора</w:t>
      </w:r>
      <w:r>
        <w:rPr>
          <w:sz w:val="22"/>
          <w:szCs w:val="22"/>
        </w:rPr>
        <w:t xml:space="preserve">, как-то: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</w:t>
      </w:r>
      <w:r>
        <w:rPr>
          <w:rFonts w:eastAsia="Calibri"/>
          <w:sz w:val="22"/>
          <w:szCs w:val="22"/>
          <w:lang w:eastAsia="en-US"/>
        </w:rPr>
        <w:t>договора</w:t>
      </w:r>
      <w:r>
        <w:rPr>
          <w:sz w:val="22"/>
          <w:szCs w:val="22"/>
        </w:rPr>
        <w:t>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ListParagraph"/>
        <w:ind w:left="357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10. СРОК ДЕЙСТВИЯ ДОГОВОРА.</w:t>
      </w:r>
    </w:p>
    <w:p>
      <w:pPr>
        <w:pStyle w:val="Normal"/>
        <w:ind w:left="36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/>
      </w:pPr>
      <w:r>
        <w:rPr>
          <w:b/>
          <w:sz w:val="22"/>
          <w:szCs w:val="22"/>
        </w:rPr>
        <w:t>10.1.</w:t>
      </w:r>
      <w:r>
        <w:rPr>
          <w:sz w:val="22"/>
          <w:szCs w:val="22"/>
        </w:rPr>
        <w:t xml:space="preserve"> Договор вступает в силу с момента подписания, действует с____________ 20__ года по 31 декабря 20_ года включительно и считается продленным на каждый следующий календарный год и на тех же условиях, если за 1 (один) месяц до окончания срока его действия ни одна из сторон не заявит о его прекращении или изменении, либо о заключении договора на иных условиях. 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>
          <w:sz w:val="22"/>
          <w:szCs w:val="22"/>
        </w:rPr>
      </w:pPr>
      <w:r>
        <w:rPr>
          <w:b/>
          <w:sz w:val="22"/>
          <w:szCs w:val="22"/>
        </w:rPr>
        <w:t>10.2.</w:t>
      </w:r>
      <w:r>
        <w:rPr>
          <w:sz w:val="22"/>
          <w:szCs w:val="22"/>
        </w:rPr>
        <w:t xml:space="preserve"> Если одной из сторон до окончания срока действия договора внесено предложение об изменении или 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>заключении нового договора, то отношения сторон до заключения нового договора регулируются в соответствии с условиями ранее заключенного договора.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>
          <w:sz w:val="22"/>
          <w:szCs w:val="22"/>
        </w:rPr>
      </w:pPr>
      <w:r>
        <w:rPr>
          <w:b/>
          <w:sz w:val="22"/>
          <w:szCs w:val="22"/>
        </w:rPr>
        <w:t>10.3.</w:t>
      </w:r>
      <w:r>
        <w:rPr>
          <w:sz w:val="22"/>
          <w:szCs w:val="22"/>
        </w:rPr>
        <w:t xml:space="preserve"> Настоящий договор может быть расторгнут ТСО в случае неоднократного нарушения Потребителем 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>сроков оплаты по настоящему договору с момента получения Потребителем уведомления об одностороннем отказе от исполнения договора, если иной срок расторжения не предусмотрен в уведомлении.</w:t>
      </w:r>
    </w:p>
    <w:p>
      <w:pPr>
        <w:pStyle w:val="ListParagraph"/>
        <w:ind w:left="357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2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ПРИЛОЖЕНИЯ.</w:t>
      </w:r>
    </w:p>
    <w:p>
      <w:pPr>
        <w:pStyle w:val="ListParagraph"/>
        <w:ind w:left="357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40"/>
        <w:tblW w:w="93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980"/>
        <w:gridCol w:w="7375"/>
      </w:tblGrid>
      <w:tr>
        <w:trPr>
          <w:trHeight w:val="369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firstLine="34"/>
              <w:jc w:val="left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Приложение № 1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firstLine="34"/>
              <w:jc w:val="left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Договорный объем потребления тепловой энергии и теплоносителя.</w:t>
            </w:r>
          </w:p>
        </w:tc>
      </w:tr>
      <w:tr>
        <w:trPr>
          <w:trHeight w:val="51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firstLine="34"/>
              <w:jc w:val="left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Приложение № 2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firstLine="34"/>
              <w:jc w:val="left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Акт разграничения балансовой принадлежности тепловых сетей и эксплуатационной ответственности сторон.</w:t>
            </w:r>
          </w:p>
        </w:tc>
      </w:tr>
      <w:tr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firstLine="34"/>
              <w:jc w:val="left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Приложение № 3</w:t>
            </w:r>
          </w:p>
          <w:p>
            <w:pPr>
              <w:pStyle w:val="Normal"/>
              <w:ind w:left="0" w:firstLine="34"/>
              <w:jc w:val="left"/>
              <w:rPr>
                <w:rFonts w:ascii="Times New Roman" w:hAnsi="Times New Roman" w:eastAsia="Calibri" w:cs="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cs="" w:eastAsiaTheme="minorHAnsi" w:ascii="Times New Roman" w:hAnsi="Times New Roman"/>
                <w:sz w:val="22"/>
                <w:szCs w:val="22"/>
                <w:lang w:eastAsia="en-US"/>
              </w:rPr>
            </w:r>
          </w:p>
          <w:p>
            <w:pPr>
              <w:pStyle w:val="Normal"/>
              <w:ind w:left="0" w:firstLine="34"/>
              <w:jc w:val="left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Приложение № 4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ind w:left="0" w:hanging="0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Сведения об уполномоченных должностных лицах сторон, ответственных за выполнение условий договора.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4" w:firstLine="34"/>
              <w:jc w:val="left"/>
              <w:outlineLvl w:val="2"/>
              <w:rPr>
                <w:rFonts w:ascii="Times New Roman" w:hAnsi="Times New Roman" w:cs=""/>
                <w:sz w:val="22"/>
                <w:szCs w:val="22"/>
              </w:rPr>
            </w:pPr>
            <w:r>
              <w:rPr>
                <w:rFonts w:eastAsia="Calibri" w:cs="" w:ascii="Times New Roman" w:hAnsi="Times New Roman" w:eastAsiaTheme="minorHAnsi"/>
                <w:sz w:val="22"/>
                <w:szCs w:val="22"/>
                <w:lang w:eastAsia="en-US"/>
              </w:rPr>
              <w:t>Перечень точек учета и узлов учета тепловой энергии и теплоносителя у Потребителя.</w:t>
            </w:r>
          </w:p>
        </w:tc>
      </w:tr>
    </w:tbl>
    <w:p>
      <w:pPr>
        <w:pStyle w:val="Normal"/>
        <w:ind w:left="0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numPr>
          <w:ilvl w:val="0"/>
          <w:numId w:val="2"/>
        </w:numPr>
        <w:ind w:left="357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СТОРОН.</w:t>
      </w:r>
    </w:p>
    <w:p>
      <w:pPr>
        <w:pStyle w:val="ListParagraph"/>
        <w:ind w:left="357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949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528"/>
        <w:gridCol w:w="3969"/>
      </w:tblGrid>
      <w:tr>
        <w:trPr>
          <w:trHeight w:val="3745" w:hRule="atLeast"/>
        </w:trPr>
        <w:tc>
          <w:tcPr>
            <w:tcW w:w="5528" w:type="dxa"/>
            <w:tcBorders/>
            <w:shd w:color="auto" w:fill="auto" w:val="clear"/>
          </w:tcPr>
          <w:p>
            <w:pPr>
              <w:pStyle w:val="Normal"/>
              <w:ind w:left="0" w:right="255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>
              <w:rPr>
                <w:b/>
                <w:sz w:val="22"/>
                <w:szCs w:val="22"/>
              </w:rPr>
              <w:t>Теплоснабжающая организация</w:t>
            </w:r>
          </w:p>
          <w:p>
            <w:pPr>
              <w:pStyle w:val="Normal"/>
              <w:ind w:left="0" w:right="255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Style15"/>
              <w:spacing w:lineRule="auto" w:line="240"/>
              <w:ind w:right="310" w:hanging="0"/>
              <w:rPr/>
            </w:pPr>
            <w:bookmarkStart w:id="0" w:name="__DdeLink__1218_587274678"/>
            <w:r>
              <w:rPr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9"/>
                <w:sz w:val="22"/>
                <w:szCs w:val="22"/>
              </w:rPr>
              <w:t>kamenergo@rushydro.ru</w:t>
            </w:r>
          </w:p>
          <w:p>
            <w:pPr>
              <w:pStyle w:val="Style15"/>
              <w:spacing w:lineRule="auto" w:line="240"/>
              <w:ind w:left="0" w:right="255" w:hanging="0"/>
              <w:rPr/>
            </w:pPr>
            <w:bookmarkStart w:id="1" w:name="__DdeLink__1218_587274678"/>
            <w:r>
              <w:rPr>
                <w:b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3">
              <w:bookmarkEnd w:id="1"/>
              <w:r>
                <w:rPr>
                  <w:rStyle w:val="Style9"/>
                  <w:b/>
                  <w:sz w:val="22"/>
                  <w:szCs w:val="22"/>
                </w:rPr>
                <w:t>www.kamenergo.ru</w:t>
              </w:r>
            </w:hyperlink>
          </w:p>
        </w:tc>
        <w:tc>
          <w:tcPr>
            <w:tcW w:w="3969" w:type="dxa"/>
            <w:tcBorders/>
            <w:shd w:color="auto" w:fill="auto" w:val="clear"/>
          </w:tcPr>
          <w:p>
            <w:pPr>
              <w:pStyle w:val="Normal"/>
              <w:ind w:left="7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Потребитель</w:t>
            </w:r>
          </w:p>
          <w:p>
            <w:pPr>
              <w:pStyle w:val="103"/>
              <w:rPr/>
            </w:pPr>
            <w:r>
              <w:rPr>
                <w:b w:val="false"/>
                <w:color w:val="00000A"/>
                <w:sz w:val="22"/>
                <w:szCs w:val="22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Телефон_________________________</w:t>
            </w:r>
          </w:p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Факс____________________________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ОКВЭД 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____________________________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Р/счет ___________________________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____________________________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Режим налогообложения_________________</w:t>
            </w:r>
          </w:p>
        </w:tc>
      </w:tr>
      <w:tr>
        <w:trPr>
          <w:trHeight w:val="675" w:hRule="atLeast"/>
        </w:trPr>
        <w:tc>
          <w:tcPr>
            <w:tcW w:w="5528" w:type="dxa"/>
            <w:tcBorders/>
            <w:shd w:color="auto" w:fill="auto" w:val="clear"/>
          </w:tcPr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_________________/___________________/ </w:t>
            </w:r>
          </w:p>
          <w:p>
            <w:pPr>
              <w:pStyle w:val="Normal"/>
              <w:ind w:left="0" w:right="255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«___»______________20___года</w:t>
            </w:r>
          </w:p>
        </w:tc>
        <w:tc>
          <w:tcPr>
            <w:tcW w:w="3969" w:type="dxa"/>
            <w:tcBorders/>
            <w:shd w:color="auto" w:fill="auto" w:val="clear"/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__________________/_______________/</w:t>
            </w:r>
          </w:p>
          <w:p>
            <w:pPr>
              <w:pStyle w:val="Normal"/>
              <w:ind w:left="0" w:hanging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м.п.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«___»_______________20___ года</w:t>
            </w:r>
          </w:p>
        </w:tc>
      </w:tr>
    </w:tbl>
    <w:p>
      <w:pPr>
        <w:pStyle w:val="Normal"/>
        <w:ind w:left="0" w:hanging="0"/>
        <w:jc w:val="right"/>
        <w:rPr>
          <w:b/>
          <w:b/>
          <w:sz w:val="23"/>
          <w:szCs w:val="23"/>
        </w:rPr>
      </w:pPr>
      <w:r>
        <w:rPr/>
      </w:r>
      <w:r>
        <w:br w:type="page"/>
      </w:r>
    </w:p>
    <w:p>
      <w:pPr>
        <w:pStyle w:val="Normal"/>
        <w:ind w:left="0" w:hanging="0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Приложение № 3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ind w:left="9072" w:hanging="9072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 договору теплоснабжения </w:t>
      </w:r>
    </w:p>
    <w:p>
      <w:pPr>
        <w:pStyle w:val="Normal"/>
        <w:jc w:val="right"/>
        <w:rPr>
          <w:sz w:val="23"/>
          <w:szCs w:val="23"/>
        </w:rPr>
      </w:pPr>
      <w:r>
        <w:rPr>
          <w:rStyle w:val="125"/>
          <w:color w:val="00000A"/>
          <w:sz w:val="23"/>
          <w:szCs w:val="23"/>
        </w:rPr>
        <w:t>№ </w:t>
      </w:r>
      <w:r>
        <w:rPr>
          <w:rStyle w:val="125"/>
          <w:color w:val="00000A"/>
          <w:sz w:val="23"/>
          <w:szCs w:val="23"/>
        </w:rPr>
        <w:t>________</w:t>
      </w:r>
      <w:r>
        <w:rPr>
          <w:b/>
          <w:sz w:val="23"/>
          <w:szCs w:val="23"/>
        </w:rPr>
        <w:t xml:space="preserve"> от _</w:t>
      </w:r>
      <w:r>
        <w:rPr>
          <w:b/>
          <w:color w:val="3107A9"/>
          <w:sz w:val="23"/>
          <w:szCs w:val="23"/>
        </w:rPr>
        <w:t>_______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Сведения об уполномоченных должностных лицах сторон, ответственных за выполнение условий договора</w:t>
      </w:r>
    </w:p>
    <w:p>
      <w:pPr>
        <w:pStyle w:val="Normal"/>
        <w:ind w:left="0" w:hanging="0"/>
        <w:rPr>
          <w:iCs/>
          <w:color w:val="0000FF"/>
          <w:sz w:val="22"/>
          <w:szCs w:val="22"/>
        </w:rPr>
      </w:pPr>
      <w:r>
        <w:rPr>
          <w:sz w:val="22"/>
          <w:szCs w:val="22"/>
        </w:rPr>
        <w:tab/>
      </w:r>
      <w:r>
        <w:rPr>
          <w:iCs/>
          <w:sz w:val="22"/>
          <w:szCs w:val="22"/>
        </w:rPr>
        <w:t>ТСО</w:t>
      </w:r>
      <w:r>
        <w:rPr>
          <w:iCs/>
          <w:color w:val="0000FF"/>
          <w:sz w:val="22"/>
          <w:szCs w:val="22"/>
        </w:rPr>
        <w:t>:</w:t>
      </w:r>
    </w:p>
    <w:tbl>
      <w:tblPr>
        <w:tblW w:w="9243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3724"/>
        <w:gridCol w:w="5518"/>
      </w:tblGrid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Телефон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rPr/>
            </w:pPr>
            <w:r>
              <w:rPr>
                <w:sz w:val="21"/>
                <w:szCs w:val="21"/>
              </w:rPr>
              <w:t>Начальник управления ИСУ и дополнительных услу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hanging="0"/>
              <w:jc w:val="left"/>
              <w:rPr/>
            </w:pPr>
            <w:r>
              <w:rPr>
                <w:sz w:val="21"/>
                <w:szCs w:val="21"/>
              </w:rPr>
              <w:t>8 (415 2) 299-351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 8 (415 31) 6-12-69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Елизовское отделение </w:t>
            </w:r>
            <w:r>
              <w:rPr>
                <w:color w:val="212529"/>
                <w:sz w:val="21"/>
                <w:szCs w:val="21"/>
              </w:rPr>
              <w:t>(41531) 6-14-30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Экономисты по договорной работе 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29-49-05 (внебюджет)</w:t>
            </w:r>
          </w:p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29-49-21 (бюджет)</w:t>
            </w:r>
          </w:p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299-345 Дрогайцева Наталья Анатольевна </w:t>
            </w:r>
            <w:hyperlink r:id="rId4">
              <w:r>
                <w:rPr>
                  <w:rStyle w:val="Style9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490-489 Мохова Наталья Витальевна  </w:t>
            </w:r>
            <w:hyperlink r:id="rId5">
              <w:r>
                <w:rPr>
                  <w:rStyle w:val="Style9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Елизовское отделение  8 (415 31) </w:t>
            </w:r>
            <w:r>
              <w:rPr>
                <w:sz w:val="21"/>
                <w:szCs w:val="21"/>
              </w:rPr>
              <w:t xml:space="preserve">7-15-90 Балан Евгений Валерьевич </w:t>
            </w:r>
            <w:hyperlink r:id="rId6">
              <w:r>
                <w:rPr>
                  <w:rStyle w:val="Style9"/>
                  <w:sz w:val="21"/>
                  <w:szCs w:val="21"/>
                </w:rPr>
                <w:t>Balan_EV@kamch.dvec.ru</w:t>
              </w:r>
            </w:hyperlink>
          </w:p>
        </w:tc>
      </w:tr>
      <w:tr>
        <w:trPr/>
        <w:tc>
          <w:tcPr>
            <w:tcW w:w="9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spacing w:before="120" w:after="120"/>
              <w:jc w:val="center"/>
              <w:rPr/>
            </w:pPr>
            <w:r>
              <w:rPr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5"/>
              <w:ind w:left="0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277-805;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0"/>
              <w:jc w:val="left"/>
              <w:outlineLvl w:val="3"/>
              <w:rPr/>
            </w:pPr>
            <w:r>
              <w:rPr>
                <w:sz w:val="21"/>
                <w:szCs w:val="21"/>
              </w:rPr>
              <w:t>адрес местонахождения: ул. Степная, д. 50, г. Петропавловск-Камчатский;</w:t>
            </w:r>
          </w:p>
        </w:tc>
      </w:tr>
      <w:tr>
        <w:trPr/>
        <w:tc>
          <w:tcPr>
            <w:tcW w:w="3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307-684,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307-865</w:t>
            </w:r>
          </w:p>
          <w:p>
            <w:pPr>
              <w:pStyle w:val="Style15"/>
              <w:ind w:left="0" w:hanging="0"/>
              <w:jc w:val="left"/>
              <w:rPr/>
            </w:pPr>
            <w:r>
              <w:rPr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5"/>
        <w:rPr>
          <w:iCs/>
          <w:color w:val="0000FF"/>
        </w:rPr>
      </w:pPr>
      <w:r>
        <w:rPr>
          <w:iCs/>
          <w:color w:val="0000FF"/>
        </w:rPr>
      </w:r>
    </w:p>
    <w:p>
      <w:pPr>
        <w:pStyle w:val="Style15"/>
        <w:rPr>
          <w:iCs/>
          <w:sz w:val="22"/>
          <w:szCs w:val="22"/>
        </w:rPr>
      </w:pPr>
      <w:r>
        <w:rPr>
          <w:iCs/>
          <w:color w:val="0000FF"/>
        </w:rPr>
        <w:t xml:space="preserve">   </w:t>
      </w:r>
      <w:r>
        <w:rPr>
          <w:iCs/>
          <w:sz w:val="22"/>
          <w:szCs w:val="22"/>
        </w:rPr>
        <w:t>Потребитель:</w:t>
      </w:r>
    </w:p>
    <w:tbl>
      <w:tblPr>
        <w:tblW w:w="9384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54"/>
        <w:gridCol w:w="4638"/>
        <w:gridCol w:w="1"/>
        <w:gridCol w:w="4291"/>
      </w:tblGrid>
      <w:tr>
        <w:trPr/>
        <w:tc>
          <w:tcPr>
            <w:tcW w:w="50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42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0"/>
              <w:rPr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0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2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0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2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0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2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93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spacing w:before="120" w:after="120"/>
              <w:jc w:val="center"/>
              <w:rPr>
                <w:iCs/>
                <w:sz w:val="21"/>
                <w:szCs w:val="21"/>
                <w:highlight w:val="yellow"/>
              </w:rPr>
            </w:pPr>
            <w:r>
              <w:rPr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-27" w:hanging="49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</w:tc>
        <w:tc>
          <w:tcPr>
            <w:tcW w:w="46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4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66" w:hanging="49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46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4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ind w:left="66" w:hanging="49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46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suppressAutoHyphens w:val="true"/>
              <w:ind w:left="0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4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/>
        <w:tc>
          <w:tcPr>
            <w:tcW w:w="93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/>
        <w:t xml:space="preserve">Теплоснабжающая организация                                                                            Потребитель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_________________________                                                 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>м.п.                                                                                                    м.п</w:t>
      </w:r>
    </w:p>
    <w:p>
      <w:pPr>
        <w:sectPr>
          <w:footerReference w:type="default" r:id="rId7"/>
          <w:type w:val="nextPage"/>
          <w:pgSz w:w="11906" w:h="16838"/>
          <w:pgMar w:left="1701" w:right="851" w:header="0" w:top="1134" w:footer="567" w:bottom="851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Приложение № 4</w:t>
      </w:r>
    </w:p>
    <w:p>
      <w:pPr>
        <w:pStyle w:val="Normal"/>
        <w:ind w:left="9072" w:hanging="9072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к договору теплоснабжения </w:t>
      </w:r>
    </w:p>
    <w:p>
      <w:pPr>
        <w:pStyle w:val="Normal"/>
        <w:jc w:val="right"/>
        <w:rPr>
          <w:b/>
          <w:b/>
          <w:sz w:val="22"/>
          <w:szCs w:val="22"/>
        </w:rPr>
      </w:pPr>
      <w:r>
        <w:rPr>
          <w:bCs/>
          <w:sz w:val="22"/>
          <w:szCs w:val="22"/>
        </w:rPr>
        <w:t xml:space="preserve">№ </w:t>
      </w:r>
      <w:r>
        <w:rPr>
          <w:bCs/>
          <w:color w:val="0000FF"/>
          <w:sz w:val="22"/>
          <w:szCs w:val="22"/>
        </w:rPr>
        <w:t xml:space="preserve">_________ </w:t>
      </w:r>
      <w:r>
        <w:rPr>
          <w:bCs/>
          <w:sz w:val="22"/>
          <w:szCs w:val="22"/>
        </w:rPr>
        <w:t>от _________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Наименование Потребителя: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_____________________________________________________</w:t>
      </w:r>
    </w:p>
    <w:p>
      <w:pPr>
        <w:pStyle w:val="Normal"/>
        <w:tabs>
          <w:tab w:val="center" w:pos="4153" w:leader="none"/>
          <w:tab w:val="right" w:pos="8306" w:leader="none"/>
        </w:tabs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enter" w:pos="4153" w:leader="none"/>
          <w:tab w:val="right" w:pos="8306" w:leader="none"/>
        </w:tabs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564" w:type="dxa"/>
        <w:jc w:val="left"/>
        <w:tblInd w:w="9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9"/>
        <w:gridCol w:w="1296"/>
        <w:gridCol w:w="1224"/>
        <w:gridCol w:w="1612"/>
        <w:gridCol w:w="1542"/>
        <w:gridCol w:w="2273"/>
        <w:gridCol w:w="1573"/>
        <w:gridCol w:w="13"/>
        <w:gridCol w:w="2548"/>
        <w:gridCol w:w="12"/>
        <w:gridCol w:w="2275"/>
        <w:gridCol w:w="27"/>
        <w:gridCol w:w="1"/>
        <w:gridCol w:w="27"/>
      </w:tblGrid>
      <w:tr>
        <w:trPr>
          <w:trHeight w:val="420" w:hRule="atLeast"/>
        </w:trPr>
        <w:tc>
          <w:tcPr>
            <w:tcW w:w="15562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Перечень точек учета и узлов (приборов) учета тепловой энергии и теплоносителя у Потребителя</w:t>
            </w:r>
          </w:p>
        </w:tc>
      </w:tr>
      <w:tr>
        <w:trPr>
          <w:trHeight w:val="828" w:hRule="atLeast"/>
        </w:trPr>
        <w:tc>
          <w:tcPr>
            <w:tcW w:w="11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Источник</w:t>
            </w:r>
          </w:p>
        </w:tc>
        <w:tc>
          <w:tcPr>
            <w:tcW w:w="12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17" w:hanging="17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дог</w:t>
            </w:r>
          </w:p>
          <w:p>
            <w:pPr>
              <w:pStyle w:val="Normal"/>
              <w:ind w:left="17" w:hanging="17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приложения</w:t>
            </w:r>
          </w:p>
        </w:tc>
        <w:tc>
          <w:tcPr>
            <w:tcW w:w="12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2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Адрес строения потребителя</w:t>
            </w:r>
          </w:p>
        </w:tc>
        <w:tc>
          <w:tcPr>
            <w:tcW w:w="70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Вид прибора </w:t>
            </w: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Дата текущей поверки</w:t>
            </w: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-16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Дата следующей поверки</w:t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05" w:hRule="atLeast"/>
        </w:trPr>
        <w:tc>
          <w:tcPr>
            <w:tcW w:w="113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9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0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Тепловая энергия,  теплоноситель </w:t>
            </w: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303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04" w:hRule="atLeast"/>
        </w:trPr>
        <w:tc>
          <w:tcPr>
            <w:tcW w:w="113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9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bookmarkStart w:id="2" w:name="_GoBack"/>
            <w:bookmarkEnd w:id="2"/>
            <w:r>
              <w:rPr/>
              <w:t>Вычислитель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-93" w:hanging="0"/>
              <w:rPr/>
            </w:pPr>
            <w:r>
              <w:rPr/>
              <w:t>Датчик расхода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51" w:hanging="0"/>
              <w:jc w:val="center"/>
              <w:rPr/>
            </w:pPr>
            <w:r>
              <w:rPr/>
              <w:t>Термосопротивление, подача</w:t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Датчик давления</w:t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left="34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34" w:hanging="34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firstLine="51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51" w:hanging="51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51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51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51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108" w:type="dxa"/>
            </w:tcMar>
            <w:vAlign w:val="center"/>
          </w:tcPr>
          <w:p>
            <w:pPr>
              <w:pStyle w:val="Normal"/>
              <w:ind w:left="51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firstLine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" w:type="dxa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" w:type="dxa"/>
            <w:gridSpan w:val="2"/>
            <w:tcBorders/>
            <w:shd w:fill="auto" w:val="clear"/>
            <w:tcMar>
              <w:left w:w="11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/>
        <w:t xml:space="preserve">Теплоснабжающая организация                                                                                                                                                          Потребитель 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_________________________                                                                                                                           __________________________</w:t>
      </w:r>
    </w:p>
    <w:p>
      <w:pPr>
        <w:pStyle w:val="Normal"/>
        <w:rPr/>
      </w:pPr>
      <w:r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>м.п.                                                                                                                                                                               м.п</w:t>
      </w:r>
    </w:p>
    <w:sectPr>
      <w:headerReference w:type="default" r:id="rId8"/>
      <w:footerReference w:type="default" r:id="rId9"/>
      <w:type w:val="nextPage"/>
      <w:pgSz w:orient="landscape" w:w="16838" w:h="11906"/>
      <w:pgMar w:left="284" w:right="284" w:header="720" w:top="777" w:footer="720" w:bottom="777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>
        <w:b/>
        <w:b/>
        <w:i/>
        <w:i/>
        <w:u w:val="single"/>
      </w:rPr>
    </w:pPr>
    <w:r>
      <w:rPr>
        <w:i/>
      </w:rPr>
      <w:t xml:space="preserve">Договор теплоснабжения </w:t>
    </w:r>
    <w:r>
      <w:rPr>
        <w:b/>
        <w:i/>
        <w:u w:val="single"/>
      </w:rPr>
      <w:t>(ПАР)</w:t>
    </w:r>
    <w:r>
      <w:rPr>
        <w:i/>
      </w:rPr>
      <w:t xml:space="preserve"> с юридическим лицом (внебюджетное финансирование)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/>
    </w:pPr>
    <w:r>
      <w:rPr>
        <w:i/>
      </w:rPr>
      <w:t xml:space="preserve">Договор теплоснабжения </w:t>
    </w:r>
    <w:r>
      <w:rPr>
        <w:b/>
        <w:i/>
        <w:u w:val="single"/>
      </w:rPr>
      <w:t>(ПАР)</w:t>
    </w:r>
    <w:r>
      <w:rPr>
        <w:i/>
      </w:rPr>
      <w:t xml:space="preserve"> с юридическим лицом (внебюджетное финансирование)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right"/>
      <w:rPr/>
    </w:pPr>
    <w:r>
      <w:rPr/>
    </w:r>
  </w:p>
  <w:p>
    <w:pPr>
      <w:pStyle w:val="Style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585" w:hanging="585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2"/>
        <w:i w:val="false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sz w:val="22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9.1%2"/>
      <w:lvlJc w:val="left"/>
      <w:pPr>
        <w:ind w:left="1080" w:hanging="72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lvl w:ilvl="0">
      <w:start w:val="2"/>
      <w:numFmt w:val="decimal"/>
      <w:lvlText w:val="%1."/>
      <w:lvlJc w:val="left"/>
      <w:pPr>
        <w:ind w:left="390" w:hanging="390"/>
      </w:pPr>
      <w:rPr>
        <w:sz w:val="22"/>
        <w:i w:val="false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bullet"/>
      <w:lvlText w:val=""/>
      <w:lvlJc w:val="left"/>
      <w:pPr>
        <w:ind w:left="585" w:hanging="585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qFormat/>
    <w:rsid w:val="0016533c"/>
    <w:pPr>
      <w:keepNext w:val="true"/>
      <w:outlineLvl w:val="4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9" w:customStyle="1">
    <w:name w:val="Интернет-ссылка"/>
    <w:rsid w:val="00c8498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qFormat/>
    <w:rsid w:val="003a33d4"/>
    <w:rPr/>
  </w:style>
  <w:style w:type="character" w:styleId="11" w:customStyle="1">
    <w:name w:val="Стиль1_св-ва документа Знак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0"/>
    <w:qFormat/>
    <w:rsid w:val="003c61f8"/>
    <w:rPr>
      <w:color w:val="0000FF"/>
    </w:rPr>
  </w:style>
  <w:style w:type="character" w:styleId="102" w:customStyle="1">
    <w:name w:val="Тр_10_Жир Знак"/>
    <w:link w:val="102"/>
    <w:qFormat/>
    <w:rsid w:val="008910fe"/>
    <w:rPr>
      <w:b/>
      <w:color w:val="3333FF"/>
    </w:rPr>
  </w:style>
  <w:style w:type="character" w:styleId="21" w:customStyle="1">
    <w:name w:val="Заголовок 2 Знак"/>
    <w:basedOn w:val="DefaultParagraphFont"/>
    <w:link w:val="2"/>
    <w:qFormat/>
    <w:rsid w:val="00aa10ca"/>
    <w:rPr>
      <w:rFonts w:ascii="Arial" w:hAnsi="Arial"/>
      <w:b/>
      <w:sz w:val="22"/>
      <w:lang w:val="en-US"/>
    </w:rPr>
  </w:style>
  <w:style w:type="character" w:styleId="Annotationreference">
    <w:name w:val="annotation reference"/>
    <w:basedOn w:val="DefaultParagraphFont"/>
    <w:qFormat/>
    <w:rsid w:val="001667b2"/>
    <w:rPr>
      <w:sz w:val="16"/>
      <w:szCs w:val="16"/>
    </w:rPr>
  </w:style>
  <w:style w:type="character" w:styleId="Style11" w:customStyle="1">
    <w:name w:val="Текст примечания Знак"/>
    <w:basedOn w:val="DefaultParagraphFont"/>
    <w:qFormat/>
    <w:rsid w:val="001667b2"/>
    <w:rPr/>
  </w:style>
  <w:style w:type="character" w:styleId="Style12" w:customStyle="1">
    <w:name w:val="Тема примечания Знак"/>
    <w:basedOn w:val="Style11"/>
    <w:qFormat/>
    <w:rsid w:val="001667b2"/>
    <w:rPr>
      <w:b/>
      <w:bCs/>
    </w:rPr>
  </w:style>
  <w:style w:type="character" w:styleId="Style13" w:customStyle="1">
    <w:name w:val="Нижний колонтитул Знак"/>
    <w:basedOn w:val="DefaultParagraphFont"/>
    <w:uiPriority w:val="99"/>
    <w:qFormat/>
    <w:rsid w:val="00033d73"/>
    <w:rPr/>
  </w:style>
  <w:style w:type="character" w:styleId="ListLabel1" w:customStyle="1">
    <w:name w:val="ListLabel 1"/>
    <w:qFormat/>
    <w:rPr>
      <w:b/>
      <w:i w:val="false"/>
    </w:rPr>
  </w:style>
  <w:style w:type="character" w:styleId="ListLabel2" w:customStyle="1">
    <w:name w:val="ListLabel 2"/>
    <w:qFormat/>
    <w:rPr>
      <w:b/>
    </w:rPr>
  </w:style>
  <w:style w:type="character" w:styleId="ListLabel3" w:customStyle="1">
    <w:name w:val="ListLabel 3"/>
    <w:qFormat/>
    <w:rPr>
      <w:b/>
      <w:sz w:val="20"/>
      <w:szCs w:val="20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b/>
    </w:rPr>
  </w:style>
  <w:style w:type="character" w:styleId="ListLabel14" w:customStyle="1">
    <w:name w:val="ListLabel 14"/>
    <w:qFormat/>
    <w:rPr>
      <w:b w:val="false"/>
      <w:sz w:val="24"/>
      <w:szCs w:val="24"/>
    </w:rPr>
  </w:style>
  <w:style w:type="character" w:styleId="ListLabel15" w:customStyle="1">
    <w:name w:val="ListLabel 15"/>
    <w:qFormat/>
    <w:rPr>
      <w:b w:val="false"/>
      <w:i w:val="false"/>
    </w:rPr>
  </w:style>
  <w:style w:type="character" w:styleId="ListLabel16" w:customStyle="1">
    <w:name w:val="ListLabel 16"/>
    <w:qFormat/>
    <w:rPr>
      <w:b/>
    </w:rPr>
  </w:style>
  <w:style w:type="character" w:styleId="ListLabel17" w:customStyle="1">
    <w:name w:val="ListLabel 17"/>
    <w:qFormat/>
    <w:rPr>
      <w:b w:val="false"/>
      <w:color w:val="00000A"/>
      <w:sz w:val="24"/>
      <w:szCs w:val="24"/>
    </w:rPr>
  </w:style>
  <w:style w:type="character" w:styleId="ListLabel18" w:customStyle="1">
    <w:name w:val="ListLabel 18"/>
    <w:qFormat/>
    <w:rPr>
      <w:b w:val="false"/>
      <w:i w:val="false"/>
    </w:rPr>
  </w:style>
  <w:style w:type="character" w:styleId="ListLabel19" w:customStyle="1">
    <w:name w:val="ListLabel 19"/>
    <w:qFormat/>
    <w:rPr>
      <w:b/>
    </w:rPr>
  </w:style>
  <w:style w:type="character" w:styleId="ListLabel20" w:customStyle="1">
    <w:name w:val="ListLabel 20"/>
    <w:qFormat/>
    <w:rPr>
      <w:b/>
    </w:rPr>
  </w:style>
  <w:style w:type="character" w:styleId="ListLabel21" w:customStyle="1">
    <w:name w:val="ListLabel 21"/>
    <w:qFormat/>
    <w:rPr>
      <w:b w:val="false"/>
      <w:i w:val="false"/>
    </w:rPr>
  </w:style>
  <w:style w:type="character" w:styleId="ListLabel22" w:customStyle="1">
    <w:name w:val="ListLabel 22"/>
    <w:qFormat/>
    <w:rPr>
      <w:b/>
    </w:rPr>
  </w:style>
  <w:style w:type="character" w:styleId="ListLabel23" w:customStyle="1">
    <w:name w:val="ListLabel 23"/>
    <w:qFormat/>
    <w:rPr>
      <w:b/>
    </w:rPr>
  </w:style>
  <w:style w:type="character" w:styleId="ListLabel24" w:customStyle="1">
    <w:name w:val="ListLabel 24"/>
    <w:qFormat/>
    <w:rPr>
      <w:b w:val="false"/>
      <w:i w:val="false"/>
    </w:rPr>
  </w:style>
  <w:style w:type="character" w:styleId="ListLabel25" w:customStyle="1">
    <w:name w:val="ListLabel 25"/>
    <w:qFormat/>
    <w:rPr>
      <w:b/>
    </w:rPr>
  </w:style>
  <w:style w:type="character" w:styleId="ListLabel26" w:customStyle="1">
    <w:name w:val="ListLabel 26"/>
    <w:qFormat/>
    <w:rPr>
      <w:b w:val="false"/>
      <w:i w:val="false"/>
    </w:rPr>
  </w:style>
  <w:style w:type="character" w:styleId="ListLabel27" w:customStyle="1">
    <w:name w:val="ListLabel 27"/>
    <w:qFormat/>
    <w:rPr>
      <w:b/>
    </w:rPr>
  </w:style>
  <w:style w:type="character" w:styleId="ListLabel28" w:customStyle="1">
    <w:name w:val="ListLabel 28"/>
    <w:qFormat/>
    <w:rPr>
      <w:b w:val="false"/>
      <w:i w:val="false"/>
    </w:rPr>
  </w:style>
  <w:style w:type="character" w:styleId="ListLabel29" w:customStyle="1">
    <w:name w:val="ListLabel 29"/>
    <w:qFormat/>
    <w:rPr>
      <w:b/>
    </w:rPr>
  </w:style>
  <w:style w:type="character" w:styleId="ListLabel30" w:customStyle="1">
    <w:name w:val="ListLabel 30"/>
    <w:qFormat/>
    <w:rPr>
      <w:rFonts w:eastAsia="Calibri" w:cs="Times New Roman"/>
    </w:rPr>
  </w:style>
  <w:style w:type="character" w:styleId="ListLabel31" w:customStyle="1">
    <w:name w:val="ListLabel 31"/>
    <w:qFormat/>
    <w:rPr>
      <w:b/>
      <w:sz w:val="22"/>
    </w:rPr>
  </w:style>
  <w:style w:type="character" w:styleId="ListLabel32" w:customStyle="1">
    <w:name w:val="ListLabel 32"/>
    <w:qFormat/>
    <w:rPr>
      <w:b/>
      <w:i w:val="false"/>
      <w:sz w:val="22"/>
    </w:rPr>
  </w:style>
  <w:style w:type="character" w:styleId="ListLabel33" w:customStyle="1">
    <w:name w:val="ListLabel 33"/>
    <w:qFormat/>
    <w:rPr>
      <w:b/>
      <w:sz w:val="22"/>
    </w:rPr>
  </w:style>
  <w:style w:type="character" w:styleId="ListLabel34" w:customStyle="1">
    <w:name w:val="ListLabel 34"/>
    <w:qFormat/>
    <w:rPr>
      <w:b/>
      <w:sz w:val="22"/>
    </w:rPr>
  </w:style>
  <w:style w:type="character" w:styleId="ListLabel35" w:customStyle="1">
    <w:name w:val="ListLabel 35"/>
    <w:qFormat/>
    <w:rPr>
      <w:b/>
    </w:rPr>
  </w:style>
  <w:style w:type="character" w:styleId="ListLabel36" w:customStyle="1">
    <w:name w:val="ListLabel 36"/>
    <w:qFormat/>
    <w:rPr>
      <w:rFonts w:cs="Times New Roman"/>
    </w:rPr>
  </w:style>
  <w:style w:type="character" w:styleId="ListLabel37" w:customStyle="1">
    <w:name w:val="ListLabel 37"/>
    <w:qFormat/>
    <w:rPr>
      <w:rFonts w:cs="Times New Roman"/>
    </w:rPr>
  </w:style>
  <w:style w:type="character" w:styleId="ListLabel38" w:customStyle="1">
    <w:name w:val="ListLabel 38"/>
    <w:qFormat/>
    <w:rPr>
      <w:rFonts w:cs="Times New Roman"/>
    </w:rPr>
  </w:style>
  <w:style w:type="character" w:styleId="ListLabel39" w:customStyle="1">
    <w:name w:val="ListLabel 39"/>
    <w:qFormat/>
    <w:rPr>
      <w:rFonts w:cs="Times New Roman"/>
    </w:rPr>
  </w:style>
  <w:style w:type="character" w:styleId="ListLabel40" w:customStyle="1">
    <w:name w:val="ListLabel 40"/>
    <w:qFormat/>
    <w:rPr>
      <w:rFonts w:cs="Times New Roman"/>
    </w:rPr>
  </w:style>
  <w:style w:type="character" w:styleId="ListLabel41" w:customStyle="1">
    <w:name w:val="ListLabel 41"/>
    <w:qFormat/>
    <w:rPr>
      <w:rFonts w:cs="Times New Roman"/>
    </w:rPr>
  </w:style>
  <w:style w:type="character" w:styleId="ListLabel42" w:customStyle="1">
    <w:name w:val="ListLabel 42"/>
    <w:qFormat/>
    <w:rPr>
      <w:rFonts w:cs="Times New Roman"/>
    </w:rPr>
  </w:style>
  <w:style w:type="character" w:styleId="ListLabel43" w:customStyle="1">
    <w:name w:val="ListLabel 43"/>
    <w:qFormat/>
    <w:rPr>
      <w:rFonts w:cs="Times New Roman"/>
    </w:rPr>
  </w:style>
  <w:style w:type="character" w:styleId="ListLabel44" w:customStyle="1">
    <w:name w:val="ListLabel 44"/>
    <w:qFormat/>
    <w:rPr>
      <w:rFonts w:cs="Times New Roman"/>
    </w:rPr>
  </w:style>
  <w:style w:type="character" w:styleId="ListLabel45" w:customStyle="1">
    <w:name w:val="ListLabel 45"/>
    <w:qFormat/>
    <w:rPr>
      <w:rFonts w:cs="Times New Roman"/>
    </w:rPr>
  </w:style>
  <w:style w:type="character" w:styleId="ListLabel46" w:customStyle="1">
    <w:name w:val="ListLabel 46"/>
    <w:qFormat/>
    <w:rPr>
      <w:rFonts w:cs="Times New Roman"/>
    </w:rPr>
  </w:style>
  <w:style w:type="character" w:styleId="ListLabel47" w:customStyle="1">
    <w:name w:val="ListLabel 47"/>
    <w:qFormat/>
    <w:rPr>
      <w:rFonts w:cs="Times New Roman"/>
    </w:rPr>
  </w:style>
  <w:style w:type="character" w:styleId="ListLabel48" w:customStyle="1">
    <w:name w:val="ListLabel 48"/>
    <w:qFormat/>
    <w:rPr>
      <w:rFonts w:cs="Times New Roman"/>
    </w:rPr>
  </w:style>
  <w:style w:type="character" w:styleId="ListLabel49" w:customStyle="1">
    <w:name w:val="ListLabel 49"/>
    <w:qFormat/>
    <w:rPr>
      <w:rFonts w:cs="Times New Roman"/>
    </w:rPr>
  </w:style>
  <w:style w:type="character" w:styleId="ListLabel50" w:customStyle="1">
    <w:name w:val="ListLabel 50"/>
    <w:qFormat/>
    <w:rPr>
      <w:rFonts w:cs="Times New Roman"/>
    </w:rPr>
  </w:style>
  <w:style w:type="character" w:styleId="ListLabel51" w:customStyle="1">
    <w:name w:val="ListLabel 51"/>
    <w:qFormat/>
    <w:rPr>
      <w:rFonts w:cs="Times New Roman"/>
    </w:rPr>
  </w:style>
  <w:style w:type="character" w:styleId="ListLabel52" w:customStyle="1">
    <w:name w:val="ListLabel 52"/>
    <w:qFormat/>
    <w:rPr>
      <w:rFonts w:cs="Times New Roman"/>
    </w:rPr>
  </w:style>
  <w:style w:type="character" w:styleId="ListLabel53" w:customStyle="1">
    <w:name w:val="ListLabel 53"/>
    <w:qFormat/>
    <w:rPr>
      <w:rFonts w:cs="Times New Roman"/>
    </w:rPr>
  </w:style>
  <w:style w:type="character" w:styleId="ListLabel54" w:customStyle="1">
    <w:name w:val="ListLabel 54"/>
    <w:qFormat/>
    <w:rPr>
      <w:b/>
      <w:i w:val="false"/>
      <w:sz w:val="22"/>
    </w:rPr>
  </w:style>
  <w:style w:type="character" w:styleId="ListLabel55" w:customStyle="1">
    <w:name w:val="ListLabel 55"/>
    <w:qFormat/>
    <w:rPr>
      <w:b/>
      <w:sz w:val="22"/>
    </w:rPr>
  </w:style>
  <w:style w:type="character" w:styleId="ListLabel56" w:customStyle="1">
    <w:name w:val="ListLabel 56"/>
    <w:qFormat/>
    <w:rPr>
      <w:b/>
      <w:sz w:val="22"/>
    </w:rPr>
  </w:style>
  <w:style w:type="character" w:styleId="ListLabel57" w:customStyle="1">
    <w:name w:val="ListLabel 57"/>
    <w:qFormat/>
    <w:rPr>
      <w:b/>
    </w:rPr>
  </w:style>
  <w:style w:type="character" w:styleId="ListLabel58" w:customStyle="1">
    <w:name w:val="ListLabel 58"/>
    <w:qFormat/>
    <w:rPr>
      <w:b/>
    </w:rPr>
  </w:style>
  <w:style w:type="character" w:styleId="ListLabel59" w:customStyle="1">
    <w:name w:val="ListLabel 59"/>
    <w:qFormat/>
    <w:rPr>
      <w:b/>
    </w:rPr>
  </w:style>
  <w:style w:type="character" w:styleId="ListLabel60" w:customStyle="1">
    <w:name w:val="ListLabel 60"/>
    <w:qFormat/>
    <w:rPr>
      <w:b/>
    </w:rPr>
  </w:style>
  <w:style w:type="character" w:styleId="ListLabel61" w:customStyle="1">
    <w:name w:val="ListLabel 61"/>
    <w:qFormat/>
    <w:rPr>
      <w:rFonts w:eastAsia="Times New Roman" w:cs="Times New Roman"/>
      <w:sz w:val="22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Courier New"/>
    </w:rPr>
  </w:style>
  <w:style w:type="character" w:styleId="ListLabel64" w:customStyle="1">
    <w:name w:val="ListLabel 64"/>
    <w:qFormat/>
    <w:rPr>
      <w:rFonts w:cs="Courier New"/>
    </w:rPr>
  </w:style>
  <w:style w:type="character" w:styleId="ListLabel65" w:customStyle="1">
    <w:name w:val="ListLabel 65"/>
    <w:qFormat/>
    <w:rPr>
      <w:rFonts w:eastAsia="Times New Roman" w:cs="Times New Roman"/>
      <w:sz w:val="22"/>
    </w:rPr>
  </w:style>
  <w:style w:type="character" w:styleId="ListLabel66" w:customStyle="1">
    <w:name w:val="ListLabel 66"/>
    <w:qFormat/>
    <w:rPr>
      <w:rFonts w:cs="Courier New"/>
    </w:rPr>
  </w:style>
  <w:style w:type="character" w:styleId="ListLabel67" w:customStyle="1">
    <w:name w:val="ListLabel 67"/>
    <w:qFormat/>
    <w:rPr>
      <w:rFonts w:cs="Courier New"/>
    </w:rPr>
  </w:style>
  <w:style w:type="character" w:styleId="ListLabel68" w:customStyle="1">
    <w:name w:val="ListLabel 68"/>
    <w:qFormat/>
    <w:rPr>
      <w:rFonts w:cs="Courier New"/>
    </w:rPr>
  </w:style>
  <w:style w:type="character" w:styleId="ListLabel69" w:customStyle="1">
    <w:name w:val="ListLabel 69"/>
    <w:qFormat/>
    <w:rPr>
      <w:rFonts w:cs="Courier New"/>
    </w:rPr>
  </w:style>
  <w:style w:type="character" w:styleId="ListLabel70" w:customStyle="1">
    <w:name w:val="ListLabel 70"/>
    <w:qFormat/>
    <w:rPr>
      <w:rFonts w:cs="Courier New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Courier New"/>
    </w:rPr>
  </w:style>
  <w:style w:type="character" w:styleId="ListLabel73" w:customStyle="1">
    <w:name w:val="ListLabel 73"/>
    <w:qFormat/>
    <w:rPr>
      <w:rFonts w:cs="Courier New"/>
    </w:rPr>
  </w:style>
  <w:style w:type="character" w:styleId="ListLabel74" w:customStyle="1">
    <w:name w:val="ListLabel 74"/>
    <w:qFormat/>
    <w:rPr>
      <w:rFonts w:cs="Courier New"/>
    </w:rPr>
  </w:style>
  <w:style w:type="character" w:styleId="ListLabel75" w:customStyle="1">
    <w:name w:val="ListLabel 75"/>
    <w:qFormat/>
    <w:rPr>
      <w:rFonts w:cs="Courier New"/>
    </w:rPr>
  </w:style>
  <w:style w:type="character" w:styleId="ListLabel76" w:customStyle="1">
    <w:name w:val="ListLabel 76"/>
    <w:qFormat/>
    <w:rPr>
      <w:rFonts w:cs="Courier New"/>
    </w:rPr>
  </w:style>
  <w:style w:type="character" w:styleId="ListLabel77" w:customStyle="1">
    <w:name w:val="ListLabel 77"/>
    <w:qFormat/>
    <w:rPr>
      <w:rFonts w:cs="Courier New"/>
    </w:rPr>
  </w:style>
  <w:style w:type="character" w:styleId="ListLabel78" w:customStyle="1">
    <w:name w:val="ListLabel 78"/>
    <w:qFormat/>
    <w:rPr>
      <w:b/>
      <w:sz w:val="22"/>
    </w:rPr>
  </w:style>
  <w:style w:type="character" w:styleId="ListLabel79" w:customStyle="1">
    <w:name w:val="ListLabel 79"/>
    <w:qFormat/>
    <w:rPr>
      <w:b/>
      <w:i w:val="false"/>
    </w:rPr>
  </w:style>
  <w:style w:type="character" w:styleId="ListLabel80" w:customStyle="1">
    <w:name w:val="ListLabel 80"/>
    <w:qFormat/>
    <w:rPr>
      <w:b/>
    </w:rPr>
  </w:style>
  <w:style w:type="character" w:styleId="ListLabel81" w:customStyle="1">
    <w:name w:val="ListLabel 81"/>
    <w:qFormat/>
    <w:rPr>
      <w:rFonts w:cs="Courier New"/>
    </w:rPr>
  </w:style>
  <w:style w:type="character" w:styleId="ListLabel82" w:customStyle="1">
    <w:name w:val="ListLabel 82"/>
    <w:qFormat/>
    <w:rPr>
      <w:rFonts w:cs="Courier New"/>
    </w:rPr>
  </w:style>
  <w:style w:type="character" w:styleId="ListLabel83" w:customStyle="1">
    <w:name w:val="ListLabel 83"/>
    <w:qFormat/>
    <w:rPr>
      <w:rFonts w:cs="Courier New"/>
    </w:rPr>
  </w:style>
  <w:style w:type="character" w:styleId="ListLabel84" w:customStyle="1">
    <w:name w:val="ListLabel 84"/>
    <w:qFormat/>
    <w:rPr>
      <w:rFonts w:cs="Courier New"/>
    </w:rPr>
  </w:style>
  <w:style w:type="character" w:styleId="ListLabel85" w:customStyle="1">
    <w:name w:val="ListLabel 85"/>
    <w:qFormat/>
    <w:rPr>
      <w:rFonts w:cs="Courier New"/>
    </w:rPr>
  </w:style>
  <w:style w:type="character" w:styleId="ListLabel86" w:customStyle="1">
    <w:name w:val="ListLabel 86"/>
    <w:qFormat/>
    <w:rPr>
      <w:rFonts w:cs="Courier New"/>
    </w:rPr>
  </w:style>
  <w:style w:type="character" w:styleId="ListLabel87" w:customStyle="1">
    <w:name w:val="ListLabel 87"/>
    <w:qFormat/>
    <w:rPr>
      <w:b/>
      <w:i w:val="false"/>
    </w:rPr>
  </w:style>
  <w:style w:type="character" w:styleId="ListLabel88" w:customStyle="1">
    <w:name w:val="ListLabel 88"/>
    <w:qFormat/>
    <w:rPr>
      <w:b/>
    </w:rPr>
  </w:style>
  <w:style w:type="character" w:styleId="ListLabel89" w:customStyle="1">
    <w:name w:val="ListLabel 89"/>
    <w:qFormat/>
    <w:rPr>
      <w:b/>
      <w:i w:val="false"/>
    </w:rPr>
  </w:style>
  <w:style w:type="character" w:styleId="ListLabel90" w:customStyle="1">
    <w:name w:val="ListLabel 90"/>
    <w:qFormat/>
    <w:rPr>
      <w:b/>
    </w:rPr>
  </w:style>
  <w:style w:type="character" w:styleId="ListLabel91" w:customStyle="1">
    <w:name w:val="ListLabel 91"/>
    <w:qFormat/>
    <w:rPr>
      <w:b/>
      <w:sz w:val="24"/>
      <w:szCs w:val="24"/>
    </w:rPr>
  </w:style>
  <w:style w:type="character" w:styleId="ListLabel92" w:customStyle="1">
    <w:name w:val="ListLabel 92"/>
    <w:qFormat/>
    <w:rPr>
      <w:b w:val="false"/>
      <w:sz w:val="24"/>
      <w:szCs w:val="24"/>
    </w:rPr>
  </w:style>
  <w:style w:type="character" w:styleId="ListLabel93" w:customStyle="1">
    <w:name w:val="ListLabel 93"/>
    <w:qFormat/>
    <w:rPr>
      <w:b w:val="false"/>
      <w:sz w:val="24"/>
      <w:szCs w:val="24"/>
    </w:rPr>
  </w:style>
  <w:style w:type="character" w:styleId="ListLabel94" w:customStyle="1">
    <w:name w:val="ListLabel 94"/>
    <w:qFormat/>
    <w:rPr>
      <w:b w:val="false"/>
      <w:sz w:val="20"/>
    </w:rPr>
  </w:style>
  <w:style w:type="character" w:styleId="ListLabel95" w:customStyle="1">
    <w:name w:val="ListLabel 95"/>
    <w:qFormat/>
    <w:rPr>
      <w:b w:val="false"/>
      <w:sz w:val="20"/>
    </w:rPr>
  </w:style>
  <w:style w:type="character" w:styleId="ListLabel96" w:customStyle="1">
    <w:name w:val="ListLabel 96"/>
    <w:qFormat/>
    <w:rPr>
      <w:b w:val="false"/>
      <w:sz w:val="20"/>
    </w:rPr>
  </w:style>
  <w:style w:type="character" w:styleId="ListLabel97" w:customStyle="1">
    <w:name w:val="ListLabel 97"/>
    <w:qFormat/>
    <w:rPr>
      <w:b w:val="false"/>
      <w:sz w:val="20"/>
    </w:rPr>
  </w:style>
  <w:style w:type="character" w:styleId="ListLabel98" w:customStyle="1">
    <w:name w:val="ListLabel 98"/>
    <w:qFormat/>
    <w:rPr>
      <w:b w:val="false"/>
      <w:sz w:val="20"/>
    </w:rPr>
  </w:style>
  <w:style w:type="character" w:styleId="ListLabel99" w:customStyle="1">
    <w:name w:val="ListLabel 99"/>
    <w:qFormat/>
    <w:rPr>
      <w:b w:val="false"/>
      <w:sz w:val="20"/>
    </w:rPr>
  </w:style>
  <w:style w:type="character" w:styleId="ListLabel100">
    <w:name w:val="ListLabel 100"/>
    <w:qFormat/>
    <w:rPr>
      <w:b/>
      <w:sz w:val="22"/>
    </w:rPr>
  </w:style>
  <w:style w:type="character" w:styleId="ListLabel101">
    <w:name w:val="ListLabel 101"/>
    <w:qFormat/>
    <w:rPr>
      <w:b/>
      <w:i w:val="false"/>
      <w:sz w:val="22"/>
    </w:rPr>
  </w:style>
  <w:style w:type="character" w:styleId="ListLabel102">
    <w:name w:val="ListLabel 102"/>
    <w:qFormat/>
    <w:rPr>
      <w:b/>
      <w:sz w:val="22"/>
    </w:rPr>
  </w:style>
  <w:style w:type="character" w:styleId="ListLabel103">
    <w:name w:val="ListLabel 103"/>
    <w:qFormat/>
    <w:rPr>
      <w:b/>
      <w:sz w:val="22"/>
    </w:rPr>
  </w:style>
  <w:style w:type="character" w:styleId="ListLabel104">
    <w:name w:val="ListLabel 104"/>
    <w:qFormat/>
    <w:rPr>
      <w:b/>
      <w:i w:val="false"/>
      <w:sz w:val="22"/>
    </w:rPr>
  </w:style>
  <w:style w:type="character" w:styleId="ListLabel105">
    <w:name w:val="ListLabel 105"/>
    <w:qFormat/>
    <w:rPr>
      <w:b/>
      <w:sz w:val="22"/>
    </w:rPr>
  </w:style>
  <w:style w:type="character" w:styleId="ListLabel106">
    <w:name w:val="ListLabel 106"/>
    <w:qFormat/>
    <w:rPr>
      <w:b/>
      <w:sz w:val="22"/>
    </w:rPr>
  </w:style>
  <w:style w:type="character" w:styleId="ListLabel107">
    <w:name w:val="ListLabel 107"/>
    <w:qFormat/>
    <w:rPr>
      <w:rFonts w:cs="Times New Roman"/>
      <w:sz w:val="22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Wingdings"/>
    </w:rPr>
  </w:style>
  <w:style w:type="character" w:styleId="ListLabel110">
    <w:name w:val="ListLabel 110"/>
    <w:qFormat/>
    <w:rPr>
      <w:rFonts w:cs="Symbol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Symbol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cs="Times New Roman"/>
      <w:sz w:val="22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cs="Symbol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  <w:sz w:val="22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Symbol"/>
    </w:rPr>
  </w:style>
  <w:style w:type="character" w:styleId="ListLabel129">
    <w:name w:val="ListLabel 129"/>
    <w:qFormat/>
    <w:rPr>
      <w:rFonts w:cs="Courier New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Symbol"/>
    </w:rPr>
  </w:style>
  <w:style w:type="character" w:styleId="ListLabel132">
    <w:name w:val="ListLabel 132"/>
    <w:qFormat/>
    <w:rPr>
      <w:rFonts w:cs="Courier New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Symbol"/>
      <w:b/>
      <w:sz w:val="22"/>
    </w:rPr>
  </w:style>
  <w:style w:type="character" w:styleId="ListLabel135">
    <w:name w:val="ListLabel 135"/>
    <w:qFormat/>
    <w:rPr>
      <w:b/>
      <w:i w:val="false"/>
    </w:rPr>
  </w:style>
  <w:style w:type="character" w:styleId="ListLabel136">
    <w:name w:val="ListLabel 136"/>
    <w:qFormat/>
    <w:rPr>
      <w:b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rsid w:val="0016533c"/>
    <w:pPr/>
    <w:rPr>
      <w:sz w:val="24"/>
    </w:rPr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Title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0">
    <w:name w:val="Header"/>
    <w:basedOn w:val="Normal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1">
    <w:name w:val="Footer"/>
    <w:basedOn w:val="Normal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2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5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qFormat/>
    <w:rsid w:val="00f26e59"/>
    <w:pPr>
      <w:ind w:left="-13" w:hanging="0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1" w:customStyle="1">
    <w:name w:val="Об_13_Жир"/>
    <w:basedOn w:val="Normal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1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4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3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Annotationtext">
    <w:name w:val="annotation text"/>
    <w:basedOn w:val="Normal"/>
    <w:qFormat/>
    <w:rsid w:val="001667b2"/>
    <w:pPr/>
    <w:rPr/>
  </w:style>
  <w:style w:type="paragraph" w:styleId="Annotationsubject">
    <w:name w:val="annotation subject"/>
    <w:basedOn w:val="Annotationtext"/>
    <w:qFormat/>
    <w:rsid w:val="001667b2"/>
    <w:pPr/>
    <w:rPr>
      <w:b/>
      <w:bCs/>
    </w:rPr>
  </w:style>
  <w:style w:type="paragraph" w:styleId="ListParagraph">
    <w:name w:val="List Paragraph"/>
    <w:basedOn w:val="Normal"/>
    <w:uiPriority w:val="34"/>
    <w:qFormat/>
    <w:rsid w:val="00ec5e22"/>
    <w:pPr>
      <w:spacing w:before="0" w:after="0"/>
      <w:ind w:left="720" w:firstLine="357"/>
      <w:contextualSpacing/>
    </w:pPr>
    <w:rPr/>
  </w:style>
  <w:style w:type="paragraph" w:styleId="15" w:customStyle="1">
    <w:name w:val="Стиль1"/>
    <w:basedOn w:val="Normal"/>
    <w:qFormat/>
    <w:rsid w:val="00ac3f6a"/>
    <w:pPr>
      <w:widowControl w:val="false"/>
      <w:suppressAutoHyphens w:val="true"/>
      <w:ind w:left="0" w:firstLine="709"/>
    </w:pPr>
    <w:rPr>
      <w:sz w:val="28"/>
      <w:szCs w:val="28"/>
    </w:rPr>
  </w:style>
  <w:style w:type="paragraph" w:styleId="Style23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1"/>
    <w:uiPriority w:val="59"/>
    <w:rsid w:val="008e5ab2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a1"/>
    <w:uiPriority w:val="59"/>
    <w:rsid w:val="008e5ab2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59"/>
    <w:rsid w:val="008e5ab2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1"/>
    <w:uiPriority w:val="59"/>
    <w:rsid w:val="002020c4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kamenergo.ru/" TargetMode="External"/><Relationship Id="rId4" Type="http://schemas.openxmlformats.org/officeDocument/2006/relationships/hyperlink" Target="mailto:Drogaytseva_N&#1040;@kamch.dvec.ru" TargetMode="External"/><Relationship Id="rId5" Type="http://schemas.openxmlformats.org/officeDocument/2006/relationships/hyperlink" Target="mailto:Mokhova_NV@kamch.dvec.ru" TargetMode="External"/><Relationship Id="rId6" Type="http://schemas.openxmlformats.org/officeDocument/2006/relationships/hyperlink" Target="mailto:Balan_EV@kamch.dvec.ru" TargetMode="Externa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71EF3-F058-4027-8ABC-40E741C3A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LibreOffice/5.3.6.1$Linux_X86_64 LibreOffice_project/30$Build-1</Application>
  <Pages>12</Pages>
  <Words>4518</Words>
  <Characters>32825</Characters>
  <CharactersWithSpaces>37871</CharactersWithSpaces>
  <Paragraphs>292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2022-02-17T03:19:00Z</dcterms:created>
  <dc:creator>Опарин Алексей Владимирович</dc:creator>
  <dc:description/>
  <dc:language>ru-RU</dc:language>
  <cp:lastModifiedBy/>
  <cp:lastPrinted>2019-06-27T01:18:00Z</cp:lastPrinted>
  <dcterms:modified xsi:type="dcterms:W3CDTF">2025-07-10T09:44:35Z</dcterms:modified>
  <cp:revision>7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Abonent">
    <vt:lpwstr>@@AdressAbonent</vt:lpwstr>
  </property>
  <property fmtid="{D5CDD505-2E9C-101B-9397-08002B2CF9AE}" pid="3" name="AppVersion">
    <vt:lpwstr>16.0000</vt:lpwstr>
  </property>
  <property fmtid="{D5CDD505-2E9C-101B-9397-08002B2CF9AE}" pid="4" name="Company">
    <vt:lpwstr>LENENERGO</vt:lpwstr>
  </property>
  <property fmtid="{D5CDD505-2E9C-101B-9397-08002B2CF9AE}" pid="5" name="DateContact">
    <vt:lpwstr>@@DateContact</vt:lpwstr>
  </property>
  <property fmtid="{D5CDD505-2E9C-101B-9397-08002B2CF9AE}" pid="6" name="DirectNameRP">
    <vt:lpwstr>@@DirectNameRP</vt:lpwstr>
  </property>
  <property fmtid="{D5CDD505-2E9C-101B-9397-08002B2CF9AE}" pid="7" name="DocSecurity">
    <vt:i4>0</vt:i4>
  </property>
  <property fmtid="{D5CDD505-2E9C-101B-9397-08002B2CF9AE}" pid="8" name="HyperlinksChanged">
    <vt:bool>0</vt:bool>
  </property>
  <property fmtid="{D5CDD505-2E9C-101B-9397-08002B2CF9AE}" pid="9" name="LinksUpToDate">
    <vt:bool>0</vt:bool>
  </property>
  <property fmtid="{D5CDD505-2E9C-101B-9397-08002B2CF9AE}" pid="10" name="NContract">
    <vt:lpwstr>@@NContract</vt:lpwstr>
  </property>
  <property fmtid="{D5CDD505-2E9C-101B-9397-08002B2CF9AE}" pid="11" name="NContractNumOnly">
    <vt:lpwstr>@@NContractNumOnly</vt:lpwstr>
  </property>
  <property fmtid="{D5CDD505-2E9C-101B-9397-08002B2CF9AE}" pid="12" name="NameAbonent">
    <vt:lpwstr>@@NameAbonent</vt:lpwstr>
  </property>
  <property fmtid="{D5CDD505-2E9C-101B-9397-08002B2CF9AE}" pid="13" name="NameDirectAbonent">
    <vt:lpwstr>@@NameDirectAbonent</vt:lpwstr>
  </property>
  <property fmtid="{D5CDD505-2E9C-101B-9397-08002B2CF9AE}" pid="14" name="PostRP">
    <vt:lpwstr>@@PostRP</vt:lpwstr>
  </property>
  <property fmtid="{D5CDD505-2E9C-101B-9397-08002B2CF9AE}" pid="15" name="ScaleCrop">
    <vt:bool>0</vt:bool>
  </property>
  <property fmtid="{D5CDD505-2E9C-101B-9397-08002B2CF9AE}" pid="16" name="ShareDoc">
    <vt:bool>0</vt:bool>
  </property>
</Properties>
</file>