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8"/>
        <w:spacing w:lineRule="auto" w:line="240" w:before="120" w:after="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/>
        <w:drawing>
          <wp:inline distT="0" distB="0" distL="0" distR="0">
            <wp:extent cx="2695575" cy="438150"/>
            <wp:effectExtent l="0" t="0" r="0" b="0"/>
            <wp:docPr id="1" name="Рисунок 1" descr="Камчатскэнерго-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мчатскэнерго-лого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18"/>
        <w:spacing w:lineRule="auto" w:line="240" w:before="120" w:after="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ДОГОВОР</w:t>
      </w:r>
    </w:p>
    <w:p>
      <w:pPr>
        <w:pStyle w:val="Style18"/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ТЕПЛОСНАБЖЕНИЯ И ГОРЯЧЕГО ВОДОСНАБЖЕНИЯ</w:t>
      </w:r>
    </w:p>
    <w:p>
      <w:pPr>
        <w:pStyle w:val="Style18"/>
        <w:spacing w:lineRule="auto" w:line="240"/>
        <w:jc w:val="center"/>
        <w:rPr/>
      </w:pPr>
      <w:r>
        <w:rPr>
          <w:rFonts w:ascii="Times New Roman" w:hAnsi="Times New Roman"/>
          <w:b/>
          <w:iCs/>
          <w:sz w:val="22"/>
          <w:szCs w:val="22"/>
        </w:rPr>
        <w:t xml:space="preserve">при открытой и закрытой системах теплоснабжения </w:t>
      </w:r>
      <w:r>
        <w:rPr>
          <w:rFonts w:ascii="Times New Roman" w:hAnsi="Times New Roman"/>
          <w:b/>
          <w:iCs/>
          <w:color w:val="0000FF"/>
          <w:sz w:val="22"/>
          <w:szCs w:val="22"/>
        </w:rPr>
        <w:t>№ _________________</w:t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spacing w:lineRule="auto" w:line="240"/>
        <w:jc w:val="left"/>
        <w:rPr/>
      </w:pPr>
      <w:r>
        <w:rPr>
          <w:rFonts w:ascii="Times New Roman" w:hAnsi="Times New Roman"/>
          <w:b/>
          <w:iCs/>
          <w:sz w:val="22"/>
          <w:szCs w:val="22"/>
        </w:rPr>
        <w:t xml:space="preserve"> </w:t>
      </w:r>
      <w:r>
        <w:rPr>
          <w:rFonts w:ascii="Times New Roman" w:hAnsi="Times New Roman"/>
          <w:b/>
          <w:iCs/>
          <w:sz w:val="22"/>
          <w:szCs w:val="22"/>
        </w:rPr>
        <w:t>г. Петропавловск-Камчатский                                                                      «____»_____________  ___</w:t>
      </w:r>
    </w:p>
    <w:p>
      <w:pPr>
        <w:pStyle w:val="Style18"/>
        <w:spacing w:lineRule="auto" w:line="240"/>
        <w:jc w:val="left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spacing w:lineRule="auto" w:line="240"/>
        <w:ind w:firstLine="851"/>
        <w:rPr/>
      </w:pPr>
      <w:r>
        <w:rPr>
          <w:rFonts w:ascii="Times New Roman" w:hAnsi="Times New Roman"/>
          <w:b/>
          <w:sz w:val="22"/>
          <w:szCs w:val="22"/>
        </w:rPr>
        <w:t>Публичное акционерное общество энергетики и электрификации «Камчатскэнерго»</w:t>
      </w:r>
      <w:r>
        <w:rPr>
          <w:rFonts w:ascii="Times New Roman" w:hAnsi="Times New Roman"/>
          <w:sz w:val="22"/>
          <w:szCs w:val="22"/>
        </w:rPr>
        <w:t xml:space="preserve">, именуемое в дальнейшем </w:t>
      </w:r>
      <w:r>
        <w:rPr>
          <w:rFonts w:ascii="Times New Roman" w:hAnsi="Times New Roman"/>
          <w:b/>
          <w:sz w:val="22"/>
          <w:szCs w:val="22"/>
        </w:rPr>
        <w:t>«Ресурсоснабжающая организация» – далее по тексту «РСО»</w:t>
      </w:r>
      <w:r>
        <w:rPr>
          <w:rFonts w:ascii="Times New Roman" w:hAnsi="Times New Roman"/>
          <w:sz w:val="22"/>
          <w:szCs w:val="22"/>
        </w:rPr>
        <w:t xml:space="preserve">, в лице </w:t>
      </w:r>
      <w:r>
        <w:rPr>
          <w:rFonts w:ascii="Times New Roman" w:hAnsi="Times New Roman"/>
          <w:b/>
          <w:color w:val="000000"/>
          <w:sz w:val="22"/>
          <w:szCs w:val="22"/>
        </w:rPr>
        <w:t>_______________________</w:t>
      </w:r>
      <w:r>
        <w:rPr>
          <w:rFonts w:ascii="Times New Roman" w:hAnsi="Times New Roman"/>
          <w:b/>
          <w:sz w:val="22"/>
          <w:szCs w:val="22"/>
        </w:rPr>
        <w:t xml:space="preserve"> филиала Публичного акционерного общества «Дальневосточная энергетическая компания» «Камчатскэнергосбыт» </w:t>
      </w: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действующей на основании </w:t>
      </w:r>
      <w:r>
        <w:rPr>
          <w:rFonts w:ascii="Times New Roman" w:hAnsi="Times New Roman"/>
          <w:b/>
          <w:bCs/>
          <w:i/>
          <w:iCs/>
          <w:color w:val="000000" w:themeColor="text1"/>
          <w:sz w:val="22"/>
          <w:szCs w:val="22"/>
        </w:rPr>
        <w:t xml:space="preserve">доверенности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№ ________________________________</w:t>
      </w:r>
      <w:r>
        <w:rPr>
          <w:rFonts w:ascii="Times New Roman" w:hAnsi="Times New Roman"/>
          <w:sz w:val="22"/>
          <w:szCs w:val="22"/>
        </w:rPr>
        <w:t>, с одной стороны, и</w:t>
      </w:r>
    </w:p>
    <w:p>
      <w:pPr>
        <w:pStyle w:val="Style18"/>
        <w:spacing w:lineRule="auto" w:line="240"/>
        <w:ind w:firstLine="851"/>
        <w:rPr/>
      </w:pPr>
      <w:r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, </w:t>
      </w:r>
      <w:r>
        <w:rPr>
          <w:rFonts w:ascii="Times New Roman" w:hAnsi="Times New Roman"/>
          <w:iCs/>
          <w:sz w:val="22"/>
          <w:szCs w:val="22"/>
        </w:rPr>
        <w:t xml:space="preserve">именуемое в дальнейшем </w:t>
      </w:r>
      <w:r>
        <w:rPr>
          <w:rFonts w:ascii="Times New Roman" w:hAnsi="Times New Roman"/>
          <w:b/>
          <w:iCs/>
          <w:sz w:val="22"/>
          <w:szCs w:val="22"/>
        </w:rPr>
        <w:t>«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Потребитель», </w:t>
      </w:r>
      <w:r>
        <w:rPr>
          <w:rFonts w:ascii="Times New Roman" w:hAnsi="Times New Roman"/>
          <w:iCs/>
          <w:sz w:val="22"/>
          <w:szCs w:val="22"/>
        </w:rPr>
        <w:t xml:space="preserve">в лице </w:t>
      </w:r>
      <w:r>
        <w:rPr>
          <w:rFonts w:ascii="Times New Roman" w:hAnsi="Times New Roman"/>
          <w:b/>
          <w:iCs/>
          <w:color w:val="0000FF"/>
          <w:sz w:val="22"/>
          <w:szCs w:val="22"/>
        </w:rPr>
        <w:t>_________________________________________________________________________________________</w:t>
      </w:r>
      <w:r>
        <w:rPr>
          <w:rFonts w:ascii="Times New Roman" w:hAnsi="Times New Roman"/>
          <w:b/>
          <w:iCs/>
          <w:sz w:val="22"/>
          <w:szCs w:val="22"/>
        </w:rPr>
        <w:t xml:space="preserve">,  </w:t>
      </w:r>
      <w:r>
        <w:rPr>
          <w:rFonts w:ascii="Times New Roman" w:hAnsi="Times New Roman"/>
          <w:iCs/>
          <w:sz w:val="22"/>
          <w:szCs w:val="22"/>
        </w:rPr>
        <w:t>действующего на основании _________________________________, с другой стороны (далее по тексту – «Стороны»), на основании пункта 8 части 1 статьи 93 Федерального закона от 5 апреля 2013 №44-ФЗ «О контрактной системе в сфере закупок товаров, работ, услуг для обеспечения государственных и муниципальных нужд» заключили настоящий договор (далее – Договор) о нижеследующем.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3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ОБЩИЕ ПОЛОЖЕНИЯ.</w:t>
      </w:r>
    </w:p>
    <w:p>
      <w:pPr>
        <w:pStyle w:val="Style18"/>
        <w:spacing w:lineRule="auto" w:line="240"/>
        <w:ind w:left="36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Понятия, используемые в тексте настоящего договора, имеют значения, определенные Федеральным законом «О теплоснабжении», федеральными законами и иными нормативно-правовыми актами.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По всем вопросам, не оговоренным настоящим договором, Стороны обязуются руководствоваться следующими документами: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Гражданским кодексом РФ;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Федеральным законом от 27.07.2010 № 190-ФЗ «О теплоснабжении»;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Федеральным законом от 07.12.2011 № 416-ФЗ «О водоснабжении и водоотведении»;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>Постановлением Правительства РФ</w:t>
      </w:r>
      <w:r>
        <w:rPr>
          <w:rFonts w:ascii="Times New Roman" w:hAnsi="Times New Roman"/>
          <w:iCs/>
          <w:sz w:val="22"/>
          <w:szCs w:val="22"/>
        </w:rPr>
        <w:t xml:space="preserve"> от 29.07.2013 № 642 «Об утверждении правил горячего водоснабжения и внесении изменения в постановление Правительства РФ от 13.02.2006 № 83»;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«Правилами организации теплоснабжения в Российской Федерации», утвержденными постановлением Правительства Российской Федерации от 08.08.2012 № 808;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>«Правилами предоставления коммунальных услуг собственникам и пользователям помещений в многоквартирных домах и жилых домов», утвержденными Постановлением Правительства РФ от 06.05.2011 № 354;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 xml:space="preserve">Постановлением Правительства РФ от 14 февраля 2012 г. № 124 «О правилах, обязательных при заключении договоров </w:t>
      </w:r>
      <w:r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bCs/>
          <w:iCs/>
          <w:sz w:val="22"/>
          <w:szCs w:val="22"/>
        </w:rPr>
        <w:t>снабжения коммунальными ресурсами для целей оказания коммунальных услуг»;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/>
      </w:pPr>
      <w:hyperlink r:id="rId3">
        <w:r>
          <w:rPr>
            <w:rStyle w:val="Style10"/>
            <w:rFonts w:ascii="Times New Roman" w:hAnsi="Times New Roman"/>
            <w:bCs/>
            <w:iCs/>
            <w:color w:val="00000A"/>
            <w:sz w:val="22"/>
            <w:szCs w:val="22"/>
            <w:u w:val="none"/>
          </w:rPr>
          <w:t>Постановлением Правительства РФ от 28.03.2012 № 253 «О требованиях к осуществлению расчетов за ресурсы, необходимые для предоставления коммунальных услуг»</w:t>
        </w:r>
      </w:hyperlink>
      <w:r>
        <w:rPr>
          <w:rFonts w:ascii="Times New Roman" w:hAnsi="Times New Roman"/>
          <w:bCs/>
          <w:iCs/>
          <w:sz w:val="22"/>
          <w:szCs w:val="22"/>
        </w:rPr>
        <w:t>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>Фе</w:t>
      </w:r>
      <w:r>
        <w:rPr>
          <w:rFonts w:ascii="Times New Roman" w:hAnsi="Times New Roman"/>
          <w:iCs/>
          <w:sz w:val="22"/>
          <w:szCs w:val="22"/>
        </w:rPr>
        <w:t>деральным законом от 23.11.2009 № 261-ФЗ «Об энергосбережении и о повышении энергетической эффективности»;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>Постановлением Правительства РФ от 18 ноября 2013 г. № 1034 «О коммерческом учете тепловой энергии, теплоносителя»;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Приказом Министерства энергетики РФ от 30.12.2008 № 325 «Об утверждении порядка определения нормативов технологических потерь при передаче тепловой энергии, теплоносителя», зарегистрированным в Минюсте России 16.03.2009 № 13513;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Другими документами, регламентирующими взаимоотношения между потребителями тепловой энергии и горячей воды и теплоснабжающей организацией.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lineRule="auto" w:line="240"/>
        <w:ind w:left="0" w:hanging="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ПРЕДМЕТ ДОГОВОРА.</w:t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numPr>
          <w:ilvl w:val="1"/>
          <w:numId w:val="8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РСО обязуется на условиях, предусмотренных настоящим договором, подавать Потребителю в точку поставки: </w:t>
      </w:r>
      <w:r>
        <w:rPr>
          <w:rFonts w:ascii="Times New Roman" w:hAnsi="Times New Roman"/>
          <w:b/>
          <w:iCs/>
          <w:sz w:val="22"/>
          <w:szCs w:val="22"/>
          <w:u w:val="single"/>
        </w:rPr>
        <w:t xml:space="preserve">на границу раздела централизованных тепловых сетей и внутридомовых сетей многоквартирного дома </w:t>
      </w:r>
      <w:r>
        <w:rPr>
          <w:rFonts w:ascii="Times New Roman" w:hAnsi="Times New Roman"/>
          <w:iCs/>
          <w:sz w:val="22"/>
          <w:szCs w:val="22"/>
          <w:u w:val="single"/>
        </w:rPr>
        <w:t>(</w:t>
      </w:r>
      <w:r>
        <w:rPr>
          <w:rFonts w:ascii="Times New Roman" w:hAnsi="Times New Roman"/>
          <w:iCs/>
          <w:sz w:val="22"/>
          <w:szCs w:val="22"/>
        </w:rPr>
        <w:t>внешняя граница стены многоквартирного дома</w:t>
      </w:r>
      <w:r>
        <w:rPr>
          <w:rFonts w:ascii="Times New Roman" w:hAnsi="Times New Roman"/>
          <w:b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 xml:space="preserve">или иная граница балансовой принадлежности тепловых сетей и эксплуатационной ответственности, согласованная между РСО и исполнителем коммунальных услуг, под управлением которого находится данный многоквартирный дом) тепловую энергию и (или) теплоноситель и (или) горячую воду на нужды отопления и горячего водоснабжения </w:t>
      </w:r>
      <w:r>
        <w:rPr>
          <w:rFonts w:ascii="Times New Roman" w:hAnsi="Times New Roman"/>
          <w:b/>
          <w:i/>
          <w:iCs/>
          <w:color w:val="0000FF"/>
          <w:sz w:val="22"/>
          <w:szCs w:val="22"/>
        </w:rPr>
        <w:t>нежилого (жилого)</w:t>
      </w:r>
      <w:r>
        <w:rPr>
          <w:rFonts w:ascii="Times New Roman" w:hAnsi="Times New Roman"/>
          <w:iCs/>
          <w:sz w:val="22"/>
          <w:szCs w:val="22"/>
        </w:rPr>
        <w:t xml:space="preserve"> помещения, а Потребитель готов принять и оплатить потребленную тепловую энергию и (или) теплоноситель и (или) горячую воду в объеме, в сроки и на условиях, предусмотренных настоящим договором, в пределах установленных Потребителю лимитов бюджетных обязательств.</w:t>
      </w:r>
    </w:p>
    <w:p>
      <w:pPr>
        <w:pStyle w:val="Style18"/>
        <w:numPr>
          <w:ilvl w:val="1"/>
          <w:numId w:val="8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Годовой объём отпуска тепловой энергии и (или) теплоносителя, и (или) горячей воды, заявленный Потребителем, а также перечень коммунальных ресурсов, того вида, предоставление которых возможно с учетом степени благоустройства многоквартирного дома, определяются Приложением №1.</w:t>
      </w:r>
    </w:p>
    <w:p>
      <w:pPr>
        <w:pStyle w:val="Style18"/>
        <w:numPr>
          <w:ilvl w:val="1"/>
          <w:numId w:val="8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 случае принятия нормативно-правовых актов, регулирующих вопросы в сфере теплоснабжения и горячего водоснабжения, в том числе, устанавливающих иной, по сравнению с настоящим договором, порядок организации отношений сторон, стороны применяют  указанные нормативно-правовые акты в целях исполнения договора  с даты их вступления в законную силу без внесения соответствующих изменений в настоящий договор.</w:t>
      </w:r>
    </w:p>
    <w:p>
      <w:pPr>
        <w:pStyle w:val="Style18"/>
        <w:numPr>
          <w:ilvl w:val="1"/>
          <w:numId w:val="8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Расчеты за тепловую энергию и (или) теплоноситель, и (или) горячую воду производятся по тарифам, установленным для РСО в порядке, определенном законодательством Российской Федерации о государственном регулировании цен (тарифов). Изменение тарифов в период действия настоящего договора не требует его переоформления. Величины тарифов доводятся до Потребителя специальным сообщением в средствах массовой информации, и подлежат применению с даты, установленной постановлениями уполномоченного органа исполнительной власти в области государственного регулирования цен (тарифов).</w:t>
      </w:r>
    </w:p>
    <w:p>
      <w:pPr>
        <w:pStyle w:val="Style18"/>
        <w:spacing w:lineRule="auto" w:line="240"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 заключении и исполнении договора допускается изменение существенных условий в соответствии с действующим законодательством РФ.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lineRule="auto" w:line="240"/>
        <w:jc w:val="center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ЦЕНА ДОГОВОРА.</w:t>
      </w:r>
    </w:p>
    <w:p>
      <w:pPr>
        <w:pStyle w:val="Style18"/>
        <w:spacing w:lineRule="auto" w:line="240"/>
        <w:ind w:left="39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Расчеты за тепловую энергию (мощность) и (или) теплоноситель, и (или) горячую воду, в том числе за повышенный расход, производятся по тарифам, установленным для РСО в порядке, определенном действующим законодательством Российской Федерации о государственном регулировании цен (тарифов). 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ab/>
        <w:t xml:space="preserve">Объем сверхдоговорного, безучетного потребления или потребления с нарушением режима потребления Потребитель оплачивает с применением повышающих коэффициентов к тарифам в сфере теплоснабжения, установленных в соответствии с действующим законодательством РФ. </w:t>
      </w:r>
    </w:p>
    <w:p>
      <w:pPr>
        <w:pStyle w:val="Style18"/>
        <w:numPr>
          <w:ilvl w:val="1"/>
          <w:numId w:val="2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Изменение тарифов в период действия настоящего договора не требует его переоформления. Величины тарифов доводятся до Потребителя специальным сообщением в средствах массовой информации, и подлежат применению с даты, установленной постановлениями уполномоченного органа исполнительной власти в области государственного регулирования цен (тарифов).</w:t>
      </w:r>
    </w:p>
    <w:p>
      <w:pPr>
        <w:pStyle w:val="Style18"/>
        <w:numPr>
          <w:ilvl w:val="1"/>
          <w:numId w:val="2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Договорные  объемы тепловой энергии (мощности) и (или) теплоносителя, и (или) горячей воды, поставляемые РСО и приобретаемые Потребителем, указаны в Приложении №1, которое является неотъемлемой частью настоящего договора. </w:t>
      </w:r>
    </w:p>
    <w:p>
      <w:pPr>
        <w:pStyle w:val="Style18"/>
        <w:spacing w:lineRule="auto" w:line="240"/>
        <w:ind w:firstLine="709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Цена настоящего договора определяется </w:t>
      </w:r>
      <w:r>
        <w:rPr>
          <w:rFonts w:ascii="Times New Roman" w:hAnsi="Times New Roman"/>
          <w:sz w:val="22"/>
          <w:szCs w:val="22"/>
        </w:rPr>
        <w:t xml:space="preserve">исходя из доведенных лимитов бюджетных обязательств </w:t>
      </w:r>
      <w:r>
        <w:rPr>
          <w:rFonts w:ascii="Times New Roman" w:hAnsi="Times New Roman"/>
          <w:iCs/>
          <w:sz w:val="22"/>
          <w:szCs w:val="22"/>
        </w:rPr>
        <w:t xml:space="preserve">на соответствующий финансовый год. Ориентировочный расчет цены договора производится в соответствии с договорными объемами тепловой энергии (мощности) и (или) теплоносителя, и (или) горячей воды, указанными в Приложении № 1 и тарифами, установленными для РСО в порядке, определенном законодательством РФ о государственном регулировании цен (тарифов). </w:t>
      </w:r>
    </w:p>
    <w:p>
      <w:pPr>
        <w:pStyle w:val="Style18"/>
        <w:spacing w:lineRule="auto" w:line="240"/>
        <w:ind w:firstLine="709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Цена настоящего договора указана в Приложении № 2 «Цена договора», которое является неотъемлемой частью настоящего договора и может корректироваться в период всего срока действия настоящего договора на основании письменного заявления Потребителя с подтверждением скорректированных лимитов бюджетных обязательств. 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1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 xml:space="preserve">КОЛИЧЕСТВО И КАЧЕСТВО ТЕПЛОВОЙ ЭНЕРГИИ </w:t>
      </w:r>
      <w:r>
        <w:rPr>
          <w:rFonts w:ascii="Times New Roman" w:hAnsi="Times New Roman"/>
          <w:b/>
          <w:iCs/>
          <w:sz w:val="22"/>
          <w:szCs w:val="22"/>
        </w:rPr>
        <w:t>(МОЩНОСТИ)</w:t>
      </w:r>
      <w:r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iCs/>
          <w:sz w:val="22"/>
          <w:szCs w:val="22"/>
        </w:rPr>
        <w:t>И (ИЛИ) ТЕПЛОНОСИТЕЛЯ И (ИЛИ) ГОРЯЧЕЙ ВОДЫ</w:t>
      </w:r>
      <w:r>
        <w:rPr>
          <w:rFonts w:ascii="Times New Roman" w:hAnsi="Times New Roman"/>
          <w:b/>
          <w:iCs/>
          <w:sz w:val="22"/>
          <w:szCs w:val="22"/>
        </w:rPr>
        <w:t>.</w:t>
      </w:r>
    </w:p>
    <w:p>
      <w:pPr>
        <w:pStyle w:val="Style18"/>
        <w:spacing w:lineRule="auto" w:line="240"/>
        <w:ind w:left="585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РСО несет обязательства по поставке тепловой энергии (мощности) и (или) теплоносителя, и (или) горячей воды Потребителю в точку поставки в объемах, предусмотренных настоящим договором и в пределах выделенных Потребителю лимитов бюджетных обязательств.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Потребитель несет ответственность за соблюдение режима потребления тепловой энергии (мощности) и (или) теплоносителя, и (или) горячей воды.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Расшифровка договорных величин потребления тепловой энергии (мощности) и (или) теплоносителя, и (или) горячей воды Потребителя указана в Приложении №1.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Показатели качества в точке поставки: 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Параметры тепловой энергии и теплоносителя  в системе отопления,  должны соответствовать графику регулирования отпуска тепла с источника тепловой энергии (мощности), разработанному в соответствии с требованиями законодательства РФ к качеству теплоснабжения и теплоносителей (Приложение №3).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Температура горячей воды соответствует СП 30.13330.2012 «Свод правил. Внутренний водопровод и канализация зданий», утвержденному Приказом Минрегиона России от 29.12.2011 № 626, СанПиН 2.1.4.1074-01.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  <w:u w:val="single"/>
        </w:rPr>
      </w:pPr>
      <w:r>
        <w:rPr>
          <w:rFonts w:ascii="Times New Roman" w:hAnsi="Times New Roman"/>
          <w:iCs/>
          <w:sz w:val="22"/>
          <w:szCs w:val="22"/>
        </w:rPr>
        <w:t>Режим потребления тепловой энергии (мощности) и (или) теплоносителя, и (или) горячей воды</w:t>
      </w:r>
      <w:r>
        <w:rPr>
          <w:rFonts w:ascii="Times New Roman" w:hAnsi="Times New Roman"/>
          <w:iCs/>
          <w:sz w:val="22"/>
          <w:szCs w:val="22"/>
          <w:u w:val="single"/>
        </w:rPr>
        <w:t>: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Величина максимального расхода теплоносителя для нужд отопления указана в Приложении №1;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Величина максимального часового и величина среднего за сутки часового потребления (разбора) теплоносителя на нужды горячего водоснабжения и (или) горячей воды указана в Приложении №1.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1"/>
        </w:numPr>
        <w:spacing w:lineRule="auto" w:line="240"/>
        <w:jc w:val="center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ПРАВА И ОБЯЗАННОСТИ СТОРОН.</w:t>
      </w:r>
    </w:p>
    <w:p>
      <w:pPr>
        <w:pStyle w:val="Style18"/>
        <w:spacing w:lineRule="auto" w:line="240"/>
        <w:ind w:left="585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РСО обязана: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Осуществлять поставку тепловой энергии и (или) теплоносителя, и (или) горячей воды на внешнюю границу стены многоквартирного дома или иную границу балансовой принадлежности тепловых сетей и эксплуатационной ответственности, согласованную между РСО и исполнителем коммунальных услуг, под управлением которого находится данный многоквартирный дом, в необходимых для Потребителя объемах и надлежащего качества в соответствии с нормативными документами в пределах установленных Потребителю лимитов бюджетных обязательств, за исключением следующих случаев:</w:t>
      </w:r>
    </w:p>
    <w:p>
      <w:pPr>
        <w:pStyle w:val="Style18"/>
        <w:numPr>
          <w:ilvl w:val="0"/>
          <w:numId w:val="9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форс-мажорные обстоятельства;</w:t>
      </w:r>
    </w:p>
    <w:p>
      <w:pPr>
        <w:pStyle w:val="Style18"/>
        <w:numPr>
          <w:ilvl w:val="0"/>
          <w:numId w:val="10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аварийный или планово-предупредительный ремонт тепловых сетей;</w:t>
      </w:r>
    </w:p>
    <w:p>
      <w:pPr>
        <w:pStyle w:val="Style18"/>
        <w:numPr>
          <w:ilvl w:val="0"/>
          <w:numId w:val="1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ограничением или прекращением подачи теплоносителя, осуществленным по предписанию органов государственного энергетического надзора или Госгортехнадзора России;</w:t>
      </w:r>
    </w:p>
    <w:p>
      <w:pPr>
        <w:pStyle w:val="Style18"/>
        <w:numPr>
          <w:ilvl w:val="0"/>
          <w:numId w:val="1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неисправности теплопотребляющих установок Потребителя.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Поддерживать в точке поставки параметры теплоносителя (в целях горячего водоснабжения при открытой системе теплоснабжения) в соответствии с графиком регулирования отпуска тепла с источника тепловой энергии, разработанным в соответствии с требованиями нормативных документов и законодательства РФ (Приложение № 3).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Поддерживать в точке поставки качество горячей воды (при закрытой системе теплоснабжения) в части водно-химического режима тепловых сетей в точке поставки в соответствии с действующими нормами и правилами.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Предупреждать Потребителя о предстоящем плановом перерыве подачи тепловой энергии и (или) теплоносителя, и (или) горячей воды в сроки, соответствующие Правилам предоставления коммунальных услуг, путем размещения указанной информации в официальных средствах массовой информации.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Принимать от Потребителя показания индивидуальных приборов учета (Приложение № 5) и использовать их при расчете размера платы за коммунальные ресурсы, потребленные в расчетном периоде, а так же проводить проверки состояния указанных приборов учета и достоверности предоставленных Потребителем показаний этих приборов.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РСО имеет право: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Требовать от Потребителя оплаты поставленного объема тепловой энергии и (или) теплоносителя, и (или) горячей воды, принятого в соответствии с условиями настоящего договора.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Производить ограничения отпуска теплоносителя, и (или) горячей воды и отключение Потребителя полностью за неисполнение или ненадлежащее исполнение Потребителем обязательств по оплате тепловой энергии и (или) теплоносителя, и (или) горячей воды при отсутствии подтвержденных лимитов бюджетных обязательств, а также в случае несоблюдения установленных техническими регламентами обязательных требований безопасной эксплуатации теплопотребляющих установок, прекращение обязательств Сторон по договору теплоснабжения, выявление фактов бездоговорного потребления тепловой энергии и (или) теплоносителя, и (или) горячей воды.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Осуществлять иные права, предоставленные РСО, по настоящему договору и нормативными правовыми актами Российской Федерации.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Потребитель</w:t>
      </w:r>
      <w:r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b/>
          <w:iCs/>
          <w:sz w:val="22"/>
          <w:szCs w:val="22"/>
        </w:rPr>
        <w:t>обязан: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Оплачивать потребленную тепловую энергию и (или) теплоноситель, и (или) горячую воду (коммунальные ресурсы) по установленным тарифам в размере, порядке и сроки, предусмотренные настоящим договором.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Ежемесячно в срок до 23 числа месяца, следующего за расчетным, направлять в адрес РСО данные о показаниях индивидуальных приборов учета потребления коммунальных ресурсов, установленных в принадлежащем Потребителю помещении.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Предоставлять в РСО сведения об уполномоченных должностных лицах, ответственных за исполнение договора и сообщать в течение 10 дней об изменении данных сведений (Приложение №4).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Установить прибор учета ГВС и обеспечивать его исправное состояние, а также обеспечить сохранность пломб и знаков поверки на приборах учета (узлах учета), кранах и задвижках на их обводах и других устройствах. Производить замену (ремонт) прибора учета в течение 30 дней с момента выхода его из строя.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Беспрепятственно допускать представителей РСО по их служебным документам для контроля за режимом теплопотребления, рациональным использованием тепловой энергии и (или) теплоносителя и (или) горячей воды, техническим состоянием и эксплуатацией систем потребления. В случае отказа в допуске представителей РСО к приборам учета (узлам учета) такие приборы учета (узлы учета) признаются неисправными. В таком случае применяется расчетный метод определения количества поданной (полученной) горячей воды и (или) теплоносителя за расчетный период (Приложение № 1).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Выполнять в установленные сроки предписания РСО об устранении недостатков в эксплуатации и обслуживании индивидуальных приборов учета.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Извещать письменно в течение 10 дней РСО о смене Потребителя, изменении юридического статуса, наименования, руководителя, главного бухгалтера, местонахождения, банковских реквизитов, реорганизации и ликвидации, а также других реквизитов, влияющих на надлежащее исполнение настоящего договора.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При отчуждении объектов заблаговременно направлять письмо в РСО о прекращении действия настоящего договора, произвести полный расчёт за потреблённую тепловую энергию и (или) теплоноситель и (или) горячую воду.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Соблюдать режим потребления тепловой энергии и (или) теплоносителя и (или) горячей воды:</w:t>
      </w:r>
    </w:p>
    <w:p>
      <w:pPr>
        <w:pStyle w:val="Style18"/>
        <w:numPr>
          <w:ilvl w:val="3"/>
          <w:numId w:val="1"/>
        </w:numPr>
        <w:spacing w:lineRule="auto" w:line="240"/>
        <w:ind w:left="0" w:firstLine="567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не допускать ухудшения качества горячей воды в части водно-химического режима;</w:t>
      </w:r>
    </w:p>
    <w:p>
      <w:pPr>
        <w:pStyle w:val="Style18"/>
        <w:numPr>
          <w:ilvl w:val="3"/>
          <w:numId w:val="1"/>
        </w:numPr>
        <w:spacing w:lineRule="auto" w:line="240"/>
        <w:ind w:left="0" w:firstLine="567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не допускать загрязнения теплоносителя (сетевой воды);</w:t>
      </w:r>
    </w:p>
    <w:p>
      <w:pPr>
        <w:pStyle w:val="Style18"/>
        <w:numPr>
          <w:ilvl w:val="3"/>
          <w:numId w:val="1"/>
        </w:numPr>
        <w:spacing w:lineRule="auto" w:line="240"/>
        <w:ind w:left="0" w:firstLine="567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не производить слив теплоносителя из системы отопления (при закрытой системе теплоснабжения);</w:t>
      </w:r>
    </w:p>
    <w:p>
      <w:pPr>
        <w:pStyle w:val="Style18"/>
        <w:numPr>
          <w:ilvl w:val="3"/>
          <w:numId w:val="1"/>
        </w:numPr>
        <w:spacing w:lineRule="auto" w:line="240"/>
        <w:ind w:left="0" w:firstLine="567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не вносить изменения в систему теплоснабжения МКД непредусмотренные проектной и (или) технической документацией на МКД.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 случае выявления нарушения Потребителем режима потребления тепловой энергии и (или) горячей воды, и (или) теплоносителя (в том числе самовольное подключение систем</w:t>
      </w:r>
      <w:r>
        <w:rPr>
          <w:rFonts w:ascii="Times New Roman" w:hAnsi="Times New Roman"/>
          <w:bCs/>
          <w:iCs/>
          <w:sz w:val="22"/>
          <w:szCs w:val="22"/>
        </w:rPr>
        <w:t xml:space="preserve"> теплопотребления)</w:t>
      </w:r>
      <w:r>
        <w:rPr>
          <w:rFonts w:ascii="Times New Roman" w:hAnsi="Times New Roman"/>
          <w:iCs/>
          <w:sz w:val="22"/>
          <w:szCs w:val="22"/>
        </w:rPr>
        <w:t xml:space="preserve"> при условии отсутствия у Потребителя коммерческого учета тепловой энергии и (или) горячей воды, и (или) теплоносителя, Потребитель обязан оплатить РСО объем сверхдоговорного, бездоговорного, безучетного потребления или потребления с нарушением режима потребления с применением к тарифам в сфере теплоснабжения повышающих коэффициентов, установленных в соответствии с действующим законодательством РФ.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Потребитель имеет право</w:t>
      </w:r>
      <w:r>
        <w:rPr>
          <w:rFonts w:ascii="Times New Roman" w:hAnsi="Times New Roman"/>
          <w:iCs/>
          <w:sz w:val="22"/>
          <w:szCs w:val="22"/>
        </w:rPr>
        <w:t>: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Требовать от РСО проведения проверок качества предоставляемых коммунальных услуг, оформления и предоставления акта проверки, акта об устранении выявленных недостатков;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Вносить изменения в договорные величины теплопотребления на предстоящий период не позднее, чем за 1 месяц до намеченного изменения при наличии подтверждающих документов. Заявка направляется в письменной форме.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Заявки на корректировку объема в сторону увеличения рассматриваются РСО при выделении дополнительных лимитов бюджетных обязательств.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1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 xml:space="preserve">ПОРЯДОК </w:t>
      </w:r>
      <w:r>
        <w:rPr>
          <w:rFonts w:ascii="Times New Roman" w:hAnsi="Times New Roman"/>
          <w:b/>
          <w:iCs/>
          <w:sz w:val="22"/>
          <w:szCs w:val="22"/>
        </w:rPr>
        <w:t>УЧЕТА И ОПРЕДЕЛЕНИЕ ОБЪЕМА.</w:t>
      </w:r>
    </w:p>
    <w:p>
      <w:pPr>
        <w:pStyle w:val="Style18"/>
        <w:spacing w:lineRule="auto" w:line="240"/>
        <w:ind w:left="585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При наличии приборов учета у Потребителя расчет за теплоноситель и (или) горячую воду производится по приборам учета, установленным у Потребителя (Приложение № 5). 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В случае отсутствия (при наличии технической возможности установки) или неисправности прибора учета свыше 2 месяцев порядок определения объемов потребления производится следующим образом: </w:t>
      </w:r>
    </w:p>
    <w:p>
      <w:pPr>
        <w:pStyle w:val="Style18"/>
        <w:numPr>
          <w:ilvl w:val="0"/>
          <w:numId w:val="12"/>
        </w:numPr>
        <w:spacing w:lineRule="auto" w:line="240"/>
        <w:ind w:left="426" w:hanging="426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величина потребленного теплоносителя для нужд горячего водоснабжения, и (или) горячей воды определяется на основании расчетной величины расхода теплоносителя для нужд горячего водоснабжения, и (или) горячей воды в соответствии с нормой водопотребления, утвержденной органом местного самоуправления, при отсутствии утвержденной нормы, согласно СНиП 2.04.01-85*«Внутренний водопровод и канализация зданий» по тарифу, установленному уполномоченным государственным органом с применением к тарифам в сфере теплоснабжения повышающих коэффициентов, установленных в соответствии с действующим законодательством РФ; </w:t>
      </w:r>
    </w:p>
    <w:p>
      <w:pPr>
        <w:pStyle w:val="Style18"/>
        <w:numPr>
          <w:ilvl w:val="0"/>
          <w:numId w:val="12"/>
        </w:numPr>
        <w:spacing w:lineRule="auto" w:line="240"/>
        <w:ind w:left="426" w:hanging="426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объем теплоносителя для нужд горячего водоснабжения, и (или) горячей воды потребленных на общедомовые нужды определяется исходя из расчетной величины потребления, равной применяемому в таком многоквартирном доме нормативу потребления коммунальной услуги на общедомовые нужды;</w:t>
      </w:r>
    </w:p>
    <w:p>
      <w:pPr>
        <w:pStyle w:val="Style18"/>
        <w:numPr>
          <w:ilvl w:val="0"/>
          <w:numId w:val="12"/>
        </w:numPr>
        <w:spacing w:lineRule="auto" w:line="240"/>
        <w:ind w:left="426" w:hanging="426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величина потребленной тепловой энергии на нужды отопления определяется в соответствии с Приложением N 2 к «Правилам предоставления коммунальных услуг…» (далее - Правила), утвержденным постановлением Правительства РФ от 06.05.2011 № 354, исходя из расчетной величины потребления тепловой энергии, равной применяемому в таком многоквартирном доме нормативу потребления коммунальной услуги отопления.</w:t>
      </w:r>
    </w:p>
    <w:p>
      <w:pPr>
        <w:pStyle w:val="Style18"/>
        <w:numPr>
          <w:ilvl w:val="0"/>
          <w:numId w:val="12"/>
        </w:numPr>
        <w:spacing w:lineRule="auto" w:line="240"/>
        <w:ind w:left="426" w:hanging="426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размер платы за коммунальную услугу, предоставленную на общедомовые нужды в многоквартирном доме, определяется в соответствии с Приложением №2 к Правилам.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При обнаружении осуществленного с нарушением установленного порядка подключения (далее - несанкционированное подключение) внутриквартирного оборудования потребителя к внутридомовым инженерным системам РСО обязана незамедлительно устранить (демонтировать) такое несанкционированное подключение и произвести доначисление платы за коммунальную услугу для потребителя, в интересах которого совершено такое подключение, за потребленные без надлежащего учета коммунальные услуги в соответствии с действующим законодательством РФ.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При обнаружении РСО факта несанкционированного вмешательства в работу индивидуального прибора учета, расположенного в помещении Потребителя, повлекшего искажение показаний такого прибора учета, РСО факта несанкционированного вмешательства в работу индивидуального прибора учета, расположенного в помещении Потребителя, повлекшего искажение показаний такого прибора учета, РСО обязана прекратить использование показаний такого прибора учета при расчетах за коммунальную услугу и произвести перерасчет размера платы за коммунальную услугу для Потребителя исходя из объемов коммунального ресурса, рассчитанных как произведение договорного объема потребления тепловой энергии и (или) теплоносителя и (или) горячей воды (Приложение №1) и тарифа на тепловую энергию и (или) теплоноситель за период начиная с даты несанкционированного вмешательства в работу прибора учета, указанной в акте проверки состояния прибора учета, составленном РСО, до даты устранения такого вмешательства.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Если дату осуществления несанкционированного подключения или вмешательства в работу прибора учета установить невозможно, то доначисление должно быть произведено начиная с даты проведения предыдущей проверки, но не более чем за 6 месяцев, предшествующих месяцу, в котором выявлено несанкционированное подключение или вмешательство в работу прибора учета.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5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ПОРЯДОК РАСЧЕТОВ.</w:t>
      </w:r>
    </w:p>
    <w:p>
      <w:pPr>
        <w:pStyle w:val="Style18"/>
        <w:spacing w:lineRule="auto" w:line="240"/>
        <w:ind w:left="36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numPr>
          <w:ilvl w:val="1"/>
          <w:numId w:val="5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/>
          <w:i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Расчетным периодом по настоящему договору является один календарный месяц. </w:t>
      </w:r>
    </w:p>
    <w:p>
      <w:pPr>
        <w:pStyle w:val="Style18"/>
        <w:numPr>
          <w:ilvl w:val="1"/>
          <w:numId w:val="5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Потребитель оплачивает приобретенный объем тепловой энергии (мощности) и (или) теплоносителя, и (или) горячей воды в следующем порядке:</w:t>
      </w:r>
    </w:p>
    <w:p>
      <w:pPr>
        <w:pStyle w:val="Style18"/>
        <w:numPr>
          <w:ilvl w:val="0"/>
          <w:numId w:val="6"/>
        </w:numPr>
        <w:tabs>
          <w:tab w:val="left" w:pos="709" w:leader="none"/>
        </w:tabs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30 процентов</w:t>
      </w:r>
      <w:r>
        <w:rPr>
          <w:rFonts w:ascii="Times New Roman" w:hAnsi="Times New Roman"/>
          <w:iCs/>
          <w:sz w:val="22"/>
          <w:szCs w:val="22"/>
        </w:rPr>
        <w:t xml:space="preserve"> плановой общей стоимости тепловой энергии (мощности) и (или) теплоносителя и (или) горячей воды, потребляемых в месяце, за который осуществляется оплата, вносится </w:t>
      </w:r>
      <w:r>
        <w:rPr>
          <w:rFonts w:ascii="Times New Roman" w:hAnsi="Times New Roman"/>
          <w:b/>
          <w:iCs/>
          <w:sz w:val="22"/>
          <w:szCs w:val="22"/>
        </w:rPr>
        <w:t>до 18-го числа</w:t>
      </w:r>
      <w:r>
        <w:rPr>
          <w:rFonts w:ascii="Times New Roman" w:hAnsi="Times New Roman"/>
          <w:iCs/>
          <w:sz w:val="22"/>
          <w:szCs w:val="22"/>
        </w:rPr>
        <w:t xml:space="preserve"> текущего месяца;</w:t>
      </w:r>
    </w:p>
    <w:p>
      <w:pPr>
        <w:pStyle w:val="Style18"/>
        <w:numPr>
          <w:ilvl w:val="0"/>
          <w:numId w:val="6"/>
        </w:numPr>
        <w:tabs>
          <w:tab w:val="left" w:pos="709" w:leader="none"/>
        </w:tabs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оплата за фактически потребленную в истекшем месяце тепловую энергию (мощность) и (или) теплоноситель, и (или) горячую воду с учетом средств, ранее внесенных Потребителем в качестве оплаты за тепловую энергию в расчетном периоде, осуществляется </w:t>
      </w:r>
      <w:r>
        <w:rPr>
          <w:rFonts w:ascii="Times New Roman" w:hAnsi="Times New Roman"/>
          <w:b/>
          <w:iCs/>
          <w:sz w:val="22"/>
          <w:szCs w:val="22"/>
        </w:rPr>
        <w:t>до 10-го числа</w:t>
      </w:r>
      <w:r>
        <w:rPr>
          <w:rFonts w:ascii="Times New Roman" w:hAnsi="Times New Roman"/>
          <w:iCs/>
          <w:sz w:val="22"/>
          <w:szCs w:val="22"/>
        </w:rPr>
        <w:t xml:space="preserve"> месяца, следующего за месяцем, за который осуществляется оплата. В случае если объем фактического потребления тепловой энергии и (или) теплоносителя, и (или) горячей воды за истекший месяц меньше объема, определенного настоящим договором, излишне уплаченная сумма засчитывается в счет предстоящего платежа за следующий месяц.</w:t>
      </w:r>
    </w:p>
    <w:p>
      <w:pPr>
        <w:pStyle w:val="Style18"/>
        <w:tabs>
          <w:tab w:val="left" w:pos="142" w:leader="none"/>
        </w:tabs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Плановая общая стоимость потребляемой тепловой энергии (мощности) и (или) теплоносителя в месяце, за который осуществляется оплата, рассчитывается как произведение определенного договором теплоснабжения договорного объема потребления тепловой энергии (мощности) и (или) теплоносителя в месяце, за который осуществляется оплата, и тарифа на тепловую энергию (мощность) и (или) теплоноситель или цены, определяемой по соглашению сторон.</w:t>
      </w:r>
    </w:p>
    <w:p>
      <w:pPr>
        <w:pStyle w:val="Style18"/>
        <w:tabs>
          <w:tab w:val="left" w:pos="142" w:leader="none"/>
        </w:tabs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По окончанию расчетного периода РСО предъявляет Потребителю счет-фактуру, счет и Акт выполненных работ (приема-передачи) в 2-х экземплярах. Потребитель возвращает один экземпляр Акта выполненных работ (приема-передачи), подписанный руководителем и скрепленный печатью, в адрес РСО не позднее 5-ти рабочих дней с момента получения. В случае невозврата Потребителем подписанного Акта выполненных работ (приема-передачи) по истечении установленного выше срока указанный Акт считается принятым, объемы энергоресурсов согласованными.</w:t>
      </w:r>
    </w:p>
    <w:p>
      <w:pPr>
        <w:pStyle w:val="Style18"/>
        <w:tabs>
          <w:tab w:val="left" w:pos="142" w:leader="none"/>
        </w:tabs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В случае частичного отказа от объема потребления коммунальных ресурсов, указанного в Акте выполненных работ (приема-передачи), Потребитель обязан оплатить стоимость неоспариваемой части потребления в срок, установленный настоящим договоров и направить в РСО мотивированный отказ от оплаты оспариваемой части объема потребления. </w:t>
      </w:r>
    </w:p>
    <w:p>
      <w:pPr>
        <w:pStyle w:val="Style18"/>
        <w:tabs>
          <w:tab w:val="left" w:pos="142" w:leader="none"/>
        </w:tabs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В случае если Потребитель не направил в адрес РСО мотивированного отказа в течение 5-ти рабочих дней с момента получения Акта выполненных работ (приема-передачи), претензии по объему и качеству не принимаются. </w:t>
      </w:r>
    </w:p>
    <w:p>
      <w:pPr>
        <w:pStyle w:val="Style18"/>
        <w:tabs>
          <w:tab w:val="left" w:pos="142" w:leader="none"/>
        </w:tabs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Размер оспариваемых обязательств по оплате определяется Сторонами путём переговоров, а в случае не достижения согласия – в судебном порядке. </w:t>
      </w:r>
    </w:p>
    <w:p>
      <w:pPr>
        <w:pStyle w:val="Style18"/>
        <w:tabs>
          <w:tab w:val="left" w:pos="142" w:leader="none"/>
        </w:tabs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 xml:space="preserve">7.3. </w:t>
      </w:r>
      <w:r>
        <w:rPr>
          <w:rFonts w:ascii="Times New Roman" w:hAnsi="Times New Roman"/>
          <w:iCs/>
          <w:sz w:val="22"/>
          <w:szCs w:val="22"/>
        </w:rPr>
        <w:t>При поставке тепловой энергии с использованием теплоносителя в виде пара, Потребитель производит оплату по установленным тарифам или по ценам, определенным соглашением сторон, а также возмещает РСО затраты, связанные с частичным или полным невозвратом конденсата (затраты на воду и химводоподготовку), и (или) затраты, связанные с поступлением на источник тепловой энергии конденсата, качество которого не соответствует условиям договора, по ценам, определяемым в соответствии с установленными тарифами, а в случаях, установленных законодательством РФ, либо в отсутствие установленных тарифов - по ценам, определенным соглашением сторон.</w:t>
      </w:r>
    </w:p>
    <w:p>
      <w:pPr>
        <w:pStyle w:val="Style18"/>
        <w:tabs>
          <w:tab w:val="left" w:pos="142" w:leader="none"/>
        </w:tabs>
        <w:spacing w:lineRule="auto" w:line="240"/>
        <w:rPr/>
      </w:pPr>
      <w:r>
        <w:rPr>
          <w:rFonts w:ascii="Times New Roman" w:hAnsi="Times New Roman"/>
          <w:b/>
          <w:iCs/>
          <w:sz w:val="22"/>
          <w:szCs w:val="22"/>
        </w:rPr>
        <w:t>7.4.</w:t>
      </w:r>
      <w:r>
        <w:rPr>
          <w:rFonts w:ascii="Times New Roman" w:hAnsi="Times New Roman"/>
          <w:iCs/>
          <w:sz w:val="22"/>
          <w:szCs w:val="22"/>
        </w:rPr>
        <w:t xml:space="preserve"> При оплате стоимости потребленной тепловой энергии (мощности) и (или) теплоносителя, и (или) горячей воды платежными поручениями Потребитель обязательно в поле «назначение платежа» указывает: оплата по договору </w:t>
      </w:r>
      <w:r>
        <w:rPr>
          <w:rFonts w:ascii="Times New Roman" w:hAnsi="Times New Roman"/>
          <w:b/>
          <w:bCs/>
          <w:iCs/>
          <w:sz w:val="22"/>
          <w:szCs w:val="22"/>
        </w:rPr>
        <w:t>№ ___________</w:t>
      </w:r>
      <w:r>
        <w:rPr>
          <w:rFonts w:ascii="Times New Roman" w:hAnsi="Times New Roman"/>
          <w:b/>
          <w:bCs/>
          <w:iCs/>
          <w:sz w:val="22"/>
          <w:szCs w:val="22"/>
          <w:lang w:val="en-US"/>
        </w:rPr>
        <w:t> </w:t>
      </w:r>
      <w:r>
        <w:rPr>
          <w:rFonts w:ascii="Times New Roman" w:hAnsi="Times New Roman"/>
          <w:b/>
          <w:iCs/>
          <w:sz w:val="22"/>
          <w:szCs w:val="22"/>
        </w:rPr>
        <w:t xml:space="preserve">от «____»_____________   __ </w:t>
      </w:r>
      <w:r>
        <w:rPr>
          <w:rFonts w:ascii="Times New Roman" w:hAnsi="Times New Roman"/>
          <w:iCs/>
          <w:sz w:val="22"/>
          <w:szCs w:val="22"/>
        </w:rPr>
        <w:t>за тепловую энергию (мощность) и (или) теплоноситель, и (или) горячую воду, номер и дату счета-фактуры или счета, период, за который производится оплата. В случае отсутствия в платежном поручении назначения платежа полученная сумма направляется РСО на погашение задолженности в порядке календарной очередности (на самый ранее неоплаченный счет-фактуру), а при отсутствии задолженности – зачисляется в качестве аванса в счет будущих периодов потребления.</w:t>
      </w:r>
    </w:p>
    <w:p>
      <w:pPr>
        <w:pStyle w:val="Style18"/>
        <w:tabs>
          <w:tab w:val="left" w:pos="142" w:leader="none"/>
        </w:tabs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7.5.</w:t>
      </w:r>
      <w:r>
        <w:rPr>
          <w:rFonts w:ascii="Times New Roman" w:hAnsi="Times New Roman"/>
          <w:iCs/>
          <w:sz w:val="22"/>
          <w:szCs w:val="22"/>
        </w:rPr>
        <w:t xml:space="preserve"> Для изменения назначения платежа требуется обязательное письменное согласие обеих сторон. </w:t>
      </w:r>
    </w:p>
    <w:p>
      <w:pPr>
        <w:pStyle w:val="Style18"/>
        <w:tabs>
          <w:tab w:val="left" w:pos="142" w:leader="none"/>
        </w:tabs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7.6.</w:t>
      </w:r>
      <w:r>
        <w:rPr>
          <w:rFonts w:ascii="Times New Roman" w:hAnsi="Times New Roman"/>
          <w:iCs/>
          <w:sz w:val="22"/>
          <w:szCs w:val="22"/>
        </w:rPr>
        <w:t xml:space="preserve"> Обязательство по оплате считается исполненным в день поступления денежных средств на расчетный счет РСО. </w:t>
      </w:r>
    </w:p>
    <w:p>
      <w:pPr>
        <w:pStyle w:val="Style18"/>
        <w:tabs>
          <w:tab w:val="left" w:pos="142" w:leader="none"/>
        </w:tabs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7.7.</w:t>
      </w:r>
      <w:r>
        <w:rPr>
          <w:rFonts w:ascii="Times New Roman" w:hAnsi="Times New Roman"/>
          <w:iCs/>
          <w:sz w:val="22"/>
          <w:szCs w:val="22"/>
        </w:rPr>
        <w:t xml:space="preserve"> Стороны обязуются ежеквартально проводить сверку взаимных расчетов с составлением Акта сверки. РСО по истечении квартала направляет Потребителю оформленный со своей Стороны Акт сверки. Потребитель обязан в течение 10 дней с момента получения рассмотреть Акт сверки, подписать и направить один экземпляр РСО.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5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ПОРЯДОК КОНТРОЛЯ И КАЧЕСТВА ГОРЯЧЕЙ ВОДЫ.</w:t>
      </w:r>
    </w:p>
    <w:p>
      <w:pPr>
        <w:pStyle w:val="Style18"/>
        <w:spacing w:lineRule="auto" w:line="240"/>
        <w:ind w:left="36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numPr>
          <w:ilvl w:val="1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Контроль качества подаваемой горячей воды осуществляется в соответствии с законодательством Российской Федерации в области обеспечения санитарно-эпидемиологического благополучия населения: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а) по инициативе и за счет Потребителя;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б) на основании программы производственного контроля качества горячей воды организации, осуществляющей горячее водоснабжение;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в) при осуществлении федерального государственного санитарно-эпидемиологического контроля уполномоченным территориальным органом федерального органа исполнительной власти.</w:t>
      </w:r>
    </w:p>
    <w:p>
      <w:pPr>
        <w:pStyle w:val="Style18"/>
        <w:numPr>
          <w:ilvl w:val="1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Контроль качества горячей воды, подаваемой Потребителю с использованием систем горячего водоснабжения, включает в себя отбор проб воды, проведение лабораторных исследований и испытаний на соответствие горячей воды установленным требованиям на границе балансовой принадлежности тепловых сетей и эксплуатационной ответственности, согласованной между РСО и исполнителем коммунальных услуг, под управлением которого находится данный многоквартирный дом.\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5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ОТВЕТСТВЕННОСТЬ СТОРОН.</w:t>
      </w:r>
    </w:p>
    <w:p>
      <w:pPr>
        <w:pStyle w:val="Style18"/>
        <w:spacing w:lineRule="auto" w:line="240"/>
        <w:ind w:left="36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numPr>
          <w:ilvl w:val="1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Стороны несут ответственность за неисполнение или ненадлежащее исполнение обязательств по настоящему договору, в случаях и порядке, определенных законодательством Российской Федерации и настоящим договором, в том числе за нарушение порядка полного и (или) частичного ограничения режима потребления. </w:t>
      </w:r>
    </w:p>
    <w:p>
      <w:pPr>
        <w:pStyle w:val="Style18"/>
        <w:numPr>
          <w:ilvl w:val="1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РСО несет ответственность за нарушение условий поставки, в том числе надежности качества тепловой энергии (мощности) и (или) теплоносителя, и (или) горячей воды до точек раздела границ. Потребитель несет ответственность за нарушение порядка оплаты.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ab/>
        <w:t>РСО не несет ответственности за недоотпуск тепловой энергии (мощности) и (или) теплоносителя, и (или) горячей воды, произошедший по вине Потребителя, или вызванный стихийным явлением, или ненадлежащим исполнением Потребителем своих обязательств, предусмотренных настоящим договором или действующим законодательством РФ.</w:t>
      </w:r>
    </w:p>
    <w:p>
      <w:pPr>
        <w:pStyle w:val="Style18"/>
        <w:numPr>
          <w:ilvl w:val="1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Потребитель несёт ответственность за предоставление недостоверных исходных данных, используемых РСО при расчётах потребления тепловой энергии (мощности) и (или) теплоносителя, и (или) горячей воды, и возмещает РСО разницу в потреблении за весь период в пределах срока исковой давности.</w:t>
      </w:r>
    </w:p>
    <w:p>
      <w:pPr>
        <w:pStyle w:val="Style18"/>
        <w:numPr>
          <w:ilvl w:val="1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 случае несвоевременной и (или) неполной оплаты тепловой энергии (мощности) и (или) теплоносителя, и (или) горячей воды по настоящему договору Потребитель несет ответственность, предусмотренную действующим законодательством.</w:t>
      </w:r>
    </w:p>
    <w:p>
      <w:pPr>
        <w:pStyle w:val="Style18"/>
        <w:numPr>
          <w:ilvl w:val="1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договором, произошло вследствие непреодолимой силы или по вине другой Стороны.</w:t>
      </w:r>
    </w:p>
    <w:p>
      <w:pPr>
        <w:pStyle w:val="Style18"/>
        <w:numPr>
          <w:ilvl w:val="1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Уплата неустоек за просрочку, неисполнение или ненадлежащее исполнение обязательств по настоящему договору, а также возмещение убытков, причиненных ненадлежащим исполнением обязательств, не освобождает Стороны от исполнения обязательств по договору.</w:t>
      </w:r>
    </w:p>
    <w:p>
      <w:pPr>
        <w:pStyle w:val="Style18"/>
        <w:numPr>
          <w:ilvl w:val="1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Все споры и разногласия, возникающие в связи с исполнением, заключением и расторжением настоящего договора, разрешаются Сторонами в досудебном порядке, в случае недостижения согласия  подлежат разрешению в Арбитражном суде Камчатского края. Каждая из Сторон имеет право обратиться с заявлением об урегулировании разногласий, возникших при заключении, изменении настоящего договора после принятия мер по досудебному урегулированию по истечении десяти календарных дней со дня направления претензии (требования).</w:t>
      </w:r>
    </w:p>
    <w:p>
      <w:pPr>
        <w:pStyle w:val="Style18"/>
        <w:numPr>
          <w:ilvl w:val="1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Перечень должностных лиц, ответственных за эксплуатацию ПУ, имеющих право ведения оперативных переговоров, получения и принятия, подписания документов, приведен в Приложении № 4.</w:t>
      </w:r>
    </w:p>
    <w:p>
      <w:pPr>
        <w:pStyle w:val="Style18"/>
        <w:numPr>
          <w:ilvl w:val="1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Стороны освобождаются от ответственности за неисполнение или ненадлежащее исполнение обязательств по настоящему договору, если это явилось следствием обстоятельств непреодолимой силы, возникших после заключения договора, как-то: стихийные бедствия, военные действия любого характера, правительственные постановления или распоряжения государственных органов, препятствующие выполнению условий настоящего договора. Сторона, ссылающаяся на обстоятельства непреодолимой силы, обязана незамедлительно информировать другую Сторону о наступлении подобных обстоятельств в письменной форме.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5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СРОК ДЕЙСТВИЯ ДОГОВОРА.</w:t>
      </w:r>
    </w:p>
    <w:p>
      <w:pPr>
        <w:pStyle w:val="Style18"/>
        <w:spacing w:lineRule="auto" w:line="240"/>
        <w:ind w:left="36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numPr>
          <w:ilvl w:val="1"/>
          <w:numId w:val="5"/>
        </w:numPr>
        <w:spacing w:lineRule="auto" w:line="240"/>
        <w:ind w:left="0" w:hanging="0"/>
        <w:rPr/>
      </w:pPr>
      <w:r>
        <w:rPr>
          <w:rFonts w:ascii="Times New Roman" w:hAnsi="Times New Roman"/>
          <w:iCs/>
          <w:sz w:val="22"/>
          <w:szCs w:val="22"/>
        </w:rPr>
        <w:t>Настоящий договор вступает в силу с момента подписания, распространяет свое действие на правоотношения сторон, возникшие с ____________ года и действует по ____________ года включительно, а в части расчетов за потребленную тепловую энергию (мощность) и (или) теплоноситель, и (или) горячую воду до полного исполнения обязательств по оплате.</w:t>
      </w:r>
    </w:p>
    <w:p>
      <w:pPr>
        <w:pStyle w:val="Style18"/>
        <w:numPr>
          <w:ilvl w:val="1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Предложение об изменении, расторжении настоящего договора, а также о заключении нового договора может быть заявлено стороной договора не менее чем за тридцать дней до предлагаемой даты изменения, расторжения или заключения нового договора.</w:t>
      </w:r>
    </w:p>
    <w:p>
      <w:pPr>
        <w:pStyle w:val="Style18"/>
        <w:numPr>
          <w:ilvl w:val="1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Настоящий договор может быть расторгнут Сторонами в одностороннем порядке в соответствии с действующим законодательством РФ.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5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ПРИЛОЖЕНИЯ.</w:t>
      </w:r>
    </w:p>
    <w:p>
      <w:pPr>
        <w:pStyle w:val="Style18"/>
        <w:spacing w:lineRule="auto" w:line="240"/>
        <w:ind w:left="36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tbl>
      <w:tblPr>
        <w:tblW w:w="9889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233"/>
        <w:gridCol w:w="7655"/>
      </w:tblGrid>
      <w:tr>
        <w:trPr>
          <w:trHeight w:val="369" w:hRule="atLeast"/>
        </w:trPr>
        <w:tc>
          <w:tcPr>
            <w:tcW w:w="2233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Приложение №1</w:t>
            </w:r>
          </w:p>
        </w:tc>
        <w:tc>
          <w:tcPr>
            <w:tcW w:w="7655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Договорный объем потребления тепловой энергии (мощности) и (или) теплоносителя, и (или) горячей воды.</w:t>
            </w:r>
          </w:p>
        </w:tc>
      </w:tr>
      <w:tr>
        <w:trPr/>
        <w:tc>
          <w:tcPr>
            <w:tcW w:w="2233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Приложение №2</w:t>
            </w:r>
          </w:p>
        </w:tc>
        <w:tc>
          <w:tcPr>
            <w:tcW w:w="7655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Цена договора. </w:t>
            </w:r>
          </w:p>
        </w:tc>
      </w:tr>
      <w:tr>
        <w:trPr/>
        <w:tc>
          <w:tcPr>
            <w:tcW w:w="2233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Приложение №3</w:t>
            </w:r>
          </w:p>
        </w:tc>
        <w:tc>
          <w:tcPr>
            <w:tcW w:w="7655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График регулирования отпуска тепла 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 источника тепловой энергии.</w:t>
            </w:r>
          </w:p>
        </w:tc>
      </w:tr>
      <w:tr>
        <w:trPr/>
        <w:tc>
          <w:tcPr>
            <w:tcW w:w="2233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Приложение №4</w:t>
            </w:r>
          </w:p>
        </w:tc>
        <w:tc>
          <w:tcPr>
            <w:tcW w:w="7655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Список ответственных лиц и иная контактная информация</w:t>
            </w:r>
            <w:r>
              <w:rPr>
                <w:rFonts w:ascii="Times New Roman" w:hAnsi="Times New Roman"/>
                <w:iCs/>
                <w:color w:val="FF0000"/>
                <w:sz w:val="22"/>
                <w:szCs w:val="22"/>
              </w:rPr>
              <w:t>.</w:t>
            </w:r>
          </w:p>
        </w:tc>
      </w:tr>
      <w:tr>
        <w:trPr/>
        <w:tc>
          <w:tcPr>
            <w:tcW w:w="2233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Приложение №5</w:t>
            </w:r>
          </w:p>
        </w:tc>
        <w:tc>
          <w:tcPr>
            <w:tcW w:w="7655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Перечень узлов (приборов) учета тепловой энергии (мощности) и (или) теплоносителя, и (или) горячей воды у Потребителя</w:t>
            </w:r>
          </w:p>
        </w:tc>
      </w:tr>
    </w:tbl>
    <w:p>
      <w:pPr>
        <w:pStyle w:val="Style18"/>
        <w:spacing w:lineRule="auto" w:line="240"/>
        <w:rPr>
          <w:rFonts w:ascii="Times New Roman" w:hAnsi="Times New Roman"/>
          <w:b/>
          <w:b/>
          <w:bCs/>
          <w:iCs/>
        </w:rPr>
      </w:pPr>
      <w:r>
        <w:rPr>
          <w:rFonts w:ascii="Times New Roman" w:hAnsi="Times New Roman"/>
          <w:b/>
          <w:bCs/>
          <w:iCs/>
        </w:rPr>
      </w:r>
    </w:p>
    <w:p>
      <w:pPr>
        <w:pStyle w:val="Style18"/>
        <w:numPr>
          <w:ilvl w:val="0"/>
          <w:numId w:val="5"/>
        </w:numPr>
        <w:spacing w:lineRule="auto" w:line="240"/>
        <w:jc w:val="center"/>
        <w:rPr/>
      </w:pPr>
      <w:r>
        <w:rPr>
          <w:rFonts w:ascii="Times New Roman" w:hAnsi="Times New Roman"/>
          <w:b/>
          <w:bCs/>
          <w:iCs/>
          <w:sz w:val="22"/>
          <w:szCs w:val="22"/>
        </w:rPr>
        <w:t xml:space="preserve">РЕКВИЗИТЫ СТОРОН ДОГОВОРУ </w:t>
      </w:r>
      <w:r>
        <w:rPr>
          <w:rFonts w:ascii="Times New Roman" w:hAnsi="Times New Roman"/>
          <w:b/>
          <w:iCs/>
          <w:sz w:val="22"/>
          <w:szCs w:val="22"/>
        </w:rPr>
        <w:t xml:space="preserve">ТЕПЛОСНАБЖЕНИЯ И ГОРЯЧЕГО ВОДОСНАБЖЕНИЯ </w:t>
      </w:r>
      <w:r>
        <w:rPr>
          <w:rFonts w:ascii="Times New Roman" w:hAnsi="Times New Roman"/>
          <w:b/>
          <w:bCs/>
          <w:iCs/>
          <w:color w:val="0000FF"/>
          <w:sz w:val="22"/>
          <w:szCs w:val="22"/>
        </w:rPr>
        <w:t>№ _______________--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 </w:t>
      </w:r>
      <w:r>
        <w:rPr>
          <w:rFonts w:ascii="Times New Roman" w:hAnsi="Times New Roman"/>
          <w:b/>
          <w:iCs/>
          <w:sz w:val="22"/>
          <w:szCs w:val="22"/>
        </w:rPr>
        <w:t>от «____»_____________ ____</w:t>
      </w:r>
    </w:p>
    <w:tbl>
      <w:tblPr>
        <w:tblW w:w="10101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820"/>
        <w:gridCol w:w="5280"/>
      </w:tblGrid>
      <w:tr>
        <w:trPr>
          <w:trHeight w:val="841" w:hRule="atLeast"/>
        </w:trPr>
        <w:tc>
          <w:tcPr>
            <w:tcW w:w="4820" w:type="dxa"/>
            <w:tcBorders/>
            <w:shd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Ресурсоснабжающая организация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  <w:p>
            <w:pPr>
              <w:pStyle w:val="Normal"/>
              <w:spacing w:lineRule="auto" w:line="240"/>
              <w:ind w:left="0" w:right="255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Публичное акционерное общество энергетики и электрификации «Камчатскэнерго»</w:t>
            </w:r>
          </w:p>
          <w:p>
            <w:pPr>
              <w:pStyle w:val="Normal"/>
              <w:spacing w:lineRule="auto" w:line="240"/>
              <w:ind w:left="0" w:right="255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683000, Камчатский край,</w:t>
            </w:r>
          </w:p>
          <w:p>
            <w:pPr>
              <w:pStyle w:val="Normal"/>
              <w:spacing w:lineRule="auto" w:line="240"/>
              <w:ind w:left="0" w:right="255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г. Петропавловск-Камчатский,</w:t>
            </w:r>
          </w:p>
          <w:p>
            <w:pPr>
              <w:pStyle w:val="Normal"/>
              <w:spacing w:lineRule="auto" w:line="240"/>
              <w:ind w:left="0" w:right="255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ул. Набережная, д. 10 </w:t>
            </w:r>
          </w:p>
          <w:p>
            <w:pPr>
              <w:pStyle w:val="Normal"/>
              <w:spacing w:lineRule="auto" w:line="240"/>
              <w:ind w:left="0" w:right="255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ИНН 4100000668</w:t>
            </w:r>
          </w:p>
          <w:p>
            <w:pPr>
              <w:pStyle w:val="Normal"/>
              <w:spacing w:lineRule="auto" w:line="240"/>
              <w:ind w:left="0" w:right="255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КПП 410101001 </w:t>
            </w:r>
          </w:p>
          <w:p>
            <w:pPr>
              <w:pStyle w:val="Normal"/>
              <w:spacing w:lineRule="auto" w:line="240"/>
              <w:ind w:left="0" w:right="255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КПП 775050001 поставлено на учет в качестве крупнейшего налогоплательщика с 08.02.2019</w:t>
            </w:r>
          </w:p>
          <w:p>
            <w:pPr>
              <w:pStyle w:val="Normal"/>
              <w:spacing w:lineRule="auto" w:line="240"/>
              <w:ind w:left="0" w:right="255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Код ОКТМО 30701000</w:t>
            </w:r>
          </w:p>
          <w:p>
            <w:pPr>
              <w:pStyle w:val="Normal"/>
              <w:spacing w:lineRule="auto" w:line="240"/>
              <w:ind w:left="0" w:right="255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ОКПО 00106106</w:t>
            </w:r>
          </w:p>
          <w:p>
            <w:pPr>
              <w:pStyle w:val="Normal"/>
              <w:spacing w:lineRule="auto" w:line="240"/>
              <w:ind w:left="0" w:right="255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дата постановки на учет в ИФНС: 18.01.1994</w:t>
            </w:r>
          </w:p>
          <w:p>
            <w:pPr>
              <w:pStyle w:val="Normal"/>
              <w:spacing w:lineRule="auto" w:line="240"/>
              <w:ind w:left="0" w:right="255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ОО «Дальневосточный» в ФИЛИАЛ «ХАБАРОВСКИЙ»</w:t>
            </w:r>
          </w:p>
          <w:p>
            <w:pPr>
              <w:pStyle w:val="Normal"/>
              <w:spacing w:lineRule="auto" w:line="240"/>
              <w:ind w:left="0" w:right="255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АО «АЛЬФА-БАНК»</w:t>
            </w:r>
          </w:p>
          <w:p>
            <w:pPr>
              <w:pStyle w:val="Normal"/>
              <w:spacing w:lineRule="auto" w:line="240"/>
              <w:ind w:left="0" w:right="255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Р/счет  40702810020020005559</w:t>
              <w:tab/>
            </w:r>
          </w:p>
          <w:p>
            <w:pPr>
              <w:pStyle w:val="Normal"/>
              <w:spacing w:lineRule="auto" w:line="240"/>
              <w:ind w:left="0" w:right="255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К/счет  30101810800000000770</w:t>
            </w:r>
          </w:p>
          <w:p>
            <w:pPr>
              <w:pStyle w:val="Normal"/>
              <w:spacing w:lineRule="auto" w:line="240"/>
              <w:ind w:left="0" w:right="255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БИК  040813770</w:t>
            </w:r>
          </w:p>
          <w:p>
            <w:pPr>
              <w:pStyle w:val="Normal"/>
              <w:spacing w:lineRule="auto" w:line="240"/>
              <w:ind w:left="0" w:right="255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E-mail: sekr1@kamenergo.ru</w:t>
            </w:r>
          </w:p>
          <w:p>
            <w:pPr>
              <w:pStyle w:val="Normal"/>
              <w:spacing w:lineRule="auto" w:line="240"/>
              <w:ind w:left="0" w:right="255" w:hanging="0"/>
              <w:jc w:val="left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color w:val="00000A"/>
                <w:sz w:val="22"/>
                <w:szCs w:val="22"/>
              </w:rPr>
              <w:t>Официальный сайт ПАО «Камчатскэнерго»: www.kamenergo.ru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</w:tc>
        <w:tc>
          <w:tcPr>
            <w:tcW w:w="5280" w:type="dxa"/>
            <w:tcBorders/>
            <w:shd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Потребитель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iCs/>
                <w:color w:val="0000FF"/>
                <w:sz w:val="22"/>
                <w:szCs w:val="22"/>
              </w:rPr>
              <w:t>_____________________________________________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Телефон _____________________________________ 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Факс _________________________________________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Адрес электронной почты  ______________________ 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ИНН/КПП ____________________________________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ОКВЭД ______________________________________ 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ОГРН  _______________________________________ 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Банк  ________________________________________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Р/счет  _______________________________________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БИК _________________________________________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Режим налогообложения 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</w:tc>
      </w:tr>
      <w:tr>
        <w:trPr>
          <w:trHeight w:val="675" w:hRule="atLeast"/>
        </w:trPr>
        <w:tc>
          <w:tcPr>
            <w:tcW w:w="4820" w:type="dxa"/>
            <w:tcBorders/>
            <w:shd w:fill="auto" w:val="clear"/>
          </w:tcPr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__________________ 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м.п.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«___»______________20___года</w:t>
            </w:r>
          </w:p>
        </w:tc>
        <w:tc>
          <w:tcPr>
            <w:tcW w:w="5280" w:type="dxa"/>
            <w:tcBorders/>
            <w:shd w:fill="auto" w:val="clear"/>
          </w:tcPr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_________________ 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м.п.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«___»_______________20___ года</w:t>
            </w:r>
          </w:p>
        </w:tc>
      </w:tr>
    </w:tbl>
    <w:p>
      <w:pPr>
        <w:pStyle w:val="Style18"/>
        <w:spacing w:lineRule="auto" w:line="240"/>
        <w:rPr>
          <w:rFonts w:ascii="Times New Roman" w:hAnsi="Times New Roman"/>
          <w:iCs/>
          <w:color w:val="0000FF"/>
        </w:rPr>
      </w:pPr>
      <w:r>
        <w:rPr>
          <w:rFonts w:ascii="Times New Roman" w:hAnsi="Times New Roman"/>
          <w:iCs/>
          <w:color w:val="0000FF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18"/>
          <w:szCs w:val="18"/>
        </w:rPr>
      </w:pPr>
      <w:r>
        <w:rPr>
          <w:rFonts w:ascii="Times New Roman" w:hAnsi="Times New Roman"/>
          <w:iCs/>
          <w:sz w:val="18"/>
          <w:szCs w:val="18"/>
        </w:rPr>
      </w:r>
      <w:r>
        <w:br w:type="page"/>
      </w:r>
    </w:p>
    <w:p>
      <w:pPr>
        <w:pStyle w:val="Style18"/>
        <w:spacing w:lineRule="auto" w:line="240"/>
        <w:jc w:val="right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Приложение № 4</w:t>
      </w:r>
    </w:p>
    <w:p>
      <w:pPr>
        <w:pStyle w:val="Style18"/>
        <w:spacing w:lineRule="auto" w:line="240"/>
        <w:jc w:val="right"/>
        <w:rPr/>
      </w:pPr>
      <w:r>
        <w:rPr>
          <w:rFonts w:ascii="Times New Roman" w:hAnsi="Times New Roman"/>
          <w:b/>
          <w:iCs/>
          <w:sz w:val="22"/>
          <w:szCs w:val="22"/>
        </w:rPr>
        <w:t xml:space="preserve">к договору теплоснабжения и </w:t>
      </w:r>
    </w:p>
    <w:p>
      <w:pPr>
        <w:pStyle w:val="Style18"/>
        <w:spacing w:lineRule="auto" w:line="240"/>
        <w:jc w:val="right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горячего водоснабжения</w:t>
      </w:r>
    </w:p>
    <w:p>
      <w:pPr>
        <w:pStyle w:val="Style18"/>
        <w:spacing w:lineRule="auto" w:line="240"/>
        <w:jc w:val="right"/>
        <w:rPr/>
      </w:pPr>
      <w:r>
        <w:rPr>
          <w:rFonts w:ascii="Times New Roman" w:hAnsi="Times New Roman"/>
          <w:b/>
          <w:bCs/>
          <w:iCs/>
          <w:sz w:val="22"/>
          <w:szCs w:val="22"/>
        </w:rPr>
        <w:t>№ 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_______________ от </w:t>
      </w:r>
      <w:r>
        <w:rPr>
          <w:rFonts w:ascii="Times New Roman" w:hAnsi="Times New Roman"/>
          <w:b/>
          <w:iCs/>
          <w:sz w:val="22"/>
          <w:szCs w:val="22"/>
        </w:rPr>
        <w:t>«____»_____________20__</w:t>
      </w:r>
    </w:p>
    <w:p>
      <w:pPr>
        <w:pStyle w:val="Style18"/>
        <w:spacing w:lineRule="auto" w:line="240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Style18"/>
        <w:spacing w:lineRule="auto" w:line="240"/>
        <w:jc w:val="center"/>
        <w:rPr/>
      </w:pPr>
      <w:r>
        <w:rPr>
          <w:rFonts w:ascii="Times New Roman" w:hAnsi="Times New Roman"/>
          <w:sz w:val="25"/>
          <w:szCs w:val="25"/>
        </w:rPr>
        <w:t>Список ответственных лиц и иная контактная информация</w:t>
      </w:r>
    </w:p>
    <w:p>
      <w:pPr>
        <w:pStyle w:val="Style18"/>
        <w:spacing w:lineRule="auto" w:line="240"/>
        <w:rPr>
          <w:rFonts w:ascii="Times New Roman" w:hAnsi="Times New Roman"/>
          <w:iCs/>
          <w:color w:val="0000FF"/>
          <w:sz w:val="22"/>
          <w:szCs w:val="22"/>
        </w:rPr>
      </w:pPr>
      <w:r>
        <w:rPr>
          <w:rFonts w:ascii="Times New Roman" w:hAnsi="Times New Roman"/>
          <w:iCs/>
          <w:color w:val="0000FF"/>
        </w:rPr>
        <w:t xml:space="preserve">   </w:t>
      </w:r>
      <w:r>
        <w:rPr>
          <w:rFonts w:ascii="Times New Roman" w:hAnsi="Times New Roman"/>
          <w:iCs/>
          <w:color w:val="0000FF"/>
          <w:sz w:val="22"/>
          <w:szCs w:val="22"/>
        </w:rPr>
        <w:t xml:space="preserve">   </w:t>
      </w:r>
      <w:r>
        <w:rPr>
          <w:rFonts w:ascii="Times New Roman" w:hAnsi="Times New Roman"/>
          <w:iCs/>
          <w:sz w:val="22"/>
          <w:szCs w:val="22"/>
        </w:rPr>
        <w:t>РСО</w:t>
      </w:r>
      <w:r>
        <w:rPr>
          <w:rFonts w:ascii="Times New Roman" w:hAnsi="Times New Roman"/>
          <w:iCs/>
          <w:color w:val="0000FF"/>
          <w:sz w:val="22"/>
          <w:szCs w:val="22"/>
        </w:rPr>
        <w:t>:</w:t>
      </w:r>
    </w:p>
    <w:tbl>
      <w:tblPr>
        <w:tblW w:w="9639" w:type="dxa"/>
        <w:jc w:val="left"/>
        <w:tblInd w:w="24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34"/>
        <w:gridCol w:w="4085"/>
        <w:gridCol w:w="5020"/>
      </w:tblGrid>
      <w:tr>
        <w:trPr/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  <w:tc>
          <w:tcPr>
            <w:tcW w:w="4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r>
          </w:p>
        </w:tc>
        <w:tc>
          <w:tcPr>
            <w:tcW w:w="5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Телефон</w:t>
            </w:r>
          </w:p>
        </w:tc>
      </w:tr>
      <w:tr>
        <w:trPr/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4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ind w:left="0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Начальник отдела реализации энергии корпоративным клиентам </w:t>
            </w:r>
          </w:p>
        </w:tc>
        <w:tc>
          <w:tcPr>
            <w:tcW w:w="5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8"/>
              <w:widowControl/>
              <w:bidi w:val="0"/>
              <w:spacing w:lineRule="auto" w:line="240"/>
              <w:ind w:right="0" w:hanging="0"/>
              <w:jc w:val="left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Петропавловское отделение: 8 (415 2) 29-49-45</w:t>
            </w:r>
          </w:p>
          <w:p>
            <w:pPr>
              <w:pStyle w:val="Style18"/>
              <w:spacing w:lineRule="auto" w:line="240"/>
              <w:ind w:hanging="0"/>
              <w:jc w:val="left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Елизовское отделение 8 (415 31) 6-12-69</w:t>
            </w:r>
          </w:p>
        </w:tc>
      </w:tr>
      <w:tr>
        <w:trPr/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4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ind w:left="0" w:hanging="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Отдел реализации энергии корпоративным клиентам</w:t>
            </w:r>
          </w:p>
        </w:tc>
        <w:tc>
          <w:tcPr>
            <w:tcW w:w="5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8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Петропавловское отделение</w:t>
            </w:r>
          </w:p>
          <w:p>
            <w:pPr>
              <w:pStyle w:val="Style18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8 (415 2) 299-371; 299-407 (по первичным документам)</w:t>
            </w:r>
          </w:p>
          <w:p>
            <w:pPr>
              <w:pStyle w:val="Style18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8 (415 2) 299-306; 299-362; 298-135 (по расчетам)</w:t>
            </w:r>
          </w:p>
          <w:p>
            <w:pPr>
              <w:pStyle w:val="Style18"/>
              <w:widowControl/>
              <w:bidi w:val="0"/>
              <w:spacing w:lineRule="auto" w:line="240"/>
              <w:ind w:left="57" w:right="0" w:hanging="0"/>
              <w:jc w:val="left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Елизовское отделение </w:t>
            </w:r>
            <w:r>
              <w:rPr>
                <w:rFonts w:ascii="Times New Roman" w:hAnsi="Times New Roman"/>
                <w:b w:val="false"/>
                <w:i w:val="false"/>
                <w:iCs/>
                <w:caps w:val="false"/>
                <w:smallCaps w:val="false"/>
                <w:color w:val="212529"/>
                <w:spacing w:val="0"/>
                <w:sz w:val="22"/>
                <w:szCs w:val="22"/>
              </w:rPr>
              <w:t>(41531) 6-14-30</w:t>
            </w:r>
          </w:p>
        </w:tc>
      </w:tr>
      <w:tr>
        <w:trPr/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4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8"/>
              <w:ind w:left="0" w:hanging="0"/>
              <w:jc w:val="left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Экономисты по договорной работе </w:t>
            </w:r>
          </w:p>
        </w:tc>
        <w:tc>
          <w:tcPr>
            <w:tcW w:w="5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8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Петропавловское отделение</w:t>
            </w:r>
          </w:p>
          <w:p>
            <w:pPr>
              <w:pStyle w:val="Style18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8 (415 2) 29-49-05 (внебюджет)</w:t>
            </w:r>
          </w:p>
          <w:p>
            <w:pPr>
              <w:pStyle w:val="Style18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8 (415 2) 29-49-21 (бюджет)</w:t>
            </w:r>
          </w:p>
          <w:p>
            <w:pPr>
              <w:pStyle w:val="Style18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Елизовское отделение 8(415 31) 6 25 10</w:t>
            </w:r>
          </w:p>
        </w:tc>
      </w:tr>
      <w:tr>
        <w:trPr/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4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8"/>
              <w:ind w:left="0" w:hanging="0"/>
              <w:jc w:val="left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Прием показаний приборов учета</w:t>
            </w:r>
          </w:p>
        </w:tc>
        <w:tc>
          <w:tcPr>
            <w:tcW w:w="5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8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Петропавловское отделение</w:t>
            </w:r>
          </w:p>
          <w:p>
            <w:pPr>
              <w:pStyle w:val="Style18"/>
              <w:widowControl/>
              <w:bidi w:val="0"/>
              <w:spacing w:lineRule="auto" w:line="240"/>
              <w:ind w:left="57" w:right="0" w:hanging="0"/>
              <w:jc w:val="left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8 (415 2) 299-345 Дрогайцева Наталья Анатольевна </w:t>
            </w:r>
            <w:hyperlink r:id="rId4">
              <w:r>
                <w:rPr>
                  <w:rStyle w:val="Style10"/>
                  <w:rFonts w:ascii="Times New Roman" w:hAnsi="Times New Roman"/>
                  <w:iCs/>
                  <w:sz w:val="22"/>
                  <w:szCs w:val="22"/>
                </w:rPr>
                <w:t>Drogaytseva_NА@kamch.dvec.ru</w:t>
              </w:r>
            </w:hyperlink>
          </w:p>
          <w:p>
            <w:pPr>
              <w:pStyle w:val="Style18"/>
              <w:widowControl/>
              <w:bidi w:val="0"/>
              <w:spacing w:lineRule="auto" w:line="240"/>
              <w:ind w:left="57" w:right="0" w:hanging="0"/>
              <w:jc w:val="left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8 (415 2) 490-489 Мохова Наталья Витальевна  </w:t>
            </w:r>
            <w:hyperlink r:id="rId5">
              <w:r>
                <w:rPr>
                  <w:rStyle w:val="Style10"/>
                  <w:rFonts w:ascii="Times New Roman" w:hAnsi="Times New Roman"/>
                  <w:iCs/>
                  <w:sz w:val="22"/>
                  <w:szCs w:val="22"/>
                </w:rPr>
                <w:t>Mokhova_NV@kamch.dvec.ru</w:t>
              </w:r>
            </w:hyperlink>
          </w:p>
          <w:p>
            <w:pPr>
              <w:pStyle w:val="Style18"/>
              <w:widowControl/>
              <w:bidi w:val="0"/>
              <w:spacing w:lineRule="auto" w:line="240"/>
              <w:ind w:left="57" w:right="0" w:hanging="0"/>
              <w:jc w:val="left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Елизовское отделение 8 (415 31)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7-15-90</w:t>
            </w:r>
          </w:p>
          <w:p>
            <w:pPr>
              <w:pStyle w:val="Style18"/>
              <w:widowControl/>
              <w:bidi w:val="0"/>
              <w:spacing w:lineRule="auto" w:line="240"/>
              <w:ind w:left="57" w:right="0" w:hanging="0"/>
              <w:jc w:val="left"/>
              <w:rPr/>
            </w:pPr>
            <w:hyperlink r:id="rId6">
              <w:r>
                <w:rPr>
                  <w:rStyle w:val="Style10"/>
                  <w:rFonts w:ascii="Times New Roman" w:hAnsi="Times New Roman"/>
                  <w:iCs/>
                  <w:sz w:val="22"/>
                  <w:szCs w:val="22"/>
                </w:rPr>
                <w:t>Balan_EV@kamch.dvec.ru</w:t>
              </w:r>
            </w:hyperlink>
          </w:p>
        </w:tc>
      </w:tr>
      <w:tr>
        <w:trPr/>
        <w:tc>
          <w:tcPr>
            <w:tcW w:w="963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spacing w:lineRule="auto" w:line="240" w:before="120" w:after="120"/>
              <w:jc w:val="center"/>
              <w:rPr/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Диспетчерские службы сетевых организаций</w:t>
            </w:r>
          </w:p>
        </w:tc>
      </w:tr>
      <w:tr>
        <w:trPr>
          <w:trHeight w:val="818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  <w:tc>
          <w:tcPr>
            <w:tcW w:w="4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Филиал Камчатские ТЭЦ</w:t>
            </w:r>
          </w:p>
        </w:tc>
        <w:tc>
          <w:tcPr>
            <w:tcW w:w="5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8(415 2)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277-805;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8(415 2)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277-806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240"/>
              <w:ind w:left="34" w:hanging="0"/>
              <w:jc w:val="left"/>
              <w:outlineLvl w:val="3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адрес местонахождения: ул. Степная, д. 50, г. Петропавловск-Камчатский;</w:t>
            </w:r>
          </w:p>
        </w:tc>
      </w:tr>
      <w:tr>
        <w:trPr>
          <w:trHeight w:val="846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  <w:tc>
          <w:tcPr>
            <w:tcW w:w="4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Филиал «Коммунальная энергетика»</w:t>
            </w:r>
          </w:p>
        </w:tc>
        <w:tc>
          <w:tcPr>
            <w:tcW w:w="5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8(415 2)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307-684,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8(415 2)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307-865</w:t>
            </w:r>
          </w:p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адрес местонахождения: ул. Набережная, д. 30, каб. 522,  г. Петропавловск-Камчатский;</w:t>
            </w:r>
          </w:p>
        </w:tc>
      </w:tr>
    </w:tbl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color w:val="0000FF"/>
        </w:rPr>
        <w:t xml:space="preserve">   </w:t>
      </w:r>
      <w:r>
        <w:rPr>
          <w:rFonts w:ascii="Times New Roman" w:hAnsi="Times New Roman"/>
          <w:iCs/>
          <w:sz w:val="22"/>
          <w:szCs w:val="22"/>
        </w:rPr>
        <w:t>Потребитель:</w:t>
      </w:r>
    </w:p>
    <w:tbl>
      <w:tblPr>
        <w:tblW w:w="9668" w:type="dxa"/>
        <w:jc w:val="left"/>
        <w:tblInd w:w="24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32"/>
        <w:gridCol w:w="5448"/>
        <w:gridCol w:w="35"/>
        <w:gridCol w:w="3653"/>
      </w:tblGrid>
      <w:tr>
        <w:trPr/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  <w:tc>
          <w:tcPr>
            <w:tcW w:w="54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ФИО уполномоченных должностных лиц, ответственных за выполнение условий договора</w:t>
            </w:r>
          </w:p>
        </w:tc>
        <w:tc>
          <w:tcPr>
            <w:tcW w:w="3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Телефон</w:t>
            </w:r>
          </w:p>
        </w:tc>
      </w:tr>
      <w:tr>
        <w:trPr>
          <w:trHeight w:val="6" w:hRule="atLeast"/>
        </w:trPr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8"/>
              <w:spacing w:lineRule="auto" w:line="240" w:before="120" w:after="0"/>
              <w:jc w:val="center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  <w:tc>
          <w:tcPr>
            <w:tcW w:w="54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3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</w:tr>
      <w:tr>
        <w:trPr>
          <w:trHeight w:val="6" w:hRule="atLeast"/>
        </w:trPr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8"/>
              <w:spacing w:lineRule="auto" w:line="240" w:before="120" w:after="0"/>
              <w:jc w:val="center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  <w:tc>
          <w:tcPr>
            <w:tcW w:w="54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3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</w:tr>
      <w:tr>
        <w:trPr/>
        <w:tc>
          <w:tcPr>
            <w:tcW w:w="966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8"/>
              <w:spacing w:lineRule="auto" w:line="240" w:before="120" w:after="120"/>
              <w:jc w:val="center"/>
              <w:rPr>
                <w:rFonts w:ascii="Times New Roman" w:hAnsi="Times New Roman"/>
                <w:iCs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Дополнительная информация:</w:t>
            </w:r>
          </w:p>
        </w:tc>
      </w:tr>
      <w:tr>
        <w:trPr/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spacing w:lineRule="auto" w:line="240" w:before="120" w:after="0"/>
              <w:jc w:val="center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1</w:t>
            </w:r>
          </w:p>
        </w:tc>
        <w:tc>
          <w:tcPr>
            <w:tcW w:w="5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Номер мобильного телефона для направления уведомления о введении ограничения режима потребления:</w:t>
            </w:r>
          </w:p>
        </w:tc>
        <w:tc>
          <w:tcPr>
            <w:tcW w:w="36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3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spacing w:lineRule="auto" w:line="240" w:before="120" w:after="0"/>
              <w:jc w:val="center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2</w:t>
            </w:r>
          </w:p>
        </w:tc>
        <w:tc>
          <w:tcPr>
            <w:tcW w:w="5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Адрес электронной почты для направления уведомления о введении ограничения режима потребления: </w:t>
            </w:r>
          </w:p>
        </w:tc>
        <w:tc>
          <w:tcPr>
            <w:tcW w:w="36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3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spacing w:lineRule="auto" w:line="240" w:before="120" w:after="0"/>
              <w:jc w:val="center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3</w:t>
            </w:r>
          </w:p>
        </w:tc>
        <w:tc>
          <w:tcPr>
            <w:tcW w:w="5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uppressAutoHyphens w:val="true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 электронной почты для направления платежных документов и иной переписки</w:t>
            </w:r>
          </w:p>
        </w:tc>
        <w:tc>
          <w:tcPr>
            <w:tcW w:w="36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</w:tc>
      </w:tr>
      <w:tr>
        <w:trPr/>
        <w:tc>
          <w:tcPr>
            <w:tcW w:w="966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3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 xml:space="preserve">Дополняется Потребителем </w:t>
            </w:r>
          </w:p>
        </w:tc>
      </w:tr>
    </w:tbl>
    <w:tbl>
      <w:tblPr>
        <w:tblpPr w:bottomFromText="0" w:horzAnchor="margin" w:leftFromText="180" w:rightFromText="180" w:tblpX="0" w:tblpY="293" w:topFromText="0" w:vertAnchor="text"/>
        <w:tblW w:w="9658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829"/>
        <w:gridCol w:w="4828"/>
      </w:tblGrid>
      <w:tr>
        <w:trPr>
          <w:trHeight w:val="178" w:hRule="atLeast"/>
        </w:trPr>
        <w:tc>
          <w:tcPr>
            <w:tcW w:w="4829" w:type="dxa"/>
            <w:tcBorders/>
            <w:shd w:fill="auto" w:val="clear"/>
          </w:tcPr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Ресурсоснабжающая организация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Потребитель</w:t>
            </w:r>
          </w:p>
        </w:tc>
      </w:tr>
      <w:tr>
        <w:trPr/>
        <w:tc>
          <w:tcPr>
            <w:tcW w:w="4829" w:type="dxa"/>
            <w:tcBorders/>
            <w:shd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</w:tr>
      <w:tr>
        <w:trPr/>
        <w:tc>
          <w:tcPr>
            <w:tcW w:w="4829" w:type="dxa"/>
            <w:tcBorders/>
            <w:shd w:fill="auto" w:val="clear"/>
          </w:tcPr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___________________</w:t>
            </w: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                       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         </w:t>
            </w: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м.п.</w:t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__________________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                                  </w:t>
            </w: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м.п.</w:t>
            </w:r>
          </w:p>
        </w:tc>
      </w:tr>
    </w:tbl>
    <w:p>
      <w:pPr>
        <w:pStyle w:val="Style18"/>
        <w:spacing w:lineRule="auto" w:line="240"/>
        <w:jc w:val="left"/>
        <w:rPr/>
      </w:pPr>
      <w:r>
        <w:rPr/>
      </w:r>
    </w:p>
    <w:sectPr>
      <w:footerReference w:type="default" r:id="rId7"/>
      <w:type w:val="nextPage"/>
      <w:pgSz w:w="11906" w:h="16838"/>
      <w:pgMar w:left="1276" w:right="708" w:header="0" w:top="1135" w:footer="512" w:bottom="993" w:gutter="0"/>
      <w:pgNumType w:fmt="decimal"/>
      <w:formProt w:val="false"/>
      <w:titlePg/>
      <w:textDirection w:val="lrTb"/>
      <w:docGrid w:type="default" w:linePitch="272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jc w:val="center"/>
      <w:rPr>
        <w:rFonts w:ascii="Times New Roman" w:hAnsi="Times New Roman"/>
        <w:i/>
        <w:i/>
      </w:rPr>
    </w:pPr>
    <w:r>
      <w:rPr>
        <w:rFonts w:ascii="Times New Roman" w:hAnsi="Times New Roman"/>
        <w:i/>
      </w:rPr>
      <w:t>Договор теплоснабжения и горячего водоснабжения</w:t>
    </w:r>
  </w:p>
  <w:p>
    <w:pPr>
      <w:pStyle w:val="Style22"/>
      <w:jc w:val="center"/>
      <w:rPr/>
    </w:pPr>
    <w:r>
      <w:rPr>
        <w:rFonts w:ascii="Times New Roman" w:hAnsi="Times New Roman"/>
        <w:i/>
      </w:rPr>
      <w:t>с Потребителем – собственником нежилого помещения в МКД. БЮДЖЕТ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4"/>
      <w:numFmt w:val="decimal"/>
      <w:lvlText w:val="%1."/>
      <w:lvlJc w:val="left"/>
      <w:pPr>
        <w:ind w:left="585" w:hanging="585"/>
      </w:pPr>
      <w:rPr>
        <w:sz w:val="22"/>
        <w:b/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sz w:val="22"/>
        <w:i w:val="false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sz w:val="22"/>
        <w:b/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sz w:val="22"/>
        <w:b/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">
    <w:lvl w:ilvl="0">
      <w:start w:val="2"/>
      <w:numFmt w:val="decimal"/>
      <w:lvlText w:val="%1."/>
      <w:lvlJc w:val="left"/>
      <w:pPr>
        <w:ind w:left="390" w:hanging="390"/>
      </w:pPr>
      <w:rPr>
        <w:sz w:val="22"/>
        <w:i w:val="false"/>
        <w:b/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sz w:val="22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7"/>
      <w:numFmt w:val="decimal"/>
      <w:lvlText w:val="%1."/>
      <w:lvlJc w:val="left"/>
      <w:pPr>
        <w:ind w:left="360" w:hanging="360"/>
      </w:pPr>
      <w:rPr>
        <w:sz w:val="22"/>
        <w:i w:val="false"/>
        <w:b/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2"/>
        <w:i w:val="false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false"/>
        <w:b w:val="fals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i w:val="fals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fals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i w:val="fals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i w:val="fals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i w:val="fals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i w:val="false"/>
      </w:rPr>
    </w:lvl>
  </w:abstractNum>
  <w:abstractNum w:abstractNumId="6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7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2"/>
        <w:b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8">
    <w:lvl w:ilvl="0">
      <w:start w:val="2"/>
      <w:numFmt w:val="decimal"/>
      <w:lvlText w:val="%1."/>
      <w:lvlJc w:val="left"/>
      <w:pPr>
        <w:ind w:left="2864" w:hanging="1020"/>
      </w:pPr>
      <w:rPr>
        <w:b/>
        <w:rFonts w:cs="Times New Roman"/>
      </w:rPr>
    </w:lvl>
    <w:lvl w:ilvl="1">
      <w:start w:val="1"/>
      <w:numFmt w:val="decimal"/>
      <w:lvlText w:val="%1.%2."/>
      <w:lvlJc w:val="left"/>
      <w:pPr>
        <w:ind w:left="1162" w:hanging="1020"/>
      </w:pPr>
      <w:rPr>
        <w:sz w:val="22"/>
        <w:i w:val="false"/>
        <w:b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438" w:hanging="1020"/>
      </w:pPr>
      <w:rPr>
        <w:b/>
        <w:rFonts w:cs="Times New Roman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b/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6265e"/>
    <w:pPr>
      <w:widowControl/>
      <w:bidi w:val="0"/>
      <w:jc w:val="left"/>
    </w:pPr>
    <w:rPr>
      <w:rFonts w:ascii="Arial" w:hAnsi="Arial" w:eastAsia="Times New Roman" w:cs="Times New Roman"/>
      <w:color w:val="00000A"/>
      <w:sz w:val="20"/>
      <w:szCs w:val="20"/>
      <w:lang w:val="ru-RU" w:eastAsia="ru-RU" w:bidi="ar-SA"/>
    </w:rPr>
  </w:style>
  <w:style w:type="paragraph" w:styleId="1">
    <w:name w:val="Heading 1"/>
    <w:basedOn w:val="Normal"/>
    <w:qFormat/>
    <w:rsid w:val="00f6265e"/>
    <w:pPr>
      <w:keepNext w:val="true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Normal"/>
    <w:link w:val="20"/>
    <w:qFormat/>
    <w:rsid w:val="00f6265e"/>
    <w:pPr>
      <w:keepNext w:val="true"/>
      <w:outlineLvl w:val="1"/>
    </w:pPr>
    <w:rPr>
      <w:rFonts w:ascii="Times New Roman" w:hAnsi="Times New Roman"/>
      <w:b/>
    </w:rPr>
  </w:style>
  <w:style w:type="paragraph" w:styleId="3">
    <w:name w:val="Heading 3"/>
    <w:basedOn w:val="Normal"/>
    <w:qFormat/>
    <w:rsid w:val="00f6265e"/>
    <w:pPr>
      <w:keepNext w:val="true"/>
      <w:outlineLvl w:val="2"/>
    </w:pPr>
    <w:rPr>
      <w:rFonts w:ascii="Times New Roman" w:hAnsi="Times New Roman"/>
      <w:b/>
      <w:sz w:val="24"/>
    </w:rPr>
  </w:style>
  <w:style w:type="paragraph" w:styleId="4">
    <w:name w:val="Heading 4"/>
    <w:basedOn w:val="Normal"/>
    <w:link w:val="40"/>
    <w:qFormat/>
    <w:rsid w:val="00f6265e"/>
    <w:pPr>
      <w:keepNext w:val="true"/>
      <w:jc w:val="center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Normal"/>
    <w:qFormat/>
    <w:rsid w:val="00f6265e"/>
    <w:pPr>
      <w:keepNext w:val="true"/>
      <w:outlineLvl w:val="4"/>
    </w:pPr>
    <w:rPr>
      <w:rFonts w:ascii="Times New Roman" w:hAnsi="Times New Roman"/>
      <w:b/>
      <w:sz w:val="28"/>
    </w:rPr>
  </w:style>
  <w:style w:type="paragraph" w:styleId="6">
    <w:name w:val="Heading 6"/>
    <w:basedOn w:val="Normal"/>
    <w:qFormat/>
    <w:rsid w:val="00f6265e"/>
    <w:pPr>
      <w:keepNext w:val="true"/>
      <w:ind w:right="164" w:hanging="0"/>
      <w:outlineLvl w:val="5"/>
    </w:pPr>
    <w:rPr>
      <w:rFonts w:ascii="Times New Roman" w:hAnsi="Times New Roman"/>
      <w:b/>
      <w:bCs/>
      <w:sz w:val="24"/>
    </w:rPr>
  </w:style>
  <w:style w:type="paragraph" w:styleId="7">
    <w:name w:val="Heading 7"/>
    <w:basedOn w:val="Normal"/>
    <w:link w:val="70"/>
    <w:qFormat/>
    <w:rsid w:val="00f6265e"/>
    <w:pPr>
      <w:keepNext w:val="true"/>
      <w:ind w:left="360" w:right="254" w:hanging="0"/>
      <w:jc w:val="both"/>
      <w:outlineLvl w:val="6"/>
    </w:pPr>
    <w:rPr>
      <w:rFonts w:ascii="Times New Roman" w:hAnsi="Times New Roman"/>
      <w:bCs/>
      <w:sz w:val="24"/>
    </w:rPr>
  </w:style>
  <w:style w:type="paragraph" w:styleId="8">
    <w:name w:val="Heading 8"/>
    <w:basedOn w:val="Normal"/>
    <w:qFormat/>
    <w:rsid w:val="00f6265e"/>
    <w:pPr>
      <w:keepNext w:val="true"/>
      <w:spacing w:lineRule="atLeast" w:line="240"/>
      <w:ind w:left="360" w:right="226" w:hanging="0"/>
      <w:jc w:val="both"/>
      <w:outlineLvl w:val="7"/>
    </w:pPr>
    <w:rPr>
      <w:rFonts w:ascii="Times New Roman" w:hAnsi="Times New Roman"/>
      <w:i/>
      <w:iCs/>
      <w:sz w:val="26"/>
    </w:rPr>
  </w:style>
  <w:style w:type="paragraph" w:styleId="9">
    <w:name w:val="Heading 9"/>
    <w:basedOn w:val="Normal"/>
    <w:qFormat/>
    <w:rsid w:val="00f6265e"/>
    <w:pPr>
      <w:keepNext w:val="true"/>
      <w:spacing w:lineRule="atLeast" w:line="240"/>
      <w:ind w:left="360" w:right="226" w:hanging="0"/>
      <w:jc w:val="both"/>
      <w:outlineLvl w:val="8"/>
    </w:pPr>
    <w:rPr>
      <w:rFonts w:ascii="Times New Roman" w:hAnsi="Times New Roman"/>
      <w:b/>
      <w:bCs/>
      <w:i/>
      <w:iCs/>
      <w:sz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link w:val="2"/>
    <w:qFormat/>
    <w:rsid w:val="005c3842"/>
    <w:rPr>
      <w:b/>
    </w:rPr>
  </w:style>
  <w:style w:type="character" w:styleId="41" w:customStyle="1">
    <w:name w:val="Заголовок 4 Знак"/>
    <w:basedOn w:val="DefaultParagraphFont"/>
    <w:link w:val="4"/>
    <w:qFormat/>
    <w:rsid w:val="00e23f08"/>
    <w:rPr>
      <w:b/>
      <w:sz w:val="28"/>
    </w:rPr>
  </w:style>
  <w:style w:type="character" w:styleId="71" w:customStyle="1">
    <w:name w:val="Заголовок 7 Знак"/>
    <w:basedOn w:val="DefaultParagraphFont"/>
    <w:link w:val="7"/>
    <w:qFormat/>
    <w:rsid w:val="00e23f08"/>
    <w:rPr>
      <w:bCs/>
      <w:sz w:val="24"/>
    </w:rPr>
  </w:style>
  <w:style w:type="character" w:styleId="Style5" w:customStyle="1">
    <w:name w:val="Основной текст Знак"/>
    <w:basedOn w:val="DefaultParagraphFont"/>
    <w:link w:val="a3"/>
    <w:qFormat/>
    <w:rsid w:val="00e23f08"/>
    <w:rPr>
      <w:rFonts w:ascii="Arial" w:hAnsi="Arial"/>
      <w:sz w:val="24"/>
    </w:rPr>
  </w:style>
  <w:style w:type="character" w:styleId="Style6" w:customStyle="1">
    <w:name w:val="Нижний колонтитул Знак"/>
    <w:basedOn w:val="DefaultParagraphFont"/>
    <w:link w:val="a5"/>
    <w:uiPriority w:val="99"/>
    <w:qFormat/>
    <w:rsid w:val="00d95316"/>
    <w:rPr>
      <w:rFonts w:ascii="Arial" w:hAnsi="Arial"/>
    </w:rPr>
  </w:style>
  <w:style w:type="character" w:styleId="Pagenumber">
    <w:name w:val="page number"/>
    <w:basedOn w:val="DefaultParagraphFont"/>
    <w:qFormat/>
    <w:rsid w:val="00f6265e"/>
    <w:rPr/>
  </w:style>
  <w:style w:type="character" w:styleId="Style7" w:customStyle="1">
    <w:name w:val="Заголовок Знак"/>
    <w:link w:val="a8"/>
    <w:qFormat/>
    <w:rsid w:val="00b67169"/>
    <w:rPr>
      <w:b/>
      <w:sz w:val="28"/>
    </w:rPr>
  </w:style>
  <w:style w:type="character" w:styleId="Style8" w:customStyle="1">
    <w:name w:val="Верхний колонтитул Знак"/>
    <w:link w:val="ab"/>
    <w:qFormat/>
    <w:rsid w:val="00392288"/>
    <w:rPr/>
  </w:style>
  <w:style w:type="character" w:styleId="Style9" w:customStyle="1">
    <w:name w:val="Основной текст с отступом Знак"/>
    <w:link w:val="ad"/>
    <w:qFormat/>
    <w:rsid w:val="00c92584"/>
    <w:rPr>
      <w:sz w:val="24"/>
    </w:rPr>
  </w:style>
  <w:style w:type="character" w:styleId="Style10">
    <w:name w:val="Интернет-ссылка"/>
    <w:rsid w:val="00f6265e"/>
    <w:rPr>
      <w:color w:val="0000FF"/>
      <w:u w:val="single"/>
    </w:rPr>
  </w:style>
  <w:style w:type="character" w:styleId="Style11" w:customStyle="1">
    <w:name w:val="Текст выноски Знак"/>
    <w:link w:val="af2"/>
    <w:qFormat/>
    <w:rsid w:val="00d468b2"/>
    <w:rPr>
      <w:rFonts w:ascii="Tahoma" w:hAnsi="Tahoma" w:cs="Tahoma"/>
      <w:sz w:val="16"/>
      <w:szCs w:val="16"/>
    </w:rPr>
  </w:style>
  <w:style w:type="character" w:styleId="Style12" w:customStyle="1">
    <w:name w:val="Заголовок сообщения (текст)"/>
    <w:qFormat/>
    <w:rsid w:val="00b67169"/>
    <w:rPr>
      <w:rFonts w:ascii="Arial" w:hAnsi="Arial" w:cs="Arial"/>
      <w:b/>
      <w:bCs w:val="false"/>
      <w:spacing w:val="-4"/>
      <w:position w:val="0"/>
      <w:sz w:val="18"/>
      <w:sz w:val="18"/>
      <w:vertAlign w:val="baseline"/>
    </w:rPr>
  </w:style>
  <w:style w:type="character" w:styleId="13" w:customStyle="1">
    <w:name w:val="ТР_13_обычный Знак"/>
    <w:link w:val="13"/>
    <w:qFormat/>
    <w:rsid w:val="00e7692c"/>
    <w:rPr>
      <w:b w:val="false"/>
      <w:color w:val="421CE2"/>
      <w:sz w:val="26"/>
      <w:szCs w:val="26"/>
    </w:rPr>
  </w:style>
  <w:style w:type="character" w:styleId="131" w:customStyle="1">
    <w:name w:val="ТР_13_жирный Знак"/>
    <w:link w:val="131"/>
    <w:qFormat/>
    <w:rsid w:val="004e44ae"/>
    <w:rPr>
      <w:b/>
      <w:color w:val="421CE2"/>
      <w:sz w:val="26"/>
    </w:rPr>
  </w:style>
  <w:style w:type="character" w:styleId="12" w:customStyle="1">
    <w:name w:val="ТР_12_жир Знак"/>
    <w:link w:val="12"/>
    <w:qFormat/>
    <w:rsid w:val="004277ca"/>
    <w:rPr>
      <w:b/>
      <w:color w:val="421CE2"/>
      <w:sz w:val="24"/>
      <w:szCs w:val="24"/>
      <w:lang w:val="en-US"/>
    </w:rPr>
  </w:style>
  <w:style w:type="character" w:styleId="115" w:customStyle="1">
    <w:name w:val="Тр115_обычн Знак"/>
    <w:link w:val="115"/>
    <w:qFormat/>
    <w:rsid w:val="00c92584"/>
    <w:rPr>
      <w:color w:val="421CE2"/>
      <w:sz w:val="24"/>
    </w:rPr>
  </w:style>
  <w:style w:type="character" w:styleId="125" w:customStyle="1">
    <w:name w:val="Обычный125Жир Знак"/>
    <w:link w:val="125"/>
    <w:qFormat/>
    <w:rsid w:val="00571ab0"/>
    <w:rPr>
      <w:b/>
      <w:bCs/>
      <w:color w:val="0000FF"/>
      <w:sz w:val="25"/>
      <w:szCs w:val="25"/>
    </w:rPr>
  </w:style>
  <w:style w:type="character" w:styleId="121" w:customStyle="1">
    <w:name w:val="Об12жир Знак"/>
    <w:link w:val="122"/>
    <w:qFormat/>
    <w:locked/>
    <w:rsid w:val="001656a5"/>
    <w:rPr>
      <w:b/>
      <w:bCs/>
      <w:color w:val="0000FF"/>
      <w:sz w:val="24"/>
      <w:szCs w:val="24"/>
    </w:rPr>
  </w:style>
  <w:style w:type="character" w:styleId="132" w:customStyle="1">
    <w:name w:val="Об_13_Жир Знак"/>
    <w:link w:val="133"/>
    <w:qFormat/>
    <w:rsid w:val="00603da1"/>
    <w:rPr>
      <w:b/>
      <w:color w:val="0000FF"/>
      <w:sz w:val="26"/>
      <w:szCs w:val="26"/>
    </w:rPr>
  </w:style>
  <w:style w:type="character" w:styleId="22" w:customStyle="1">
    <w:name w:val="Основной текст с отступом 2 Знак"/>
    <w:basedOn w:val="DefaultParagraphFont"/>
    <w:link w:val="22"/>
    <w:qFormat/>
    <w:rsid w:val="005c3842"/>
    <w:rPr>
      <w:rFonts w:ascii="Arial" w:hAnsi="Arial"/>
    </w:rPr>
  </w:style>
  <w:style w:type="character" w:styleId="Style13" w:customStyle="1">
    <w:name w:val="Текст Знак"/>
    <w:basedOn w:val="DefaultParagraphFont"/>
    <w:link w:val="afa"/>
    <w:qFormat/>
    <w:rsid w:val="005c3842"/>
    <w:rPr>
      <w:rFonts w:ascii="Courier New" w:hAnsi="Courier New" w:cs="Courier New"/>
    </w:rPr>
  </w:style>
  <w:style w:type="character" w:styleId="11" w:customStyle="1">
    <w:name w:val="Стиль1_св-ва документа Знак"/>
    <w:link w:val="1-"/>
    <w:qFormat/>
    <w:rsid w:val="005c3842"/>
    <w:rPr>
      <w:b/>
      <w:bCs/>
      <w:sz w:val="25"/>
      <w:szCs w:val="25"/>
      <w:lang w:val="en-US"/>
    </w:rPr>
  </w:style>
  <w:style w:type="character" w:styleId="10" w:customStyle="1">
    <w:name w:val="ТР_10_Жир Знак"/>
    <w:link w:val="10"/>
    <w:qFormat/>
    <w:rsid w:val="005c3842"/>
    <w:rPr>
      <w:b/>
      <w:color w:val="0000FF"/>
    </w:rPr>
  </w:style>
  <w:style w:type="character" w:styleId="101" w:customStyle="1">
    <w:name w:val="ТР_10 Знак"/>
    <w:link w:val="101"/>
    <w:qFormat/>
    <w:rsid w:val="005c3842"/>
    <w:rPr>
      <w:color w:val="0000FF"/>
    </w:rPr>
  </w:style>
  <w:style w:type="character" w:styleId="102" w:customStyle="1">
    <w:name w:val="Тр_10_Жир Знак"/>
    <w:link w:val="103"/>
    <w:qFormat/>
    <w:rsid w:val="005c3842"/>
    <w:rPr>
      <w:b/>
      <w:color w:val="3333FF"/>
    </w:rPr>
  </w:style>
  <w:style w:type="character" w:styleId="Annotationreference">
    <w:name w:val="annotation reference"/>
    <w:qFormat/>
    <w:rsid w:val="005c3842"/>
    <w:rPr>
      <w:sz w:val="16"/>
      <w:szCs w:val="16"/>
    </w:rPr>
  </w:style>
  <w:style w:type="character" w:styleId="Style14" w:customStyle="1">
    <w:name w:val="Текст примечания Знак"/>
    <w:basedOn w:val="DefaultParagraphFont"/>
    <w:link w:val="afd"/>
    <w:qFormat/>
    <w:rsid w:val="005c3842"/>
    <w:rPr/>
  </w:style>
  <w:style w:type="character" w:styleId="Style15" w:customStyle="1">
    <w:name w:val="Тема примечания Знак"/>
    <w:basedOn w:val="Style14"/>
    <w:link w:val="aff"/>
    <w:qFormat/>
    <w:rsid w:val="005c3842"/>
    <w:rPr>
      <w:b/>
      <w:bCs/>
    </w:rPr>
  </w:style>
  <w:style w:type="character" w:styleId="Style16" w:customStyle="1">
    <w:name w:val="Основной текст_"/>
    <w:basedOn w:val="DefaultParagraphFont"/>
    <w:link w:val="14"/>
    <w:qFormat/>
    <w:rsid w:val="005c3842"/>
    <w:rPr>
      <w:spacing w:val="-2"/>
      <w:sz w:val="18"/>
      <w:szCs w:val="18"/>
      <w:shd w:fill="FFFFFF" w:val="clear"/>
    </w:rPr>
  </w:style>
  <w:style w:type="character" w:styleId="FollowedHyperlink">
    <w:name w:val="FollowedHyperlink"/>
    <w:basedOn w:val="DefaultParagraphFont"/>
    <w:semiHidden/>
    <w:unhideWhenUsed/>
    <w:qFormat/>
    <w:rsid w:val="00253125"/>
    <w:rPr>
      <w:color w:val="800080" w:themeColor="followedHyperlink"/>
      <w:u w:val="single"/>
    </w:rPr>
  </w:style>
  <w:style w:type="character" w:styleId="ListLabel1">
    <w:name w:val="ListLabel 1"/>
    <w:qFormat/>
    <w:rPr>
      <w:rFonts w:ascii="Times New Roman" w:hAnsi="Times New Roman"/>
      <w:b/>
      <w:sz w:val="22"/>
    </w:rPr>
  </w:style>
  <w:style w:type="character" w:styleId="ListLabel2">
    <w:name w:val="ListLabel 2"/>
    <w:qFormat/>
    <w:rPr>
      <w:rFonts w:ascii="Times New Roman" w:hAnsi="Times New Roman"/>
      <w:b/>
      <w:i w:val="false"/>
      <w:sz w:val="22"/>
    </w:rPr>
  </w:style>
  <w:style w:type="character" w:styleId="ListLabel3">
    <w:name w:val="ListLabel 3"/>
    <w:qFormat/>
    <w:rPr>
      <w:rFonts w:ascii="Times New Roman" w:hAnsi="Times New Roman"/>
      <w:b/>
      <w:sz w:val="22"/>
    </w:rPr>
  </w:style>
  <w:style w:type="character" w:styleId="ListLabel4">
    <w:name w:val="ListLabel 4"/>
    <w:qFormat/>
    <w:rPr>
      <w:rFonts w:ascii="Times New Roman" w:hAnsi="Times New Roman"/>
      <w:b/>
      <w:sz w:val="22"/>
    </w:rPr>
  </w:style>
  <w:style w:type="character" w:styleId="ListLabel5">
    <w:name w:val="ListLabel 5"/>
    <w:qFormat/>
    <w:rPr>
      <w:rFonts w:ascii="Times New Roman" w:hAnsi="Times New Roman"/>
      <w:b/>
      <w:i w:val="false"/>
      <w:sz w:val="22"/>
    </w:rPr>
  </w:style>
  <w:style w:type="character" w:styleId="ListLabel6">
    <w:name w:val="ListLabel 6"/>
    <w:qFormat/>
    <w:rPr>
      <w:rFonts w:ascii="Times New Roman" w:hAnsi="Times New Roman"/>
      <w:b/>
      <w:sz w:val="22"/>
    </w:rPr>
  </w:style>
  <w:style w:type="character" w:styleId="ListLabel7">
    <w:name w:val="ListLabel 7"/>
    <w:qFormat/>
    <w:rPr>
      <w:b/>
    </w:rPr>
  </w:style>
  <w:style w:type="character" w:styleId="ListLabel8">
    <w:name w:val="ListLabel 8"/>
    <w:qFormat/>
    <w:rPr>
      <w:rFonts w:ascii="Times New Roman" w:hAnsi="Times New Roman" w:eastAsia="Times New Roman" w:cs="Times New Roman"/>
      <w:sz w:val="22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b/>
    </w:rPr>
  </w:style>
  <w:style w:type="character" w:styleId="ListLabel13">
    <w:name w:val="ListLabel 13"/>
    <w:qFormat/>
    <w:rPr>
      <w:b/>
      <w:i w:val="false"/>
    </w:rPr>
  </w:style>
  <w:style w:type="character" w:styleId="ListLabel14">
    <w:name w:val="ListLabel 14"/>
    <w:qFormat/>
    <w:rPr>
      <w:b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b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b/>
      <w:i w:val="false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ascii="Times New Roman" w:hAnsi="Times New Roman"/>
      <w:b/>
      <w:i w:val="false"/>
      <w:sz w:val="22"/>
    </w:rPr>
  </w:style>
  <w:style w:type="character" w:styleId="ListLabel36">
    <w:name w:val="ListLabel 36"/>
    <w:qFormat/>
    <w:rPr>
      <w:rFonts w:ascii="Times New Roman" w:hAnsi="Times New Roman"/>
      <w:b/>
      <w:i w:val="false"/>
      <w:sz w:val="22"/>
    </w:rPr>
  </w:style>
  <w:style w:type="character" w:styleId="ListLabel37">
    <w:name w:val="ListLabel 37"/>
    <w:qFormat/>
    <w:rPr>
      <w:b w:val="false"/>
      <w:i w:val="false"/>
    </w:rPr>
  </w:style>
  <w:style w:type="character" w:styleId="ListLabel38">
    <w:name w:val="ListLabel 38"/>
    <w:qFormat/>
    <w:rPr>
      <w:i w:val="false"/>
    </w:rPr>
  </w:style>
  <w:style w:type="character" w:styleId="ListLabel39">
    <w:name w:val="ListLabel 39"/>
    <w:qFormat/>
    <w:rPr>
      <w:i w:val="false"/>
    </w:rPr>
  </w:style>
  <w:style w:type="character" w:styleId="ListLabel40">
    <w:name w:val="ListLabel 40"/>
    <w:qFormat/>
    <w:rPr>
      <w:i w:val="false"/>
    </w:rPr>
  </w:style>
  <w:style w:type="character" w:styleId="ListLabel41">
    <w:name w:val="ListLabel 41"/>
    <w:qFormat/>
    <w:rPr>
      <w:i w:val="false"/>
    </w:rPr>
  </w:style>
  <w:style w:type="character" w:styleId="ListLabel42">
    <w:name w:val="ListLabel 42"/>
    <w:qFormat/>
    <w:rPr>
      <w:i w:val="false"/>
    </w:rPr>
  </w:style>
  <w:style w:type="character" w:styleId="ListLabel43">
    <w:name w:val="ListLabel 43"/>
    <w:qFormat/>
    <w:rPr>
      <w:i w:val="false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b/>
    </w:rPr>
  </w:style>
  <w:style w:type="character" w:styleId="ListLabel48">
    <w:name w:val="ListLabel 48"/>
    <w:qFormat/>
    <w:rPr>
      <w:b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Times New Roman"/>
      <w:b/>
    </w:rPr>
  </w:style>
  <w:style w:type="character" w:styleId="ListLabel59">
    <w:name w:val="ListLabel 59"/>
    <w:qFormat/>
    <w:rPr>
      <w:rFonts w:ascii="Times New Roman" w:hAnsi="Times New Roman" w:cs="Times New Roman"/>
      <w:b/>
      <w:i w:val="false"/>
      <w:sz w:val="22"/>
    </w:rPr>
  </w:style>
  <w:style w:type="character" w:styleId="ListLabel60">
    <w:name w:val="ListLabel 60"/>
    <w:qFormat/>
    <w:rPr>
      <w:rFonts w:cs="Times New Roman"/>
      <w:b/>
    </w:rPr>
  </w:style>
  <w:style w:type="character" w:styleId="ListLabel61">
    <w:name w:val="ListLabel 61"/>
    <w:qFormat/>
    <w:rPr>
      <w:rFonts w:cs="Times New Roman"/>
      <w:b/>
    </w:rPr>
  </w:style>
  <w:style w:type="character" w:styleId="ListLabel62">
    <w:name w:val="ListLabel 62"/>
    <w:qFormat/>
    <w:rPr>
      <w:rFonts w:cs="Times New Roman"/>
    </w:rPr>
  </w:style>
  <w:style w:type="character" w:styleId="ListLabel63">
    <w:name w:val="ListLabel 63"/>
    <w:qFormat/>
    <w:rPr>
      <w:rFonts w:cs="Times New Roman"/>
    </w:rPr>
  </w:style>
  <w:style w:type="character" w:styleId="ListLabel64">
    <w:name w:val="ListLabel 64"/>
    <w:qFormat/>
    <w:rPr>
      <w:rFonts w:cs="Times New Roman"/>
    </w:rPr>
  </w:style>
  <w:style w:type="character" w:styleId="ListLabel65">
    <w:name w:val="ListLabel 65"/>
    <w:qFormat/>
    <w:rPr>
      <w:rFonts w:cs="Times New Roman"/>
    </w:rPr>
  </w:style>
  <w:style w:type="character" w:styleId="ListLabel66">
    <w:name w:val="ListLabel 66"/>
    <w:qFormat/>
    <w:rPr>
      <w:rFonts w:cs="Times New Roman"/>
    </w:rPr>
  </w:style>
  <w:style w:type="character" w:styleId="ListLabel67">
    <w:name w:val="ListLabel 67"/>
    <w:qFormat/>
    <w:rPr>
      <w:rFonts w:ascii="Times New Roman" w:hAnsi="Times New Roman"/>
      <w:color w:val="00000A"/>
      <w:sz w:val="22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ascii="Times New Roman" w:hAnsi="Times New Roman"/>
      <w:color w:val="00000A"/>
      <w:sz w:val="22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ascii="Times New Roman" w:hAnsi="Times New Roman"/>
      <w:color w:val="00000A"/>
      <w:sz w:val="22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ascii="Times New Roman" w:hAnsi="Times New Roman"/>
      <w:b/>
      <w:sz w:val="22"/>
    </w:rPr>
  </w:style>
  <w:style w:type="character" w:styleId="ListLabel83">
    <w:name w:val="ListLabel 83"/>
    <w:qFormat/>
    <w:rPr>
      <w:rFonts w:ascii="Times New Roman" w:hAnsi="Times New Roman"/>
      <w:b/>
      <w:i w:val="false"/>
      <w:sz w:val="22"/>
    </w:rPr>
  </w:style>
  <w:style w:type="character" w:styleId="ListLabel84">
    <w:name w:val="ListLabel 84"/>
    <w:qFormat/>
    <w:rPr>
      <w:rFonts w:ascii="Times New Roman" w:hAnsi="Times New Roman"/>
      <w:b/>
      <w:sz w:val="22"/>
    </w:rPr>
  </w:style>
  <w:style w:type="character" w:styleId="ListLabel85">
    <w:name w:val="ListLabel 85"/>
    <w:qFormat/>
    <w:rPr>
      <w:rFonts w:ascii="Times New Roman" w:hAnsi="Times New Roman"/>
      <w:b/>
      <w:sz w:val="22"/>
    </w:rPr>
  </w:style>
  <w:style w:type="character" w:styleId="ListLabel86">
    <w:name w:val="ListLabel 86"/>
    <w:qFormat/>
    <w:rPr>
      <w:rFonts w:ascii="Times New Roman" w:hAnsi="Times New Roman"/>
      <w:b/>
      <w:i w:val="false"/>
      <w:sz w:val="22"/>
    </w:rPr>
  </w:style>
  <w:style w:type="character" w:styleId="ListLabel87">
    <w:name w:val="ListLabel 87"/>
    <w:qFormat/>
    <w:rPr>
      <w:rFonts w:ascii="Times New Roman" w:hAnsi="Times New Roman"/>
      <w:b/>
      <w:sz w:val="22"/>
    </w:rPr>
  </w:style>
  <w:style w:type="character" w:styleId="ListLabel88">
    <w:name w:val="ListLabel 88"/>
    <w:qFormat/>
    <w:rPr>
      <w:b/>
    </w:rPr>
  </w:style>
  <w:style w:type="character" w:styleId="ListLabel89">
    <w:name w:val="ListLabel 89"/>
    <w:qFormat/>
    <w:rPr>
      <w:rFonts w:ascii="Times New Roman" w:hAnsi="Times New Roman" w:cs="Times New Roman"/>
      <w:sz w:val="22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Wingdings"/>
    </w:rPr>
  </w:style>
  <w:style w:type="character" w:styleId="ListLabel92">
    <w:name w:val="ListLabel 92"/>
    <w:qFormat/>
    <w:rPr>
      <w:rFonts w:cs="Symbol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Wingdings"/>
    </w:rPr>
  </w:style>
  <w:style w:type="character" w:styleId="ListLabel95">
    <w:name w:val="ListLabel 95"/>
    <w:qFormat/>
    <w:rPr>
      <w:rFonts w:cs="Symbol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Wingdings"/>
    </w:rPr>
  </w:style>
  <w:style w:type="character" w:styleId="ListLabel98">
    <w:name w:val="ListLabel 98"/>
    <w:qFormat/>
    <w:rPr>
      <w:rFonts w:ascii="Times New Roman" w:hAnsi="Times New Roman"/>
      <w:b/>
      <w:i w:val="false"/>
      <w:sz w:val="22"/>
    </w:rPr>
  </w:style>
  <w:style w:type="character" w:styleId="ListLabel99">
    <w:name w:val="ListLabel 99"/>
    <w:qFormat/>
    <w:rPr>
      <w:rFonts w:ascii="Times New Roman" w:hAnsi="Times New Roman"/>
      <w:b/>
      <w:i w:val="false"/>
      <w:sz w:val="22"/>
    </w:rPr>
  </w:style>
  <w:style w:type="character" w:styleId="ListLabel100">
    <w:name w:val="ListLabel 100"/>
    <w:qFormat/>
    <w:rPr>
      <w:b w:val="false"/>
      <w:i w:val="false"/>
    </w:rPr>
  </w:style>
  <w:style w:type="character" w:styleId="ListLabel101">
    <w:name w:val="ListLabel 101"/>
    <w:qFormat/>
    <w:rPr>
      <w:i w:val="false"/>
    </w:rPr>
  </w:style>
  <w:style w:type="character" w:styleId="ListLabel102">
    <w:name w:val="ListLabel 102"/>
    <w:qFormat/>
    <w:rPr>
      <w:i w:val="false"/>
    </w:rPr>
  </w:style>
  <w:style w:type="character" w:styleId="ListLabel103">
    <w:name w:val="ListLabel 103"/>
    <w:qFormat/>
    <w:rPr>
      <w:i w:val="false"/>
    </w:rPr>
  </w:style>
  <w:style w:type="character" w:styleId="ListLabel104">
    <w:name w:val="ListLabel 104"/>
    <w:qFormat/>
    <w:rPr>
      <w:i w:val="false"/>
    </w:rPr>
  </w:style>
  <w:style w:type="character" w:styleId="ListLabel105">
    <w:name w:val="ListLabel 105"/>
    <w:qFormat/>
    <w:rPr>
      <w:i w:val="false"/>
    </w:rPr>
  </w:style>
  <w:style w:type="character" w:styleId="ListLabel106">
    <w:name w:val="ListLabel 106"/>
    <w:qFormat/>
    <w:rPr>
      <w:i w:val="false"/>
    </w:rPr>
  </w:style>
  <w:style w:type="character" w:styleId="ListLabel107">
    <w:name w:val="ListLabel 107"/>
    <w:qFormat/>
    <w:rPr>
      <w:rFonts w:ascii="Times New Roman" w:hAnsi="Times New Roman" w:cs="Symbol"/>
      <w:sz w:val="22"/>
    </w:rPr>
  </w:style>
  <w:style w:type="character" w:styleId="ListLabel108">
    <w:name w:val="ListLabel 108"/>
    <w:qFormat/>
    <w:rPr>
      <w:rFonts w:cs="Courier New"/>
    </w:rPr>
  </w:style>
  <w:style w:type="character" w:styleId="ListLabel109">
    <w:name w:val="ListLabel 109"/>
    <w:qFormat/>
    <w:rPr>
      <w:rFonts w:cs="Wingdings"/>
    </w:rPr>
  </w:style>
  <w:style w:type="character" w:styleId="ListLabel110">
    <w:name w:val="ListLabel 110"/>
    <w:qFormat/>
    <w:rPr>
      <w:rFonts w:cs="Symbol"/>
    </w:rPr>
  </w:style>
  <w:style w:type="character" w:styleId="ListLabel111">
    <w:name w:val="ListLabel 111"/>
    <w:qFormat/>
    <w:rPr>
      <w:rFonts w:cs="Courier New"/>
    </w:rPr>
  </w:style>
  <w:style w:type="character" w:styleId="ListLabel112">
    <w:name w:val="ListLabel 112"/>
    <w:qFormat/>
    <w:rPr>
      <w:rFonts w:cs="Wingdings"/>
    </w:rPr>
  </w:style>
  <w:style w:type="character" w:styleId="ListLabel113">
    <w:name w:val="ListLabel 113"/>
    <w:qFormat/>
    <w:rPr>
      <w:rFonts w:cs="Symbol"/>
    </w:rPr>
  </w:style>
  <w:style w:type="character" w:styleId="ListLabel114">
    <w:name w:val="ListLabel 114"/>
    <w:qFormat/>
    <w:rPr>
      <w:rFonts w:cs="Courier New"/>
    </w:rPr>
  </w:style>
  <w:style w:type="character" w:styleId="ListLabel115">
    <w:name w:val="ListLabel 115"/>
    <w:qFormat/>
    <w:rPr>
      <w:rFonts w:cs="Wingdings"/>
    </w:rPr>
  </w:style>
  <w:style w:type="character" w:styleId="ListLabel116">
    <w:name w:val="ListLabel 116"/>
    <w:qFormat/>
    <w:rPr>
      <w:rFonts w:ascii="Times New Roman" w:hAnsi="Times New Roman" w:cs="Symbol"/>
      <w:b/>
      <w:sz w:val="22"/>
    </w:rPr>
  </w:style>
  <w:style w:type="character" w:styleId="ListLabel117">
    <w:name w:val="ListLabel 117"/>
    <w:qFormat/>
    <w:rPr>
      <w:rFonts w:cs="Courier New"/>
    </w:rPr>
  </w:style>
  <w:style w:type="character" w:styleId="ListLabel118">
    <w:name w:val="ListLabel 118"/>
    <w:qFormat/>
    <w:rPr>
      <w:rFonts w:cs="Wingdings"/>
    </w:rPr>
  </w:style>
  <w:style w:type="character" w:styleId="ListLabel119">
    <w:name w:val="ListLabel 119"/>
    <w:qFormat/>
    <w:rPr>
      <w:rFonts w:cs="Symbol"/>
    </w:rPr>
  </w:style>
  <w:style w:type="character" w:styleId="ListLabel120">
    <w:name w:val="ListLabel 120"/>
    <w:qFormat/>
    <w:rPr>
      <w:rFonts w:cs="Courier New"/>
    </w:rPr>
  </w:style>
  <w:style w:type="character" w:styleId="ListLabel121">
    <w:name w:val="ListLabel 121"/>
    <w:qFormat/>
    <w:rPr>
      <w:rFonts w:cs="Wingdings"/>
    </w:rPr>
  </w:style>
  <w:style w:type="character" w:styleId="ListLabel122">
    <w:name w:val="ListLabel 122"/>
    <w:qFormat/>
    <w:rPr>
      <w:rFonts w:cs="Symbol"/>
    </w:rPr>
  </w:style>
  <w:style w:type="character" w:styleId="ListLabel123">
    <w:name w:val="ListLabel 123"/>
    <w:qFormat/>
    <w:rPr>
      <w:rFonts w:cs="Courier New"/>
    </w:rPr>
  </w:style>
  <w:style w:type="character" w:styleId="ListLabel124">
    <w:name w:val="ListLabel 124"/>
    <w:qFormat/>
    <w:rPr>
      <w:rFonts w:cs="Wingdings"/>
    </w:rPr>
  </w:style>
  <w:style w:type="character" w:styleId="ListLabel125">
    <w:name w:val="ListLabel 125"/>
    <w:qFormat/>
    <w:rPr>
      <w:rFonts w:cs="Times New Roman"/>
      <w:b/>
    </w:rPr>
  </w:style>
  <w:style w:type="character" w:styleId="ListLabel126">
    <w:name w:val="ListLabel 126"/>
    <w:qFormat/>
    <w:rPr>
      <w:rFonts w:ascii="Times New Roman" w:hAnsi="Times New Roman" w:cs="Times New Roman"/>
      <w:b/>
      <w:i w:val="false"/>
      <w:sz w:val="22"/>
    </w:rPr>
  </w:style>
  <w:style w:type="character" w:styleId="ListLabel127">
    <w:name w:val="ListLabel 127"/>
    <w:qFormat/>
    <w:rPr>
      <w:rFonts w:cs="Times New Roman"/>
      <w:b/>
    </w:rPr>
  </w:style>
  <w:style w:type="character" w:styleId="ListLabel128">
    <w:name w:val="ListLabel 128"/>
    <w:qFormat/>
    <w:rPr>
      <w:rFonts w:cs="Times New Roman"/>
      <w:b/>
    </w:rPr>
  </w:style>
  <w:style w:type="character" w:styleId="ListLabel129">
    <w:name w:val="ListLabel 129"/>
    <w:qFormat/>
    <w:rPr>
      <w:rFonts w:cs="Times New Roman"/>
    </w:rPr>
  </w:style>
  <w:style w:type="character" w:styleId="ListLabel130">
    <w:name w:val="ListLabel 130"/>
    <w:qFormat/>
    <w:rPr>
      <w:rFonts w:cs="Times New Roman"/>
    </w:rPr>
  </w:style>
  <w:style w:type="character" w:styleId="ListLabel131">
    <w:name w:val="ListLabel 131"/>
    <w:qFormat/>
    <w:rPr>
      <w:rFonts w:cs="Times New Roman"/>
    </w:rPr>
  </w:style>
  <w:style w:type="character" w:styleId="ListLabel132">
    <w:name w:val="ListLabel 132"/>
    <w:qFormat/>
    <w:rPr>
      <w:rFonts w:cs="Times New Roman"/>
    </w:rPr>
  </w:style>
  <w:style w:type="character" w:styleId="ListLabel133">
    <w:name w:val="ListLabel 133"/>
    <w:qFormat/>
    <w:rPr>
      <w:rFonts w:cs="Times New Roman"/>
    </w:rPr>
  </w:style>
  <w:style w:type="character" w:styleId="ListLabel134">
    <w:name w:val="ListLabel 134"/>
    <w:qFormat/>
    <w:rPr>
      <w:rFonts w:ascii="Times New Roman" w:hAnsi="Times New Roman" w:cs="Symbol"/>
      <w:color w:val="00000A"/>
      <w:sz w:val="22"/>
    </w:rPr>
  </w:style>
  <w:style w:type="character" w:styleId="ListLabel135">
    <w:name w:val="ListLabel 135"/>
    <w:qFormat/>
    <w:rPr>
      <w:rFonts w:cs="Courier New"/>
    </w:rPr>
  </w:style>
  <w:style w:type="character" w:styleId="ListLabel136">
    <w:name w:val="ListLabel 136"/>
    <w:qFormat/>
    <w:rPr>
      <w:rFonts w:cs="Wingdings"/>
    </w:rPr>
  </w:style>
  <w:style w:type="character" w:styleId="ListLabel137">
    <w:name w:val="ListLabel 137"/>
    <w:qFormat/>
    <w:rPr>
      <w:rFonts w:cs="Symbol"/>
    </w:rPr>
  </w:style>
  <w:style w:type="character" w:styleId="ListLabel138">
    <w:name w:val="ListLabel 138"/>
    <w:qFormat/>
    <w:rPr>
      <w:rFonts w:cs="Courier New"/>
    </w:rPr>
  </w:style>
  <w:style w:type="character" w:styleId="ListLabel139">
    <w:name w:val="ListLabel 139"/>
    <w:qFormat/>
    <w:rPr>
      <w:rFonts w:cs="Wingdings"/>
    </w:rPr>
  </w:style>
  <w:style w:type="character" w:styleId="ListLabel140">
    <w:name w:val="ListLabel 140"/>
    <w:qFormat/>
    <w:rPr>
      <w:rFonts w:cs="Symbol"/>
    </w:rPr>
  </w:style>
  <w:style w:type="character" w:styleId="ListLabel141">
    <w:name w:val="ListLabel 141"/>
    <w:qFormat/>
    <w:rPr>
      <w:rFonts w:cs="Courier New"/>
    </w:rPr>
  </w:style>
  <w:style w:type="character" w:styleId="ListLabel142">
    <w:name w:val="ListLabel 142"/>
    <w:qFormat/>
    <w:rPr>
      <w:rFonts w:cs="Wingdings"/>
    </w:rPr>
  </w:style>
  <w:style w:type="character" w:styleId="ListLabel143">
    <w:name w:val="ListLabel 143"/>
    <w:qFormat/>
    <w:rPr>
      <w:rFonts w:ascii="Times New Roman" w:hAnsi="Times New Roman" w:cs="Symbol"/>
      <w:color w:val="00000A"/>
      <w:sz w:val="22"/>
    </w:rPr>
  </w:style>
  <w:style w:type="character" w:styleId="ListLabel144">
    <w:name w:val="ListLabel 144"/>
    <w:qFormat/>
    <w:rPr>
      <w:rFonts w:cs="Courier New"/>
    </w:rPr>
  </w:style>
  <w:style w:type="character" w:styleId="ListLabel145">
    <w:name w:val="ListLabel 145"/>
    <w:qFormat/>
    <w:rPr>
      <w:rFonts w:cs="Wingdings"/>
    </w:rPr>
  </w:style>
  <w:style w:type="character" w:styleId="ListLabel146">
    <w:name w:val="ListLabel 146"/>
    <w:qFormat/>
    <w:rPr>
      <w:rFonts w:cs="Symbol"/>
    </w:rPr>
  </w:style>
  <w:style w:type="character" w:styleId="ListLabel147">
    <w:name w:val="ListLabel 147"/>
    <w:qFormat/>
    <w:rPr>
      <w:rFonts w:cs="Courier New"/>
    </w:rPr>
  </w:style>
  <w:style w:type="character" w:styleId="ListLabel148">
    <w:name w:val="ListLabel 148"/>
    <w:qFormat/>
    <w:rPr>
      <w:rFonts w:cs="Wingdings"/>
    </w:rPr>
  </w:style>
  <w:style w:type="character" w:styleId="ListLabel149">
    <w:name w:val="ListLabel 149"/>
    <w:qFormat/>
    <w:rPr>
      <w:rFonts w:cs="Symbol"/>
    </w:rPr>
  </w:style>
  <w:style w:type="character" w:styleId="ListLabel150">
    <w:name w:val="ListLabel 150"/>
    <w:qFormat/>
    <w:rPr>
      <w:rFonts w:cs="Courier New"/>
    </w:rPr>
  </w:style>
  <w:style w:type="character" w:styleId="ListLabel151">
    <w:name w:val="ListLabel 151"/>
    <w:qFormat/>
    <w:rPr>
      <w:rFonts w:cs="Wingdings"/>
    </w:rPr>
  </w:style>
  <w:style w:type="character" w:styleId="ListLabel152">
    <w:name w:val="ListLabel 152"/>
    <w:qFormat/>
    <w:rPr>
      <w:rFonts w:ascii="Times New Roman" w:hAnsi="Times New Roman" w:cs="Symbol"/>
      <w:color w:val="00000A"/>
      <w:sz w:val="22"/>
    </w:rPr>
  </w:style>
  <w:style w:type="character" w:styleId="ListLabel153">
    <w:name w:val="ListLabel 153"/>
    <w:qFormat/>
    <w:rPr>
      <w:rFonts w:cs="Courier New"/>
    </w:rPr>
  </w:style>
  <w:style w:type="character" w:styleId="ListLabel154">
    <w:name w:val="ListLabel 154"/>
    <w:qFormat/>
    <w:rPr>
      <w:rFonts w:cs="Wingdings"/>
    </w:rPr>
  </w:style>
  <w:style w:type="character" w:styleId="ListLabel155">
    <w:name w:val="ListLabel 155"/>
    <w:qFormat/>
    <w:rPr>
      <w:rFonts w:cs="Symbol"/>
    </w:rPr>
  </w:style>
  <w:style w:type="character" w:styleId="ListLabel156">
    <w:name w:val="ListLabel 156"/>
    <w:qFormat/>
    <w:rPr>
      <w:rFonts w:cs="Courier New"/>
    </w:rPr>
  </w:style>
  <w:style w:type="character" w:styleId="ListLabel157">
    <w:name w:val="ListLabel 157"/>
    <w:qFormat/>
    <w:rPr>
      <w:rFonts w:cs="Wingdings"/>
    </w:rPr>
  </w:style>
  <w:style w:type="character" w:styleId="ListLabel158">
    <w:name w:val="ListLabel 158"/>
    <w:qFormat/>
    <w:rPr>
      <w:rFonts w:cs="Symbol"/>
    </w:rPr>
  </w:style>
  <w:style w:type="character" w:styleId="ListLabel159">
    <w:name w:val="ListLabel 159"/>
    <w:qFormat/>
    <w:rPr>
      <w:rFonts w:cs="Courier New"/>
    </w:rPr>
  </w:style>
  <w:style w:type="character" w:styleId="ListLabel160">
    <w:name w:val="ListLabel 160"/>
    <w:qFormat/>
    <w:rPr>
      <w:rFonts w:cs="Wingdings"/>
    </w:rPr>
  </w:style>
  <w:style w:type="character" w:styleId="ListLabel161">
    <w:name w:val="ListLabel 161"/>
    <w:qFormat/>
    <w:rPr>
      <w:rFonts w:ascii="Times New Roman" w:hAnsi="Times New Roman" w:cs="Symbol"/>
      <w:sz w:val="22"/>
    </w:rPr>
  </w:style>
  <w:style w:type="character" w:styleId="ListLabel162">
    <w:name w:val="ListLabel 162"/>
    <w:qFormat/>
    <w:rPr>
      <w:rFonts w:cs="Courier New"/>
    </w:rPr>
  </w:style>
  <w:style w:type="character" w:styleId="ListLabel163">
    <w:name w:val="ListLabel 163"/>
    <w:qFormat/>
    <w:rPr>
      <w:rFonts w:cs="Wingdings"/>
    </w:rPr>
  </w:style>
  <w:style w:type="character" w:styleId="ListLabel164">
    <w:name w:val="ListLabel 164"/>
    <w:qFormat/>
    <w:rPr>
      <w:rFonts w:cs="Symbol"/>
    </w:rPr>
  </w:style>
  <w:style w:type="character" w:styleId="ListLabel165">
    <w:name w:val="ListLabel 165"/>
    <w:qFormat/>
    <w:rPr>
      <w:rFonts w:cs="Courier New"/>
    </w:rPr>
  </w:style>
  <w:style w:type="character" w:styleId="ListLabel166">
    <w:name w:val="ListLabel 166"/>
    <w:qFormat/>
    <w:rPr>
      <w:rFonts w:cs="Wingdings"/>
    </w:rPr>
  </w:style>
  <w:style w:type="character" w:styleId="ListLabel167">
    <w:name w:val="ListLabel 167"/>
    <w:qFormat/>
    <w:rPr>
      <w:rFonts w:cs="Symbol"/>
    </w:rPr>
  </w:style>
  <w:style w:type="character" w:styleId="ListLabel168">
    <w:name w:val="ListLabel 168"/>
    <w:qFormat/>
    <w:rPr>
      <w:rFonts w:cs="Courier New"/>
    </w:rPr>
  </w:style>
  <w:style w:type="character" w:styleId="ListLabel169">
    <w:name w:val="ListLabel 169"/>
    <w:qFormat/>
    <w:rPr>
      <w:rFonts w:cs="Wingdings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8">
    <w:name w:val="Body Text"/>
    <w:basedOn w:val="Normal"/>
    <w:link w:val="a4"/>
    <w:rsid w:val="00f6265e"/>
    <w:pPr>
      <w:spacing w:lineRule="auto" w:line="360"/>
      <w:jc w:val="both"/>
    </w:pPr>
    <w:rPr>
      <w:sz w:val="24"/>
    </w:rPr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BodyText2">
    <w:name w:val="Body Text 2"/>
    <w:basedOn w:val="Normal"/>
    <w:qFormat/>
    <w:rsid w:val="00f6265e"/>
    <w:pPr/>
    <w:rPr>
      <w:rFonts w:ascii="Times New Roman" w:hAnsi="Times New Roman"/>
      <w:sz w:val="22"/>
    </w:rPr>
  </w:style>
  <w:style w:type="paragraph" w:styleId="Style22">
    <w:name w:val="Footer"/>
    <w:basedOn w:val="Normal"/>
    <w:link w:val="a6"/>
    <w:uiPriority w:val="99"/>
    <w:rsid w:val="00f6265e"/>
    <w:pPr>
      <w:tabs>
        <w:tab w:val="center" w:pos="4153" w:leader="none"/>
        <w:tab w:val="right" w:pos="8306" w:leader="none"/>
      </w:tabs>
    </w:pPr>
    <w:rPr/>
  </w:style>
  <w:style w:type="paragraph" w:styleId="BodyText3">
    <w:name w:val="Body Text 3"/>
    <w:basedOn w:val="Normal"/>
    <w:qFormat/>
    <w:rsid w:val="00f6265e"/>
    <w:pPr/>
    <w:rPr>
      <w:b/>
      <w:sz w:val="24"/>
    </w:rPr>
  </w:style>
  <w:style w:type="paragraph" w:styleId="Style23">
    <w:name w:val="Title"/>
    <w:basedOn w:val="Normal"/>
    <w:link w:val="a9"/>
    <w:qFormat/>
    <w:rsid w:val="00f6265e"/>
    <w:pPr>
      <w:jc w:val="center"/>
    </w:pPr>
    <w:rPr>
      <w:rFonts w:ascii="Times New Roman" w:hAnsi="Times New Roman"/>
      <w:b/>
      <w:sz w:val="28"/>
    </w:rPr>
  </w:style>
  <w:style w:type="paragraph" w:styleId="BlockText">
    <w:name w:val="Block Text"/>
    <w:basedOn w:val="Normal"/>
    <w:qFormat/>
    <w:rsid w:val="00f6265e"/>
    <w:pPr>
      <w:ind w:left="284" w:right="254" w:firstLine="567"/>
      <w:jc w:val="both"/>
    </w:pPr>
    <w:rPr>
      <w:rFonts w:ascii="Times New Roman" w:hAnsi="Times New Roman"/>
      <w:sz w:val="24"/>
    </w:rPr>
  </w:style>
  <w:style w:type="paragraph" w:styleId="Style24">
    <w:name w:val="Header"/>
    <w:basedOn w:val="Normal"/>
    <w:link w:val="ac"/>
    <w:rsid w:val="00f6265e"/>
    <w:pPr>
      <w:tabs>
        <w:tab w:val="center" w:pos="4153" w:leader="none"/>
        <w:tab w:val="right" w:pos="8306" w:leader="none"/>
      </w:tabs>
    </w:pPr>
    <w:rPr>
      <w:rFonts w:ascii="Times New Roman" w:hAnsi="Times New Roman"/>
    </w:rPr>
  </w:style>
  <w:style w:type="paragraph" w:styleId="Style25">
    <w:name w:val="Body Text Indent"/>
    <w:basedOn w:val="Normal"/>
    <w:link w:val="ae"/>
    <w:rsid w:val="00f6265e"/>
    <w:pPr>
      <w:spacing w:lineRule="auto" w:line="360"/>
      <w:ind w:firstLine="1134"/>
      <w:jc w:val="both"/>
    </w:pPr>
    <w:rPr>
      <w:rFonts w:ascii="Times New Roman" w:hAnsi="Times New Roman"/>
      <w:sz w:val="24"/>
    </w:rPr>
  </w:style>
  <w:style w:type="paragraph" w:styleId="MessageHeader">
    <w:name w:val="Message Header"/>
    <w:basedOn w:val="Style18"/>
    <w:qFormat/>
    <w:rsid w:val="002e0b7e"/>
    <w:pPr>
      <w:keepLines/>
      <w:spacing w:lineRule="atLeast" w:line="415"/>
      <w:ind w:left="1985" w:right="-360" w:hanging="1145"/>
      <w:jc w:val="left"/>
    </w:pPr>
    <w:rPr>
      <w:rFonts w:ascii="Times New Roman" w:hAnsi="Times New Roman"/>
      <w:sz w:val="20"/>
    </w:rPr>
  </w:style>
  <w:style w:type="paragraph" w:styleId="BalloonText">
    <w:name w:val="Balloon Text"/>
    <w:basedOn w:val="Normal"/>
    <w:link w:val="af3"/>
    <w:qFormat/>
    <w:rsid w:val="00d468b2"/>
    <w:pPr/>
    <w:rPr>
      <w:rFonts w:ascii="Tahoma" w:hAnsi="Tahoma"/>
      <w:sz w:val="16"/>
      <w:szCs w:val="16"/>
    </w:rPr>
  </w:style>
  <w:style w:type="paragraph" w:styleId="Style26" w:customStyle="1">
    <w:name w:val="Название документа"/>
    <w:qFormat/>
    <w:rsid w:val="00b67169"/>
    <w:pPr>
      <w:widowControl/>
      <w:bidi w:val="0"/>
      <w:spacing w:lineRule="atLeast" w:line="600" w:before="140" w:after="540"/>
      <w:ind w:left="840" w:hanging="0"/>
      <w:jc w:val="left"/>
    </w:pPr>
    <w:rPr>
      <w:rFonts w:ascii="Times New Roman" w:hAnsi="Times New Roman" w:eastAsia="Times New Roman" w:cs="Times New Roman"/>
      <w:color w:val="00000A"/>
      <w:spacing w:val="-38"/>
      <w:sz w:val="60"/>
      <w:szCs w:val="20"/>
      <w:lang w:val="ru-RU" w:eastAsia="ru-RU" w:bidi="ar-SA"/>
    </w:rPr>
  </w:style>
  <w:style w:type="paragraph" w:styleId="Style27" w:customStyle="1">
    <w:name w:val="Заголовок сообщения (первый)"/>
    <w:qFormat/>
    <w:rsid w:val="00b67169"/>
    <w:pPr>
      <w:keepLines/>
      <w:widowControl/>
      <w:bidi w:val="0"/>
      <w:spacing w:lineRule="atLeast" w:line="415"/>
      <w:ind w:left="1985" w:right="-360" w:hanging="1145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paragraph" w:styleId="133" w:customStyle="1">
    <w:name w:val="ТР_13_обычный"/>
    <w:basedOn w:val="Style23"/>
    <w:link w:val="130"/>
    <w:qFormat/>
    <w:rsid w:val="00e7692c"/>
    <w:pPr>
      <w:ind w:left="33" w:hanging="0"/>
      <w:jc w:val="left"/>
    </w:pPr>
    <w:rPr>
      <w:b w:val="false"/>
      <w:color w:val="421CE2"/>
      <w:sz w:val="26"/>
      <w:szCs w:val="26"/>
    </w:rPr>
  </w:style>
  <w:style w:type="paragraph" w:styleId="134" w:customStyle="1">
    <w:name w:val="ТР_13_жирный"/>
    <w:basedOn w:val="Style23"/>
    <w:link w:val="132"/>
    <w:qFormat/>
    <w:rsid w:val="004e44ae"/>
    <w:pPr/>
    <w:rPr>
      <w:color w:val="421CE2"/>
      <w:sz w:val="26"/>
    </w:rPr>
  </w:style>
  <w:style w:type="paragraph" w:styleId="122" w:customStyle="1">
    <w:name w:val="ТР_12_жир"/>
    <w:basedOn w:val="Normal"/>
    <w:link w:val="120"/>
    <w:qFormat/>
    <w:rsid w:val="004277ca"/>
    <w:pPr>
      <w:jc w:val="center"/>
    </w:pPr>
    <w:rPr>
      <w:rFonts w:ascii="Times New Roman" w:hAnsi="Times New Roman"/>
      <w:b/>
      <w:color w:val="421CE2"/>
      <w:sz w:val="24"/>
      <w:szCs w:val="24"/>
      <w:lang w:val="en-US"/>
    </w:rPr>
  </w:style>
  <w:style w:type="paragraph" w:styleId="1151" w:customStyle="1">
    <w:name w:val="Тр115_обычн"/>
    <w:basedOn w:val="Style25"/>
    <w:link w:val="1150"/>
    <w:qFormat/>
    <w:rsid w:val="00c92584"/>
    <w:pPr>
      <w:spacing w:lineRule="exact" w:line="240"/>
      <w:ind w:firstLine="1080"/>
    </w:pPr>
    <w:rPr>
      <w:color w:val="421CE2"/>
    </w:rPr>
  </w:style>
  <w:style w:type="paragraph" w:styleId="ListParagraph">
    <w:name w:val="List Paragraph"/>
    <w:basedOn w:val="Normal"/>
    <w:uiPriority w:val="34"/>
    <w:qFormat/>
    <w:rsid w:val="004b0a10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eb4e2f"/>
    <w:pPr>
      <w:widowControl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paragraph" w:styleId="1251" w:customStyle="1">
    <w:name w:val="Обычный125Жир"/>
    <w:basedOn w:val="Normal"/>
    <w:link w:val="1250"/>
    <w:qFormat/>
    <w:rsid w:val="00571ab0"/>
    <w:pPr>
      <w:keepNext w:val="true"/>
      <w:ind w:left="-13" w:hanging="0"/>
      <w:outlineLvl w:val="3"/>
    </w:pPr>
    <w:rPr>
      <w:rFonts w:ascii="Times New Roman" w:hAnsi="Times New Roman"/>
      <w:b/>
      <w:bCs/>
      <w:color w:val="0000FF"/>
      <w:sz w:val="25"/>
      <w:szCs w:val="25"/>
    </w:rPr>
  </w:style>
  <w:style w:type="paragraph" w:styleId="123" w:customStyle="1">
    <w:name w:val="Об12жир"/>
    <w:basedOn w:val="Normal"/>
    <w:link w:val="121"/>
    <w:qFormat/>
    <w:rsid w:val="001656a5"/>
    <w:pPr>
      <w:jc w:val="both"/>
    </w:pPr>
    <w:rPr>
      <w:rFonts w:ascii="Times New Roman" w:hAnsi="Times New Roman"/>
      <w:b/>
      <w:bCs/>
      <w:color w:val="0000FF"/>
      <w:sz w:val="24"/>
      <w:szCs w:val="24"/>
    </w:rPr>
  </w:style>
  <w:style w:type="paragraph" w:styleId="135" w:customStyle="1">
    <w:name w:val="Об_13_Жир"/>
    <w:basedOn w:val="Normal"/>
    <w:link w:val="134"/>
    <w:qFormat/>
    <w:rsid w:val="00603da1"/>
    <w:pPr>
      <w:spacing w:before="120" w:after="120"/>
      <w:ind w:firstLine="357"/>
      <w:jc w:val="both"/>
    </w:pPr>
    <w:rPr>
      <w:rFonts w:ascii="Times New Roman" w:hAnsi="Times New Roman"/>
      <w:b/>
      <w:color w:val="0000FF"/>
      <w:sz w:val="26"/>
      <w:szCs w:val="26"/>
    </w:rPr>
  </w:style>
  <w:style w:type="paragraph" w:styleId="ConsPlusTitle" w:customStyle="1">
    <w:name w:val="ConsPlusTitle"/>
    <w:uiPriority w:val="99"/>
    <w:qFormat/>
    <w:rsid w:val="00392288"/>
    <w:pPr>
      <w:widowControl w:val="false"/>
      <w:bidi w:val="0"/>
      <w:jc w:val="left"/>
    </w:pPr>
    <w:rPr>
      <w:rFonts w:ascii="Calibri" w:hAnsi="Calibri" w:eastAsia="" w:cs="Calibri" w:eastAsiaTheme="minorEastAsia"/>
      <w:b/>
      <w:bCs/>
      <w:color w:val="00000A"/>
      <w:sz w:val="22"/>
      <w:szCs w:val="22"/>
      <w:lang w:val="ru-RU" w:eastAsia="ru-RU" w:bidi="ar-SA"/>
    </w:rPr>
  </w:style>
  <w:style w:type="paragraph" w:styleId="BodyTextIndent2">
    <w:name w:val="Body Text Indent 2"/>
    <w:basedOn w:val="Normal"/>
    <w:link w:val="23"/>
    <w:unhideWhenUsed/>
    <w:qFormat/>
    <w:rsid w:val="005c3842"/>
    <w:pPr>
      <w:spacing w:lineRule="auto" w:line="480" w:before="0" w:after="120"/>
      <w:ind w:left="283" w:hanging="0"/>
    </w:pPr>
    <w:rPr/>
  </w:style>
  <w:style w:type="paragraph" w:styleId="Caption">
    <w:name w:val="caption"/>
    <w:basedOn w:val="Normal"/>
    <w:qFormat/>
    <w:rsid w:val="005c3842"/>
    <w:pPr>
      <w:ind w:left="357" w:firstLine="357"/>
      <w:jc w:val="both"/>
    </w:pPr>
    <w:rPr>
      <w:rFonts w:ascii="Times New Roman" w:hAnsi="Times New Roman"/>
      <w:b/>
      <w:bCs/>
    </w:rPr>
  </w:style>
  <w:style w:type="paragraph" w:styleId="PlainText">
    <w:name w:val="Plain Text"/>
    <w:basedOn w:val="Normal"/>
    <w:link w:val="afb"/>
    <w:qFormat/>
    <w:rsid w:val="005c3842"/>
    <w:pPr>
      <w:ind w:left="357" w:firstLine="357"/>
      <w:jc w:val="both"/>
    </w:pPr>
    <w:rPr>
      <w:rFonts w:ascii="Courier New" w:hAnsi="Courier New" w:cs="Courier New"/>
    </w:rPr>
  </w:style>
  <w:style w:type="paragraph" w:styleId="14" w:customStyle="1">
    <w:name w:val="Стиль1_св-ва документа"/>
    <w:basedOn w:val="4"/>
    <w:link w:val="1-0"/>
    <w:qFormat/>
    <w:rsid w:val="005c3842"/>
    <w:pPr>
      <w:ind w:left="-13" w:hanging="0"/>
      <w:jc w:val="both"/>
    </w:pPr>
    <w:rPr>
      <w:bCs/>
      <w:sz w:val="25"/>
      <w:szCs w:val="25"/>
      <w:lang w:val="en-US"/>
    </w:rPr>
  </w:style>
  <w:style w:type="paragraph" w:styleId="103" w:customStyle="1">
    <w:name w:val="ТР_10_Жир"/>
    <w:basedOn w:val="Normal"/>
    <w:link w:val="100"/>
    <w:qFormat/>
    <w:rsid w:val="005c3842"/>
    <w:pPr/>
    <w:rPr>
      <w:rFonts w:ascii="Times New Roman" w:hAnsi="Times New Roman"/>
      <w:b/>
      <w:color w:val="0000FF"/>
    </w:rPr>
  </w:style>
  <w:style w:type="paragraph" w:styleId="104" w:customStyle="1">
    <w:name w:val="ТР_10"/>
    <w:basedOn w:val="Normal"/>
    <w:link w:val="102"/>
    <w:qFormat/>
    <w:rsid w:val="005c3842"/>
    <w:pPr/>
    <w:rPr>
      <w:rFonts w:ascii="Times New Roman" w:hAnsi="Times New Roman"/>
      <w:color w:val="0000FF"/>
    </w:rPr>
  </w:style>
  <w:style w:type="paragraph" w:styleId="105" w:customStyle="1">
    <w:name w:val="Тр_10_Жир"/>
    <w:basedOn w:val="BodyTextIndent2"/>
    <w:link w:val="104"/>
    <w:qFormat/>
    <w:rsid w:val="005c3842"/>
    <w:pPr>
      <w:spacing w:lineRule="auto" w:line="240" w:before="120" w:after="120"/>
      <w:ind w:left="0" w:hanging="0"/>
      <w:jc w:val="center"/>
    </w:pPr>
    <w:rPr>
      <w:rFonts w:ascii="Times New Roman" w:hAnsi="Times New Roman"/>
      <w:b/>
      <w:color w:val="3333FF"/>
    </w:rPr>
  </w:style>
  <w:style w:type="paragraph" w:styleId="Annotationtext">
    <w:name w:val="annotation text"/>
    <w:basedOn w:val="Normal"/>
    <w:link w:val="afe"/>
    <w:qFormat/>
    <w:rsid w:val="005c3842"/>
    <w:pPr>
      <w:ind w:left="357" w:firstLine="357"/>
      <w:jc w:val="both"/>
    </w:pPr>
    <w:rPr>
      <w:rFonts w:ascii="Times New Roman" w:hAnsi="Times New Roman"/>
    </w:rPr>
  </w:style>
  <w:style w:type="paragraph" w:styleId="Annotationsubject">
    <w:name w:val="annotation subject"/>
    <w:basedOn w:val="Annotationtext"/>
    <w:link w:val="aff0"/>
    <w:qFormat/>
    <w:rsid w:val="005c3842"/>
    <w:pPr/>
    <w:rPr>
      <w:b/>
      <w:bCs/>
    </w:rPr>
  </w:style>
  <w:style w:type="paragraph" w:styleId="15" w:customStyle="1">
    <w:name w:val="Стиль1"/>
    <w:basedOn w:val="Normal"/>
    <w:qFormat/>
    <w:rsid w:val="005c3842"/>
    <w:pPr>
      <w:widowControl w:val="false"/>
      <w:suppressAutoHyphens w:val="true"/>
      <w:ind w:firstLine="709"/>
      <w:jc w:val="both"/>
    </w:pPr>
    <w:rPr>
      <w:rFonts w:ascii="Times New Roman" w:hAnsi="Times New Roman"/>
      <w:sz w:val="28"/>
      <w:szCs w:val="28"/>
    </w:rPr>
  </w:style>
  <w:style w:type="paragraph" w:styleId="16" w:customStyle="1">
    <w:name w:val="Основной текст1"/>
    <w:basedOn w:val="Normal"/>
    <w:link w:val="aff1"/>
    <w:qFormat/>
    <w:rsid w:val="005c3842"/>
    <w:pPr>
      <w:widowControl w:val="false"/>
      <w:shd w:val="clear" w:color="auto" w:fill="FFFFFF"/>
      <w:spacing w:lineRule="auto" w:line="240" w:before="0" w:after="120"/>
    </w:pPr>
    <w:rPr>
      <w:rFonts w:ascii="Times New Roman" w:hAnsi="Times New Roman"/>
      <w:spacing w:val="-2"/>
      <w:sz w:val="18"/>
      <w:szCs w:val="18"/>
    </w:rPr>
  </w:style>
  <w:style w:type="paragraph" w:styleId="Style28">
    <w:name w:val="Содержимое таблицы"/>
    <w:basedOn w:val="Normal"/>
    <w:qFormat/>
    <w:pPr/>
    <w:rPr/>
  </w:style>
  <w:style w:type="paragraph" w:styleId="Style29">
    <w:name w:val="Заголовок таблицы"/>
    <w:basedOn w:val="Style28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rsid w:val="008a1d2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garantf1://70055456.0" TargetMode="External"/><Relationship Id="rId4" Type="http://schemas.openxmlformats.org/officeDocument/2006/relationships/hyperlink" Target="mailto:Drogaytseva_N&#1040;@kamch.dvec.ru" TargetMode="External"/><Relationship Id="rId5" Type="http://schemas.openxmlformats.org/officeDocument/2006/relationships/hyperlink" Target="mailto:Mokhova_NV@kamch.dvec.ru" TargetMode="External"/><Relationship Id="rId6" Type="http://schemas.openxmlformats.org/officeDocument/2006/relationships/hyperlink" Target="mailto:Balan_EV@kamch.dvec.ru" TargetMode="Externa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(нежилое в МКД) бюджет 2021</Template>
  <TotalTime>8</TotalTime>
  <Application>LibreOffice/5.3.6.1$Linux_X86_64 LibreOffice_project/30$Build-1</Application>
  <Pages>9</Pages>
  <Words>3899</Words>
  <Characters>28637</Characters>
  <CharactersWithSpaces>32429</CharactersWithSpaces>
  <Paragraphs>226</Paragraphs>
  <Company>Elcom Ltd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2021-01-26T06:09:00Z</dcterms:created>
  <dc:creator>Тимошенко Анастасия Александровна</dc:creator>
  <dc:description/>
  <dc:language>ru-RU</dc:language>
  <cp:lastModifiedBy/>
  <cp:lastPrinted>2017-02-21T05:29:00Z</cp:lastPrinted>
  <dcterms:modified xsi:type="dcterms:W3CDTF">2025-07-09T17:30:59Z</dcterms:modified>
  <cp:revision>3</cp:revision>
  <dc:subject/>
  <dc:title>РАО ЕЭС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ountName">
    <vt:lpwstr>@@AccountName</vt:lpwstr>
  </property>
  <property fmtid="{D5CDD505-2E9C-101B-9397-08002B2CF9AE}" pid="3" name="AccountNum">
    <vt:lpwstr>@@AccountNum</vt:lpwstr>
  </property>
  <property fmtid="{D5CDD505-2E9C-101B-9397-08002B2CF9AE}" pid="4" name="AdressAbonent">
    <vt:lpwstr>@@AdressAbonent</vt:lpwstr>
  </property>
  <property fmtid="{D5CDD505-2E9C-101B-9397-08002B2CF9AE}" pid="5" name="AppVersion">
    <vt:lpwstr>16.0000</vt:lpwstr>
  </property>
  <property fmtid="{D5CDD505-2E9C-101B-9397-08002B2CF9AE}" pid="6" name="Company">
    <vt:lpwstr>Elcom Ltd</vt:lpwstr>
  </property>
  <property fmtid="{D5CDD505-2E9C-101B-9397-08002B2CF9AE}" pid="7" name="DateContact">
    <vt:lpwstr>@@DateContact</vt:lpwstr>
  </property>
  <property fmtid="{D5CDD505-2E9C-101B-9397-08002B2CF9AE}" pid="8" name="DateContract">
    <vt:lpwstr>@@DateContract</vt:lpwstr>
  </property>
  <property fmtid="{D5CDD505-2E9C-101B-9397-08002B2CF9AE}" pid="9" name="DirectNameRP">
    <vt:lpwstr>@@DirectNameRP</vt:lpwstr>
  </property>
  <property fmtid="{D5CDD505-2E9C-101B-9397-08002B2CF9AE}" pid="10" name="DocSecurity">
    <vt:i4>0</vt:i4>
  </property>
  <property fmtid="{D5CDD505-2E9C-101B-9397-08002B2CF9AE}" pid="11" name="Email">
    <vt:lpwstr>@@Email</vt:lpwstr>
  </property>
  <property fmtid="{D5CDD505-2E9C-101B-9397-08002B2CF9AE}" pid="12" name="GroupId">
    <vt:lpwstr>@@GroupId</vt:lpwstr>
  </property>
  <property fmtid="{D5CDD505-2E9C-101B-9397-08002B2CF9AE}" pid="13" name="HyperlinksChanged">
    <vt:bool>0</vt:bool>
  </property>
  <property fmtid="{D5CDD505-2E9C-101B-9397-08002B2CF9AE}" pid="14" name="INN">
    <vt:lpwstr>@@INN</vt:lpwstr>
  </property>
  <property fmtid="{D5CDD505-2E9C-101B-9397-08002B2CF9AE}" pid="15" name="KPP">
    <vt:lpwstr>@@KPP</vt:lpwstr>
  </property>
  <property fmtid="{D5CDD505-2E9C-101B-9397-08002B2CF9AE}" pid="16" name="LinksUpToDate">
    <vt:bool>0</vt:bool>
  </property>
  <property fmtid="{D5CDD505-2E9C-101B-9397-08002B2CF9AE}" pid="17" name="NContact">
    <vt:lpwstr>@@NContact</vt:lpwstr>
  </property>
  <property fmtid="{D5CDD505-2E9C-101B-9397-08002B2CF9AE}" pid="18" name="NContract">
    <vt:lpwstr>@@NContract</vt:lpwstr>
  </property>
  <property fmtid="{D5CDD505-2E9C-101B-9397-08002B2CF9AE}" pid="19" name="NContractNumOnly">
    <vt:lpwstr>@@NContractNumOnly</vt:lpwstr>
  </property>
  <property fmtid="{D5CDD505-2E9C-101B-9397-08002B2CF9AE}" pid="20" name="NDS">
    <vt:lpwstr>@@NDS</vt:lpwstr>
  </property>
  <property fmtid="{D5CDD505-2E9C-101B-9397-08002B2CF9AE}" pid="21" name="NameAbonent">
    <vt:lpwstr>@@NameAbonent</vt:lpwstr>
  </property>
  <property fmtid="{D5CDD505-2E9C-101B-9397-08002B2CF9AE}" pid="22" name="NameDirectAbonent">
    <vt:lpwstr>@@NameDirectAbonent</vt:lpwstr>
  </property>
  <property fmtid="{D5CDD505-2E9C-101B-9397-08002B2CF9AE}" pid="23" name="OGRN">
    <vt:lpwstr>@@OGRN</vt:lpwstr>
  </property>
  <property fmtid="{D5CDD505-2E9C-101B-9397-08002B2CF9AE}" pid="24" name="OKPO">
    <vt:lpwstr>@@OKPO</vt:lpwstr>
  </property>
  <property fmtid="{D5CDD505-2E9C-101B-9397-08002B2CF9AE}" pid="25" name="OKVED">
    <vt:lpwstr>@@OKVED</vt:lpwstr>
  </property>
  <property fmtid="{D5CDD505-2E9C-101B-9397-08002B2CF9AE}" pid="26" name="Phone">
    <vt:lpwstr>@@Phone</vt:lpwstr>
  </property>
  <property fmtid="{D5CDD505-2E9C-101B-9397-08002B2CF9AE}" pid="27" name="PostRP">
    <vt:lpwstr>@@PostRP</vt:lpwstr>
  </property>
  <property fmtid="{D5CDD505-2E9C-101B-9397-08002B2CF9AE}" pid="28" name="ScaleCrop">
    <vt:bool>0</vt:bool>
  </property>
  <property fmtid="{D5CDD505-2E9C-101B-9397-08002B2CF9AE}" pid="29" name="ShareDoc">
    <vt:bool>0</vt:bool>
  </property>
  <property fmtid="{D5CDD505-2E9C-101B-9397-08002B2CF9AE}" pid="30" name="Telephone">
    <vt:lpwstr>@@Telephone</vt:lpwstr>
  </property>
  <property fmtid="{D5CDD505-2E9C-101B-9397-08002B2CF9AE}" pid="31" name="displayContractAddressClaim">
    <vt:lpwstr>@@displayContractAddressClaim</vt:lpwstr>
  </property>
</Properties>
</file>