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fontTable.xml" ContentType="application/vnd.openxmlformats-officedocument.wordprocessingml.fontTable+xml"/>
  <Override PartName="/word/footer2.xml" ContentType="application/vnd.openxmlformats-officedocument.wordprocessingml.footer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4.wmf" ContentType="image/x-wmf"/>
  <Override PartName="/word/media/image3.wmf" ContentType="image/x-wmf"/>
  <Override PartName="/word/media/image2.wmf" ContentType="image/x-wmf"/>
  <Override PartName="/word/media/image1.jpeg" ContentType="image/jpeg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8"/>
        <w:spacing w:lineRule="auto" w:line="240" w:before="120" w:after="0"/>
        <w:jc w:val="center"/>
        <w:rPr>
          <w:rFonts w:ascii="Times New Roman" w:hAnsi="Times New Roman"/>
          <w:b/>
          <w:b/>
          <w:iCs/>
          <w:sz w:val="22"/>
          <w:szCs w:val="22"/>
        </w:rPr>
      </w:pPr>
      <w:r>
        <w:rPr/>
        <w:drawing>
          <wp:inline distT="0" distB="0" distL="0" distR="0">
            <wp:extent cx="2604770" cy="436245"/>
            <wp:effectExtent l="0" t="0" r="0" b="0"/>
            <wp:docPr id="1" name="Рисунок 1" descr="Камчатскэнерго-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Камчатскэнерго-лого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770" cy="43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yle18"/>
        <w:spacing w:lineRule="auto" w:line="240" w:before="120" w:after="0"/>
        <w:jc w:val="center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ГОСУДАРСТВЕННЫЙ КОНТРАКТ</w:t>
      </w:r>
    </w:p>
    <w:p>
      <w:pPr>
        <w:pStyle w:val="Style18"/>
        <w:spacing w:lineRule="auto" w:line="240"/>
        <w:jc w:val="center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ТЕПЛОСНАБЖЕНИЯ И ГОРЯЧЕГО ВОДОСНАБЖЕНИЯ</w:t>
      </w:r>
    </w:p>
    <w:p>
      <w:pPr>
        <w:pStyle w:val="Style18"/>
        <w:spacing w:lineRule="auto" w:line="240"/>
        <w:jc w:val="center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 xml:space="preserve">при открытой и закрытой системах теплоснабжения </w:t>
      </w:r>
      <w:r>
        <w:rPr>
          <w:rFonts w:ascii="Times New Roman" w:hAnsi="Times New Roman"/>
          <w:b/>
          <w:iCs/>
          <w:color w:val="0000FF"/>
          <w:sz w:val="22"/>
          <w:szCs w:val="22"/>
        </w:rPr>
        <w:t xml:space="preserve">№ </w:t>
      </w:r>
      <w:r>
        <w:rPr>
          <w:rFonts w:ascii="Times New Roman" w:hAnsi="Times New Roman"/>
          <w:b/>
          <w:bCs/>
          <w:iCs/>
          <w:color w:val="0000FF"/>
          <w:sz w:val="22"/>
          <w:szCs w:val="22"/>
        </w:rPr>
        <w:t>___________</w:t>
      </w:r>
    </w:p>
    <w:p>
      <w:pPr>
        <w:pStyle w:val="Style18"/>
        <w:spacing w:lineRule="auto" w:line="240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</w:r>
    </w:p>
    <w:p>
      <w:pPr>
        <w:pStyle w:val="Style18"/>
        <w:spacing w:lineRule="auto" w:line="240"/>
        <w:jc w:val="left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 xml:space="preserve"> </w:t>
      </w:r>
      <w:r>
        <w:rPr>
          <w:rFonts w:ascii="Times New Roman" w:hAnsi="Times New Roman"/>
          <w:b/>
          <w:iCs/>
          <w:sz w:val="22"/>
          <w:szCs w:val="22"/>
        </w:rPr>
        <w:t xml:space="preserve">г. Петропавловск-Камчатский                                                                    «____»_____________20__г. </w:t>
      </w:r>
    </w:p>
    <w:p>
      <w:pPr>
        <w:pStyle w:val="Style18"/>
        <w:spacing w:lineRule="auto" w:line="240"/>
        <w:jc w:val="left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</w:r>
    </w:p>
    <w:p>
      <w:pPr>
        <w:pStyle w:val="Normal"/>
        <w:spacing w:before="120" w:after="120"/>
        <w:ind w:firstLine="1134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Публичное акционерное общество энергетики и электрификации «Камчатскэнерго»</w:t>
      </w:r>
      <w:r>
        <w:rPr>
          <w:rFonts w:ascii="Times New Roman" w:hAnsi="Times New Roman"/>
          <w:sz w:val="22"/>
          <w:szCs w:val="22"/>
        </w:rPr>
        <w:t xml:space="preserve">, именуемое в дальнейшем </w:t>
      </w:r>
      <w:r>
        <w:rPr>
          <w:rFonts w:ascii="Times New Roman" w:hAnsi="Times New Roman"/>
          <w:b/>
          <w:sz w:val="22"/>
          <w:szCs w:val="22"/>
        </w:rPr>
        <w:t>«Теплоснабжающая организация» – далее по тексту «ТСО»</w:t>
      </w:r>
      <w:r>
        <w:rPr>
          <w:rFonts w:ascii="Times New Roman" w:hAnsi="Times New Roman"/>
          <w:sz w:val="22"/>
          <w:szCs w:val="22"/>
        </w:rPr>
        <w:t xml:space="preserve">, в лице </w:t>
      </w:r>
      <w:r>
        <w:rPr>
          <w:rFonts w:ascii="Times New Roman" w:hAnsi="Times New Roman"/>
          <w:b/>
          <w:sz w:val="22"/>
          <w:szCs w:val="22"/>
        </w:rPr>
        <w:t>_______________________ филиала Публичного акционерного общества «Дальневосточная энергетическая компания» «Камчатскэнергосбыт»_</w:t>
      </w:r>
      <w:r>
        <w:rPr>
          <w:rFonts w:ascii="Times New Roman" w:hAnsi="Times New Roman"/>
          <w:b/>
          <w:sz w:val="22"/>
          <w:szCs w:val="22"/>
          <w:u w:val="single"/>
        </w:rPr>
        <w:t>______________________        _</w:t>
      </w:r>
      <w:r>
        <w:rPr>
          <w:rFonts w:ascii="Times New Roman" w:hAnsi="Times New Roman"/>
          <w:b/>
          <w:sz w:val="22"/>
          <w:szCs w:val="22"/>
        </w:rPr>
        <w:t>_,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b/>
          <w:sz w:val="22"/>
          <w:szCs w:val="22"/>
        </w:rPr>
        <w:t xml:space="preserve">действующего на основании </w:t>
      </w:r>
      <w:r>
        <w:rPr>
          <w:rFonts w:ascii="Times New Roman" w:hAnsi="Times New Roman"/>
          <w:b/>
          <w:bCs/>
          <w:iCs/>
          <w:sz w:val="22"/>
          <w:szCs w:val="22"/>
        </w:rPr>
        <w:t xml:space="preserve">доверенности </w:t>
      </w:r>
      <w:r>
        <w:rPr>
          <w:rFonts w:ascii="Times New Roman" w:hAnsi="Times New Roman"/>
          <w:b/>
          <w:sz w:val="22"/>
          <w:szCs w:val="22"/>
        </w:rPr>
        <w:t>№ ______________ от _____________</w:t>
      </w:r>
      <w:r>
        <w:rPr>
          <w:rFonts w:ascii="Times New Roman" w:hAnsi="Times New Roman"/>
          <w:sz w:val="22"/>
          <w:szCs w:val="22"/>
        </w:rPr>
        <w:t>, с одной стороны, и</w:t>
      </w:r>
    </w:p>
    <w:p>
      <w:pPr>
        <w:pStyle w:val="Style18"/>
        <w:spacing w:lineRule="auto" w:line="240"/>
        <w:ind w:firstLine="851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iCs/>
          <w:color w:val="0000FF"/>
          <w:sz w:val="22"/>
          <w:szCs w:val="22"/>
        </w:rPr>
        <w:t>_________________</w:t>
      </w:r>
      <w:r>
        <w:rPr>
          <w:rFonts w:ascii="Times New Roman" w:hAnsi="Times New Roman"/>
          <w:b/>
          <w:bCs/>
          <w:iCs/>
          <w:sz w:val="22"/>
          <w:szCs w:val="22"/>
        </w:rPr>
        <w:t xml:space="preserve">, </w:t>
      </w:r>
      <w:r>
        <w:rPr>
          <w:rFonts w:ascii="Times New Roman" w:hAnsi="Times New Roman"/>
          <w:iCs/>
          <w:sz w:val="22"/>
          <w:szCs w:val="22"/>
        </w:rPr>
        <w:t xml:space="preserve">именуемое в дальнейшем </w:t>
      </w:r>
      <w:r>
        <w:rPr>
          <w:rFonts w:ascii="Times New Roman" w:hAnsi="Times New Roman"/>
          <w:b/>
          <w:iCs/>
          <w:sz w:val="22"/>
          <w:szCs w:val="22"/>
        </w:rPr>
        <w:t>«Государственный заказчик</w:t>
      </w:r>
      <w:r>
        <w:rPr>
          <w:rFonts w:ascii="Times New Roman" w:hAnsi="Times New Roman"/>
          <w:iCs/>
          <w:sz w:val="22"/>
          <w:szCs w:val="22"/>
        </w:rPr>
        <w:t xml:space="preserve"> (</w:t>
      </w:r>
      <w:r>
        <w:rPr>
          <w:rFonts w:ascii="Times New Roman" w:hAnsi="Times New Roman"/>
          <w:b/>
          <w:bCs/>
          <w:iCs/>
          <w:sz w:val="22"/>
          <w:szCs w:val="22"/>
        </w:rPr>
        <w:t xml:space="preserve">Потребитель)», </w:t>
      </w:r>
      <w:r>
        <w:rPr>
          <w:rFonts w:ascii="Times New Roman" w:hAnsi="Times New Roman"/>
          <w:iCs/>
          <w:sz w:val="22"/>
          <w:szCs w:val="22"/>
        </w:rPr>
        <w:t xml:space="preserve">в лице </w:t>
      </w:r>
      <w:r>
        <w:rPr>
          <w:rFonts w:ascii="Times New Roman" w:hAnsi="Times New Roman"/>
          <w:b/>
          <w:iCs/>
          <w:color w:val="0000FF"/>
          <w:sz w:val="22"/>
          <w:szCs w:val="22"/>
        </w:rPr>
        <w:t>___________________________________________</w:t>
      </w:r>
      <w:r>
        <w:rPr>
          <w:rFonts w:ascii="Times New Roman" w:hAnsi="Times New Roman"/>
          <w:b/>
          <w:iCs/>
          <w:sz w:val="22"/>
          <w:szCs w:val="22"/>
        </w:rPr>
        <w:t xml:space="preserve">, </w:t>
      </w:r>
      <w:r>
        <w:rPr>
          <w:rFonts w:ascii="Times New Roman" w:hAnsi="Times New Roman"/>
          <w:iCs/>
          <w:sz w:val="22"/>
          <w:szCs w:val="22"/>
        </w:rPr>
        <w:t>действующего на основании ___________________________________________________________, с другой стороны (далее по тексту – «Стороны»), на основании пункта 8 части 1 статьи 93 Федерального закона от 5 апреля 2013 № 44-ФЗ «О контрактной системе в сфере закупок товаров, работ, услуг для государственных и муниципальных нужд» заключили настоящий Государственный контракт (далее – Контракт) о нижеследующем.</w:t>
      </w:r>
    </w:p>
    <w:p>
      <w:pPr>
        <w:pStyle w:val="Style18"/>
        <w:spacing w:lineRule="auto" w:line="240"/>
        <w:ind w:firstLine="851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</w:r>
    </w:p>
    <w:p>
      <w:pPr>
        <w:pStyle w:val="Style18"/>
        <w:numPr>
          <w:ilvl w:val="0"/>
          <w:numId w:val="3"/>
        </w:numPr>
        <w:spacing w:lineRule="auto" w:line="240"/>
        <w:jc w:val="center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ОБЩИЕ ПОЛОЖЕНИЯ.</w:t>
      </w:r>
    </w:p>
    <w:p>
      <w:pPr>
        <w:pStyle w:val="Style18"/>
        <w:spacing w:lineRule="auto" w:line="240"/>
        <w:ind w:left="360" w:hanging="0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</w:r>
    </w:p>
    <w:p>
      <w:pPr>
        <w:pStyle w:val="Style18"/>
        <w:spacing w:lineRule="auto" w:line="240"/>
        <w:ind w:firstLine="851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Понятия, используемые в тексте настоящего контракта, имеют значения, определенные Федеральным законом «О теплоснабжении», иными федеральными законами и нормативно-правовыми актами.</w:t>
      </w:r>
    </w:p>
    <w:p>
      <w:pPr>
        <w:pStyle w:val="Style18"/>
        <w:spacing w:lineRule="auto" w:line="240"/>
        <w:ind w:firstLine="851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По всем вопросам, не оговоренным настоящим контрактом, Стороны обязуются руководствоваться следующими документами:</w:t>
      </w:r>
    </w:p>
    <w:p>
      <w:pPr>
        <w:pStyle w:val="Style18"/>
        <w:numPr>
          <w:ilvl w:val="0"/>
          <w:numId w:val="7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Гражданским кодексом РФ;</w:t>
      </w:r>
    </w:p>
    <w:p>
      <w:pPr>
        <w:pStyle w:val="Style18"/>
        <w:numPr>
          <w:ilvl w:val="0"/>
          <w:numId w:val="7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Федеральным законом от 27.07.2010 № 190-ФЗ «О теплоснабжении»;</w:t>
      </w:r>
    </w:p>
    <w:p>
      <w:pPr>
        <w:pStyle w:val="Style18"/>
        <w:numPr>
          <w:ilvl w:val="0"/>
          <w:numId w:val="7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Федеральным законом от 07.12.2011 № 416-ФЗ «О водоснабжении и водоотведении»;</w:t>
      </w:r>
    </w:p>
    <w:p>
      <w:pPr>
        <w:pStyle w:val="Style18"/>
        <w:numPr>
          <w:ilvl w:val="0"/>
          <w:numId w:val="7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</w:rPr>
        <w:t>Постановлением Правительства РФ от</w:t>
      </w:r>
      <w:r>
        <w:rPr>
          <w:rFonts w:ascii="Times New Roman" w:hAnsi="Times New Roman"/>
          <w:iCs/>
          <w:sz w:val="22"/>
          <w:szCs w:val="22"/>
        </w:rPr>
        <w:t xml:space="preserve"> 29.07.2013 № 642 «Об утверждении Правил горячего водоснабжения и внесении изменения в постановление Правительства РФ от 13.02.2006 № 83;</w:t>
      </w:r>
    </w:p>
    <w:p>
      <w:pPr>
        <w:pStyle w:val="Style18"/>
        <w:numPr>
          <w:ilvl w:val="0"/>
          <w:numId w:val="7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«Правилами организации теплоснабжения в Российской Федерации», утвержденными постановлением Правительства РФ от 08.08.2012 № 808;</w:t>
      </w:r>
    </w:p>
    <w:p>
      <w:pPr>
        <w:pStyle w:val="Style18"/>
        <w:numPr>
          <w:ilvl w:val="0"/>
          <w:numId w:val="7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</w:rPr>
        <w:t>Фе</w:t>
      </w:r>
      <w:r>
        <w:rPr>
          <w:rFonts w:ascii="Times New Roman" w:hAnsi="Times New Roman"/>
          <w:iCs/>
          <w:sz w:val="22"/>
          <w:szCs w:val="22"/>
        </w:rPr>
        <w:t>деральным законом от 23.11.2009 № 261-ФЗ «Об энергосбережении и о повышении энергетической эффективности» с изменениями в редакции от 27.09.2017;</w:t>
      </w:r>
    </w:p>
    <w:p>
      <w:pPr>
        <w:pStyle w:val="Style18"/>
        <w:numPr>
          <w:ilvl w:val="0"/>
          <w:numId w:val="7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</w:rPr>
        <w:t>Постановлением Правительства РФ от 18 ноября 2013 № 1034 «О коммерческом учете тепловой энергии, теплоносителя»;</w:t>
      </w:r>
    </w:p>
    <w:p>
      <w:pPr>
        <w:pStyle w:val="Style18"/>
        <w:numPr>
          <w:ilvl w:val="0"/>
          <w:numId w:val="7"/>
        </w:numPr>
        <w:spacing w:lineRule="auto" w:line="240"/>
        <w:ind w:left="0" w:hanging="0"/>
        <w:rPr/>
      </w:pPr>
      <w:r>
        <w:rPr>
          <w:rFonts w:ascii="Times New Roman" w:hAnsi="Times New Roman"/>
          <w:iCs/>
          <w:sz w:val="22"/>
          <w:szCs w:val="22"/>
        </w:rPr>
        <w:t xml:space="preserve">«Правилами технической эксплуатации тепловых энергоустановок», утвержденными </w:t>
      </w:r>
      <w:hyperlink w:anchor="sub_0">
        <w:r>
          <w:rPr>
            <w:rStyle w:val="Style10"/>
            <w:rFonts w:ascii="Times New Roman" w:hAnsi="Times New Roman"/>
            <w:iCs/>
            <w:color w:val="00000A"/>
            <w:sz w:val="22"/>
            <w:szCs w:val="22"/>
            <w:u w:val="none"/>
          </w:rPr>
          <w:t>приказом</w:t>
        </w:r>
      </w:hyperlink>
      <w:r>
        <w:rPr>
          <w:rFonts w:ascii="Times New Roman" w:hAnsi="Times New Roman"/>
          <w:iCs/>
          <w:sz w:val="22"/>
          <w:szCs w:val="22"/>
        </w:rPr>
        <w:t xml:space="preserve"> Минэнерго РФ от 24.03.2003 № 115;</w:t>
      </w:r>
    </w:p>
    <w:p>
      <w:pPr>
        <w:pStyle w:val="Style18"/>
        <w:numPr>
          <w:ilvl w:val="0"/>
          <w:numId w:val="7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Методикой осуществления коммерческого учета тепловой энергии и теплоносителя, утвержденной Приказом Минстроя России от 17.03.2014 № 99/пр «Об утверждении Методики осуществления коммерческого учета тепловой энергии, теплоносителя» (Зарегистрировано в Минюсте России 12.09.2014 № 34040);</w:t>
      </w:r>
    </w:p>
    <w:p>
      <w:pPr>
        <w:pStyle w:val="Style18"/>
        <w:numPr>
          <w:ilvl w:val="0"/>
          <w:numId w:val="7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Постановлением Правительства РФ от 04.09.2013 № 776 «Об утверждении Правил организации коммерческого учета воды, сточных вод»;</w:t>
      </w:r>
    </w:p>
    <w:p>
      <w:pPr>
        <w:pStyle w:val="Style18"/>
        <w:numPr>
          <w:ilvl w:val="0"/>
          <w:numId w:val="7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«Правилами предоставления коммунальных услуг собственникам (пользователям) помещений в многоквартирных домах и жилых домов», утвержденными Постановлением Правительства РФ от 06.05.2011 № 354; </w:t>
      </w:r>
    </w:p>
    <w:p>
      <w:pPr>
        <w:pStyle w:val="Style18"/>
        <w:numPr>
          <w:ilvl w:val="0"/>
          <w:numId w:val="7"/>
        </w:numPr>
        <w:spacing w:lineRule="auto" w:line="240"/>
        <w:ind w:left="0" w:hanging="0"/>
        <w:rPr/>
      </w:pPr>
      <w:r>
        <w:rPr>
          <w:rFonts w:ascii="Times New Roman" w:hAnsi="Times New Roman"/>
          <w:iCs/>
          <w:sz w:val="22"/>
          <w:szCs w:val="22"/>
        </w:rPr>
        <w:t xml:space="preserve">Приказом от 17.10.2014 № 640/пр «Об утверждении </w:t>
      </w:r>
      <w:hyperlink r:id="rId3">
        <w:r>
          <w:rPr>
            <w:rStyle w:val="Style10"/>
            <w:rFonts w:ascii="Times New Roman" w:hAnsi="Times New Roman"/>
            <w:iCs/>
            <w:color w:val="00000A"/>
            <w:sz w:val="22"/>
            <w:szCs w:val="22"/>
            <w:u w:val="none"/>
          </w:rPr>
          <w:t>Методических указаний по расчету потерь горячей, питьевой, технической воды в централизованных системах водоснабжения при ее производстве и транспортировке</w:t>
        </w:r>
      </w:hyperlink>
      <w:r>
        <w:rPr>
          <w:rFonts w:ascii="Times New Roman" w:hAnsi="Times New Roman"/>
          <w:iCs/>
          <w:sz w:val="22"/>
          <w:szCs w:val="22"/>
        </w:rPr>
        <w:t>»;</w:t>
      </w:r>
    </w:p>
    <w:p>
      <w:pPr>
        <w:pStyle w:val="Style18"/>
        <w:numPr>
          <w:ilvl w:val="0"/>
          <w:numId w:val="7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Приказом Министерства энергетики РФ от 30.12.2008 № 325 «Об утверждении порядка определения нормативов технологических потерь при передаче тепловой энергии, теплоносителя», зарегистрированным в Минюсте России 16.03.2009 № 13513.</w:t>
      </w:r>
    </w:p>
    <w:p>
      <w:pPr>
        <w:pStyle w:val="Style18"/>
        <w:spacing w:lineRule="auto" w:line="240"/>
        <w:ind w:firstLine="851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Другими документами, регламентирующими взаимоотношения между потребителями тепловой энергии (мощности) и (или) теплоносителя, и (или) горячей воды и теплоснабжающей организацией.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lineRule="auto" w:line="240"/>
        <w:jc w:val="center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ПРЕДМЕТ КОНТРАКТА.</w:t>
      </w:r>
    </w:p>
    <w:p>
      <w:pPr>
        <w:pStyle w:val="Style18"/>
        <w:spacing w:lineRule="auto" w:line="240"/>
        <w:ind w:left="390" w:hanging="0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ТСО обязуется поставить (отпустить) Государственному заказчику (Потребителю) через присоединенную тепловую сеть тепловую энергию (мощность) и (или) теплоноситель, и (или) горячую воду (в зависимости от типа системы теплоснабжения) в точки поставки на объекты, указанные в Приложении № 1 в пределах установленных Государственному заказчику (Потребителю) лимитов бюджетных обязательств, а Государственный заказчик (Потребитель)  обязуется принять тепловую энергию (мощность) и (или) теплоноситель, и (или) горячую воду на условиях, предусмотренных настоящим контрактом, действующим законодательством РФ и оплатить ее в порядке, сроки в соответствии с условиями настоящего контракта и требованиями, отраженными в приложениях к нему, а также выполнять иные обязательства, возложенные на Государственного заказчика (Потребителя) в соответствии с условиями настоящего контракта.</w:t>
      </w:r>
    </w:p>
    <w:p>
      <w:pPr>
        <w:pStyle w:val="Style18"/>
        <w:numPr>
          <w:ilvl w:val="1"/>
          <w:numId w:val="2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Точки поставки тепловой энергии (мощности) и (или) теплоносителя, и (или) горячей воды определены в Актах разграничения балансовой принадлежности тепловых сетей и эксплуатационной ответственности сторон, оформленных между ТСО и Государственным заказчиком (Потребителем) по каждой точке поставки, которые являются неотъемлемой частью контракта (Приложение № 3).</w:t>
      </w:r>
    </w:p>
    <w:p>
      <w:pPr>
        <w:pStyle w:val="Style18"/>
        <w:spacing w:lineRule="auto" w:line="240"/>
        <w:ind w:firstLine="851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При осуществлении теплоснабжения нежилого (жилого) помещения, расположенного в многоквартирном доме, точкой поставки определена внешняя граница стены многоквартирного дома или согласованная граница балансовой принадлежности тепловых сетей и эксплуатационной ответственности между ТСО и исполнителем коммунальных услуг, под управлением которого находится данный многоквартирный дом.</w:t>
      </w:r>
    </w:p>
    <w:p>
      <w:pPr>
        <w:pStyle w:val="Style18"/>
        <w:numPr>
          <w:ilvl w:val="1"/>
          <w:numId w:val="2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В случае принятия нормативно-правовых актов, регулирующих вопросы в сфере теплоснабжения и горячего водоснабжения, в том числе устанавливающих иной, по сравнению </w:t>
        <w:br/>
        <w:t>с настоящим контрактом, порядок организации отношений сторон, Стороны применяют указанные нормативно-правовые акты в целях исполнения контракта с даты их вступления в законную силу, без внесения соответствующих изменений в настоящий контракт.</w:t>
      </w:r>
    </w:p>
    <w:p>
      <w:pPr>
        <w:pStyle w:val="ListParagraph"/>
        <w:ind w:left="0" w:firstLine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При заключении и исполнении контракта допускается изменение существенных условий в соответствии с действующим законодательством РФ. </w:t>
      </w:r>
    </w:p>
    <w:p>
      <w:pPr>
        <w:pStyle w:val="Style18"/>
        <w:spacing w:lineRule="auto" w:line="240"/>
        <w:ind w:firstLine="851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lineRule="auto" w:line="240"/>
        <w:jc w:val="center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b/>
          <w:bCs/>
          <w:iCs/>
          <w:sz w:val="22"/>
          <w:szCs w:val="22"/>
        </w:rPr>
        <w:t>ЦЕНА КОНТРАКТА.</w:t>
      </w:r>
    </w:p>
    <w:p>
      <w:pPr>
        <w:pStyle w:val="Style18"/>
        <w:spacing w:lineRule="auto" w:line="240"/>
        <w:ind w:left="39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Расчеты за тепловую энергию (мощность) и (или) теплоноситель, и (или) горячую воду, в том числе за повышенный расход, связанный с авариями и (или) технологическими отказами на сетях и во внутренних системах Потребителя, производятся по тарифам, установленным для Теплоснабжающей организации в порядке, определенном действующим законодательством Российской Федерации о государственном регулировании цен (тарифов), и (или) по ценам, определяемым по соглашению сторон в случаях, установленных действующим законодательством РФ. </w:t>
      </w:r>
    </w:p>
    <w:p>
      <w:pPr>
        <w:pStyle w:val="Style18"/>
        <w:spacing w:lineRule="auto" w:line="240"/>
        <w:ind w:firstLine="851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Объем сверхдоговорного, безучетного потребления или потребления с нарушением режима потребления Государственный заказчик (Потребитель) оплачивает с применением повышающих коэффициентов к тарифам в сфере теплоснабжения, установленных в соответствии с действующим законодательством РФ. </w:t>
      </w:r>
    </w:p>
    <w:p>
      <w:pPr>
        <w:pStyle w:val="Style18"/>
        <w:numPr>
          <w:ilvl w:val="1"/>
          <w:numId w:val="2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Изменение тарифов в период действия настоящего контракта не требует его переоформления. Величины тарифов доводятся до Государственного заказчика (Потребителя) специальным сообщением в средствах массовой информации и подлежат применению с даты, установленной постановлениями уполномоченного органа исполнительной власти в области государственного регулирования цен (тарифов).</w:t>
      </w:r>
    </w:p>
    <w:p>
      <w:pPr>
        <w:pStyle w:val="Style18"/>
        <w:numPr>
          <w:ilvl w:val="1"/>
          <w:numId w:val="2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Контрактные объемы тепловой энергии (мощности) и (или) теплоносителя, и (или) горячей воды, поставляемые ТСО и приобретаемые Государственным заказчиком (Потребителем), с указанием тепловой нагрузки по каждому объекту и видам теплопотребления, с учетом объема тепловых потерь тепловой энергии (мощности) и (или) теплоносителя, и (или) горячей воды в тепловых сетях Государственного заказчика (Потребителя) от границы балансовой принадлежности до теплового узла, указаны в Приложении № 1, которое является неотъемлемой частью настоящего контракта. </w:t>
      </w:r>
    </w:p>
    <w:p>
      <w:pPr>
        <w:pStyle w:val="Style18"/>
        <w:spacing w:lineRule="auto" w:line="240"/>
        <w:ind w:firstLine="709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Цена настоящего контракта определяется </w:t>
      </w:r>
      <w:r>
        <w:rPr>
          <w:rFonts w:ascii="Times New Roman" w:hAnsi="Times New Roman"/>
          <w:sz w:val="22"/>
          <w:szCs w:val="22"/>
        </w:rPr>
        <w:t xml:space="preserve">исходя из доведенных лимитов бюджетных обязательств </w:t>
      </w:r>
      <w:r>
        <w:rPr>
          <w:rFonts w:ascii="Times New Roman" w:hAnsi="Times New Roman"/>
          <w:iCs/>
          <w:sz w:val="22"/>
          <w:szCs w:val="22"/>
        </w:rPr>
        <w:t>на соответствующий финансовый год. Ориентировочный расчет цены контракта производится в соответствии с контрактными объемами тепловой энергии (мощности) и (или) теплоносителя, и (или) горячей воды, указанными в Приложении № 1 и тарифами, установленными для ТСО в порядке, определенном законодательством РФ о государственном регулировании цен (тарифов).</w:t>
      </w:r>
    </w:p>
    <w:p>
      <w:pPr>
        <w:pStyle w:val="Style18"/>
        <w:spacing w:lineRule="auto" w:line="240"/>
        <w:ind w:firstLine="709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Цена настоящего контракта указана в Приложении № 2 «Цена контракта», которое является неотъемлемой частью настоящего контракта и может корректироваться в период всего срока действия настоящего контракта на основании письменного заявления Потребителя с подтверждением скорректированных лимитов бюджетных обязательств. 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lineRule="auto" w:line="240"/>
        <w:jc w:val="center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bCs/>
          <w:iCs/>
          <w:sz w:val="22"/>
          <w:szCs w:val="22"/>
        </w:rPr>
        <w:t xml:space="preserve">КОЛИЧЕСТВО И КАЧЕСТВО ТЕПЛОВОЙ ЭНЕРГИИ </w:t>
      </w:r>
      <w:r>
        <w:rPr>
          <w:rFonts w:ascii="Times New Roman" w:hAnsi="Times New Roman"/>
          <w:b/>
          <w:iCs/>
          <w:sz w:val="22"/>
          <w:szCs w:val="22"/>
        </w:rPr>
        <w:t>(МОЩНОСТИ)</w:t>
      </w:r>
      <w:r>
        <w:rPr>
          <w:rFonts w:ascii="Times New Roman" w:hAnsi="Times New Roman"/>
          <w:iCs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iCs/>
          <w:sz w:val="22"/>
          <w:szCs w:val="22"/>
        </w:rPr>
        <w:t>И (ИЛИ) ТЕПЛОНОСИТЕЛЯ, И (ИЛИ) ГОРЯЧЕЙ ВОДЫ</w:t>
      </w:r>
      <w:r>
        <w:rPr>
          <w:rFonts w:ascii="Times New Roman" w:hAnsi="Times New Roman"/>
          <w:b/>
          <w:iCs/>
          <w:sz w:val="22"/>
          <w:szCs w:val="22"/>
        </w:rPr>
        <w:t>.</w:t>
      </w:r>
    </w:p>
    <w:p>
      <w:pPr>
        <w:pStyle w:val="Style18"/>
        <w:spacing w:lineRule="auto" w:line="240"/>
        <w:ind w:left="390" w:hanging="0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</w:r>
    </w:p>
    <w:p>
      <w:pPr>
        <w:pStyle w:val="Style18"/>
        <w:numPr>
          <w:ilvl w:val="1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ТСО несет обязательства по поставке тепловой энергии (мощности) и (или) теплоносителя, и (или) горячей воды Государственному заказчику (Потребителю) в точку поставки в объемах, предусмотренных настоящим контрактом и в пределах выделенных Государственному заказчику (Потребителю) лимитов бюджетных обязательств.</w:t>
      </w:r>
    </w:p>
    <w:p>
      <w:pPr>
        <w:pStyle w:val="Style18"/>
        <w:numPr>
          <w:ilvl w:val="1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Государственный заказчик (Потребитель) несет ответственность за соблюдение режима потребления тепловой энергии (мощности) и (или) теплоносителя, и (или) горячей воды.</w:t>
      </w:r>
    </w:p>
    <w:p>
      <w:pPr>
        <w:pStyle w:val="Style18"/>
        <w:numPr>
          <w:ilvl w:val="1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Расшифровка контрактных величин потребления тепловой энергии (мощности) и (или) теплоносителя, и (или) горячей воды (с учетом субабонентов) по группам потребления по каждой точке поставки указана в Приложении № 1.</w:t>
      </w:r>
    </w:p>
    <w:p>
      <w:pPr>
        <w:pStyle w:val="Style18"/>
        <w:numPr>
          <w:ilvl w:val="1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Показатели качества в точке поставки: </w:t>
      </w:r>
    </w:p>
    <w:p>
      <w:pPr>
        <w:pStyle w:val="Style18"/>
        <w:numPr>
          <w:ilvl w:val="0"/>
          <w:numId w:val="4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Параметры тепловой энергии и теплоносителя в системе отопления должны соответствовать графику регулирования отпуска тепла с источника тепловой энергии (мощности), разработанному в соответствии с требованиями законодательства РФ к качеству теплоснабжения и теплоносителей (Приложение № 4).</w:t>
      </w:r>
    </w:p>
    <w:p>
      <w:pPr>
        <w:pStyle w:val="Style18"/>
        <w:numPr>
          <w:ilvl w:val="0"/>
          <w:numId w:val="4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Температура горячей воды соответствует СП 30.13330.2012 «Свод правил. Внутренний водопровод и канализация зданий», утвержденному Приказом Минрегиона России от 29.12.2011 № 626, СанПиН 2.1.4.1074-01.</w:t>
      </w:r>
    </w:p>
    <w:p>
      <w:pPr>
        <w:pStyle w:val="Style18"/>
        <w:numPr>
          <w:ilvl w:val="0"/>
          <w:numId w:val="4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Диапазон давления теплоносителя в подающем трубопроводе системы теплоснабжения поддерживается с учетом гидравлического режима работы тепловых сетей (пьезометрического графика).</w:t>
      </w:r>
    </w:p>
    <w:p>
      <w:pPr>
        <w:pStyle w:val="Style18"/>
        <w:numPr>
          <w:ilvl w:val="0"/>
          <w:numId w:val="4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Гарантированный уровень давления горячей воды в системе горячего водоснабжения поддерживается в диапазоне 0,3 ÷ 4,5 кгс/см2 и выше статического не менее чем на 0,05 МПа (0,5 кгс/см2). При расчетном давлении в сети, превышающем указанное давление, Государственному заказчику (Потребителю) необходимо предусматривать устройства (регуляторы давления) в соответствии с требованиями строительных норм и правил по устройству внутреннего водопровода.</w:t>
      </w:r>
    </w:p>
    <w:p>
      <w:pPr>
        <w:pStyle w:val="Style18"/>
        <w:numPr>
          <w:ilvl w:val="0"/>
          <w:numId w:val="4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Физико-химические характеристики теплоносителя, используемого для нужд горячего водоснабжения, поддерживаются не ниже показателей, установленных законодательством РФ в сфере обеспечения санитарно-эпидемиологического благополучия населения.</w:t>
      </w:r>
    </w:p>
    <w:p>
      <w:pPr>
        <w:pStyle w:val="Style18"/>
        <w:numPr>
          <w:ilvl w:val="1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Режим потребления тепловой энергии (мощности) и (или) теплоносителя, и (или) горячей воды:</w:t>
      </w:r>
    </w:p>
    <w:p>
      <w:pPr>
        <w:pStyle w:val="Style18"/>
        <w:numPr>
          <w:ilvl w:val="0"/>
          <w:numId w:val="4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Величина максимального расхода теплоносителя для нужд отопления указана в Приложении № 1.</w:t>
      </w:r>
    </w:p>
    <w:p>
      <w:pPr>
        <w:pStyle w:val="Style18"/>
        <w:numPr>
          <w:ilvl w:val="0"/>
          <w:numId w:val="4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Величина максимального часового и величина среднего за сутки часового потребления (разбора) теплоносителя на нужды горячего водоснабжения и (или) горячей воды указана в Приложении № 1.</w:t>
      </w:r>
    </w:p>
    <w:p>
      <w:pPr>
        <w:pStyle w:val="Style18"/>
        <w:numPr>
          <w:ilvl w:val="0"/>
          <w:numId w:val="4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Среднесуточная температура возвращаемого в сеть теплоснабжения теплоносителя не должна превышать заданную температурным графиком температуру более чем на 5%.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</w:r>
    </w:p>
    <w:p>
      <w:pPr>
        <w:pStyle w:val="Style18"/>
        <w:numPr>
          <w:ilvl w:val="0"/>
          <w:numId w:val="1"/>
        </w:numPr>
        <w:spacing w:lineRule="auto" w:line="240"/>
        <w:jc w:val="center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b/>
          <w:bCs/>
          <w:iCs/>
          <w:sz w:val="22"/>
          <w:szCs w:val="22"/>
        </w:rPr>
        <w:t>ОБЯЗАННОСТИ И ПРАВА ТСО.</w:t>
      </w:r>
    </w:p>
    <w:p>
      <w:pPr>
        <w:pStyle w:val="Style18"/>
        <w:numPr>
          <w:ilvl w:val="1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b/>
          <w:bCs/>
          <w:iCs/>
          <w:sz w:val="22"/>
          <w:szCs w:val="22"/>
        </w:rPr>
        <w:t>ТСО обязуется: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Поставлять тепловую энергию (мощность) и (или) теплоноситель, и (или) горячую воду Государственному заказчику (Потребителю) (с учетом его субабонентов) в объеме, установленном в Приложении № 1 по каждой точке поставки, кроме перерывов (технологических, аварийных ремонтов), с максимумом тепловой нагрузки при температуре наружного воздуха -20</w:t>
      </w:r>
      <w:r>
        <w:rPr>
          <w:rFonts w:ascii="Times New Roman" w:hAnsi="Times New Roman"/>
          <w:iCs/>
          <w:sz w:val="22"/>
          <w:szCs w:val="22"/>
          <w:vertAlign w:val="superscript"/>
        </w:rPr>
        <w:t>о</w:t>
      </w:r>
      <w:r>
        <w:rPr>
          <w:rFonts w:ascii="Times New Roman" w:hAnsi="Times New Roman"/>
          <w:iCs/>
          <w:sz w:val="22"/>
          <w:szCs w:val="22"/>
        </w:rPr>
        <w:t xml:space="preserve">С и минимумом при отсутствии отопительной нагрузки и в пределах лимитов бюджетных обязательств. 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Не производить ограничение подачи тепловой энергии и (или) теплоносителя, и (или) горячей воды Государственному заказчику (Потребителю) в пределах установленных ему главным распорядителем средств бюджета лимитов бюджетных обязательств в случае несвоевременного поступления платежей на его счета при условии, что Государственный заказчик (Потребитель) своевременно информировал главного распорядителя бюджета о необходимости исполнения поставленных в установленном порядке на учет в органе федерального казначейства обязательств по оплате тепловой энергии (мощности) и (или) теплоносителя, и (или) горячей воды.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Поддерживать в точке поставки тепловой энергии (мощности) и (или) теплоносителя, и (или) горячей воды параметры качества в соответствии с п. 4.4.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Уведомлять Государственного заказчика (Потребителя) специальным сообщением в средствах массовой информации (данная информация размещается на сайтах органов местного самоуправления и в официальных изданиях органов местного самоуправления) о причинах, начале и сроках перерывов в поставке тепловой энергии (мощности) и (или) теплоносителя, и (или) горячей воды:</w:t>
      </w:r>
    </w:p>
    <w:p>
      <w:pPr>
        <w:pStyle w:val="Style18"/>
        <w:numPr>
          <w:ilvl w:val="0"/>
          <w:numId w:val="5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в день, предшествующий дню производства работ – при производстве внеплановых работ в любое время года; не менее чем за 15 дней для централизованных систем горячего водоснабжения.</w:t>
      </w:r>
    </w:p>
    <w:p>
      <w:pPr>
        <w:pStyle w:val="Style18"/>
        <w:numPr>
          <w:ilvl w:val="0"/>
          <w:numId w:val="5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в течение 1 часа после введенного ограничения (отключения) в случае аварийной ситуации; в течение 1 дня при аварии на централизованных системах горячего водоснабжения и в случае существенного ухудшения качества горячей воды.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Ежегодно проверять техническое состояние и готовность теплопотребляющего оборудования Государственного заказчика (Потребителя) к работе в отопительный период с оформлением двухстороннего акта.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Выдавать технические условия на установку узла (прибора) учета</w:t>
      </w:r>
      <w:r>
        <w:rPr>
          <w:rFonts w:ascii="Times New Roman" w:hAnsi="Times New Roman"/>
          <w:i/>
          <w:iCs/>
          <w:sz w:val="22"/>
          <w:szCs w:val="22"/>
        </w:rPr>
        <w:t xml:space="preserve">, </w:t>
      </w:r>
      <w:r>
        <w:rPr>
          <w:rFonts w:ascii="Times New Roman" w:hAnsi="Times New Roman"/>
          <w:iCs/>
          <w:sz w:val="22"/>
          <w:szCs w:val="22"/>
        </w:rPr>
        <w:t>на присоединение дополнительной нагрузки.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Осуществлять допуск в эксплуатацию и пломбирование узла (прибора) учета, установленного у Государственного заказчика (Потребителя), по согласованному ТСО проекту. Принимать узел (приборы) учета, на коммерческий учет перед началом каждого отопительного периода.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Исполнять другие обязательства, предусмотренные настоящим контрактом.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Сообщать Государственному заказчику (Потребителю) в письменной форме об изменении своего адреса и банковских реквизитов, на которые должна поступать оплата за тепловую энергию (мощность) и (или) теплоноситель, и (или) горячую воду.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</w:r>
    </w:p>
    <w:p>
      <w:pPr>
        <w:pStyle w:val="Style18"/>
        <w:numPr>
          <w:ilvl w:val="1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b/>
          <w:bCs/>
          <w:iCs/>
          <w:sz w:val="22"/>
          <w:szCs w:val="22"/>
        </w:rPr>
        <w:t>ТСО имеет право: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Производить ограничения отпуска тепловой энергии (мощности) и (или) теплоносителя, и (или) горячей воды и отключение Государственного заказчика (Потребителя) полностью или частично в соответствии с графиками ограничения потребления и отключения тепловой энергии (мощности) и (или) теплоносителя, и (или) горячей воды при возникновении (угрозе возникновения) аварийных ситуаций в системе теплоснабжения без согласования с Государственным заказчиком (Потребителем) с последующим оповещением Государственного заказчика (Потребителя) о причинах и предполагаемой продолжительности ограничения или отключения.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Производить ограничения отпуска тепловой энергии (мощности) и (или) теплоносителя, и (или) горячей воды и отключение Государственного заказчика (Потребителя) полностью за неисполнение или ненадлежащее исполнение Государственным заказчиком (Потребителем) обязательств по оплате тепловой энергии (мощности) и (или) теплоносителя, и (или) горячей воды при отсутствии подтвержденных лимитов бюджетных обязательств, а также нарушение условий настоящего контракта о количестве, качестве и значениях термодинамических параметров возвращаемого теплоносителя и (или) нарушения режима потребления тепловой энергии (мощности) и (или) теплоносителя, и (или) горячей воды, существенно влияющих на теплоснабжение других потребителей в данной системе теплоснабжения, а также в случае несоблюдения установленных техническими регламентами обязательных требований безопасной эксплуатации теплопотребляющих установок, прекращение обязательств сторон по настоящему контракту теплоснабжения, выявление фактов бездоговорного потребления тепловой энергии (мощности) и (или) теплоносителя, и (или) горячей воды. 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Временно прекратить или ограничить горячее водоснабжение в случае:</w:t>
      </w:r>
    </w:p>
    <w:p>
      <w:pPr>
        <w:pStyle w:val="Style18"/>
        <w:numPr>
          <w:ilvl w:val="0"/>
          <w:numId w:val="8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возникновения аварии, инцидента и (или) устранения последствий аварии и инцидента на централизованных системах горячего водоснабжения;</w:t>
      </w:r>
    </w:p>
    <w:p>
      <w:pPr>
        <w:pStyle w:val="Style18"/>
        <w:numPr>
          <w:ilvl w:val="0"/>
          <w:numId w:val="8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существенного ухудшения качества горячей воды. Критерии существенного ухудшения качества горячей воды устанавливаются федеральным органом исполнительной власти, осуществляющим федеральный государственный санитарно-эпидемиологический надзор;</w:t>
      </w:r>
    </w:p>
    <w:p>
      <w:pPr>
        <w:pStyle w:val="Style18"/>
        <w:numPr>
          <w:ilvl w:val="0"/>
          <w:numId w:val="8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проведения планово-предупредительного, внепланового и капитального ремонта;</w:t>
      </w:r>
    </w:p>
    <w:p>
      <w:pPr>
        <w:pStyle w:val="Style18"/>
        <w:numPr>
          <w:ilvl w:val="0"/>
          <w:numId w:val="8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проведения работ по подключению (присоединению) объектов заявителей.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5.2.4</w:t>
      </w:r>
      <w:r>
        <w:rPr>
          <w:rFonts w:ascii="Times New Roman" w:hAnsi="Times New Roman"/>
          <w:iCs/>
          <w:sz w:val="22"/>
          <w:szCs w:val="22"/>
        </w:rPr>
        <w:t>. При наличии оснований для прекращения подачи ресурсов, в соответствии с действующим законодательством РФ, установить следующие объемы допустимого ограничения:</w:t>
      </w:r>
    </w:p>
    <w:p>
      <w:pPr>
        <w:pStyle w:val="Style18"/>
        <w:numPr>
          <w:ilvl w:val="0"/>
          <w:numId w:val="19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отопление - до 100%;</w:t>
      </w:r>
    </w:p>
    <w:p>
      <w:pPr>
        <w:pStyle w:val="Style18"/>
        <w:numPr>
          <w:ilvl w:val="0"/>
          <w:numId w:val="19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горячее водоснабжение – до 100%.</w:t>
      </w:r>
    </w:p>
    <w:p>
      <w:pPr>
        <w:pStyle w:val="Style18"/>
        <w:spacing w:lineRule="auto" w:line="240"/>
        <w:ind w:firstLine="709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В отношении социально значимых категорий «Потребителей» применяется специальный порядок введения ограничения режима потребления, в соответствии с Правилами организации теплоснабжения в Российской Федерации», утвержденными постановлением Правительства РФ от 08.08.2012 г. №808.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5.2.5.</w:t>
      </w:r>
      <w:r>
        <w:rPr>
          <w:rFonts w:ascii="Times New Roman" w:hAnsi="Times New Roman"/>
          <w:iCs/>
          <w:sz w:val="22"/>
          <w:szCs w:val="22"/>
        </w:rPr>
        <w:t xml:space="preserve"> Прекращение подачи тепловой энергии (мощности) и (или) теплоносителя, и (или) горячей воды производится в соответствии с законодательством РФ.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5.2.6.</w:t>
      </w:r>
      <w:r>
        <w:rPr>
          <w:rFonts w:ascii="Times New Roman" w:hAnsi="Times New Roman"/>
          <w:iCs/>
          <w:sz w:val="22"/>
          <w:szCs w:val="22"/>
        </w:rPr>
        <w:t xml:space="preserve"> Беспрепятственного доступа (с предварительным уведомлением Государственного заказчика (Потребителя)) к тепловым сетям, находящимся на территории Государственного заказчика (Потребителя), к теплоиспользующему оборудованию, узлам (приборам) учета в целях:</w:t>
      </w:r>
    </w:p>
    <w:p>
      <w:pPr>
        <w:pStyle w:val="Style18"/>
        <w:numPr>
          <w:ilvl w:val="0"/>
          <w:numId w:val="9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производства ремонтных работ в случае аварии - в любое время суток;</w:t>
        <w:tab/>
      </w:r>
    </w:p>
    <w:p>
      <w:pPr>
        <w:pStyle w:val="Style18"/>
        <w:numPr>
          <w:ilvl w:val="0"/>
          <w:numId w:val="9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контроля над соблюдением установленных режимов и согласованных объемов теплопотребления - в рабочее время суток;</w:t>
      </w:r>
    </w:p>
    <w:p>
      <w:pPr>
        <w:pStyle w:val="Style18"/>
        <w:numPr>
          <w:ilvl w:val="0"/>
          <w:numId w:val="9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проведения замеров по определению качества тепловой энергии (мощности) и (или) теплоносителя, и (или) горячей воды - в рабочее время суток.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5.2.7.</w:t>
      </w:r>
      <w:r>
        <w:rPr>
          <w:rFonts w:ascii="Times New Roman" w:hAnsi="Times New Roman"/>
          <w:iCs/>
          <w:sz w:val="22"/>
          <w:szCs w:val="22"/>
        </w:rPr>
        <w:t xml:space="preserve"> При наличии на объекте Государственного заказчика (Потребителя) оборудования, подключенного к автоматизированной системе дистанционного снятия  показаний приборов учета тепловой энергии и (или) теплоносителя, и (или) горячей воды, ТСО имеет право самостоятельно производить снятие показаний с последующим уведомлением Потребителя в течение суток после снятия о полученной информации любым доступным способом, и использовать показания при расчете размера платы за коммунальные ресурсы, потребленные в расчетном периоде.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ab/>
        <w:t>В случае невозможности снятия показаний прибора учета с использованием автоматизированной системы дистанционного снятия показаний, ТСО информирует Государственного заказчика (Потребителя) в течение суток любым доступным способом, подтверждающим факт передачи информации.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</w:r>
    </w:p>
    <w:p>
      <w:pPr>
        <w:pStyle w:val="Style18"/>
        <w:numPr>
          <w:ilvl w:val="0"/>
          <w:numId w:val="1"/>
        </w:numPr>
        <w:spacing w:lineRule="auto" w:line="240"/>
        <w:ind w:left="0" w:hanging="0"/>
        <w:jc w:val="center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ОБЯЗАННОСТИ И ПРАВА ГОСУДАРСТВЕННОГО ЗАКАЗЧИКА (ПОТРЕБИТЕЛЯ).</w:t>
      </w:r>
    </w:p>
    <w:p>
      <w:pPr>
        <w:pStyle w:val="Style18"/>
        <w:spacing w:lineRule="auto" w:line="240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</w:r>
    </w:p>
    <w:p>
      <w:pPr>
        <w:pStyle w:val="Style18"/>
        <w:numPr>
          <w:ilvl w:val="1"/>
          <w:numId w:val="1"/>
        </w:numPr>
        <w:spacing w:lineRule="auto" w:line="240"/>
        <w:ind w:left="0" w:hanging="0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Государственный заказчик (Потребитель) обязуется: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Оплачивать стоимость потребленной тепловой энергии (мощности) и (или) теплоносителя, и (или) горячей воды за расчетный период ежемесячно в полном объеме в порядке, сроки и размере, предусмотренном настоящим контрактом.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Предоставлять данные о плановом количестве тепловой энергии (мощности) и (или) теплоносителя, и (или) горячей воды на новый календарный год не позднее 01 марта текущего года. 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Предоставлять до 01 сентября ежегодно «Акт готовности Потребителя к пользованию тепловой энергией (мощностью) и (или) теплоносителем в отопительный период» (технической возможности систем теплопотребления), а также перечень ответственных лиц.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Установить узел (прибор) учета и обеспечивать его исправное состояние, </w:t>
      </w:r>
      <w:r>
        <w:rPr>
          <w:rFonts w:ascii="Times New Roman" w:hAnsi="Times New Roman"/>
          <w:bCs/>
          <w:iCs/>
          <w:sz w:val="22"/>
          <w:szCs w:val="22"/>
        </w:rPr>
        <w:t xml:space="preserve">а также сохранность пломб и знаков поверки на приборах учета (узлах учета), кранах и задвижках на их обводах и других устройствах, находящихся в границах эксплуатационной ответственности </w:t>
      </w:r>
      <w:r>
        <w:rPr>
          <w:rFonts w:ascii="Times New Roman" w:hAnsi="Times New Roman"/>
          <w:iCs/>
          <w:sz w:val="22"/>
          <w:szCs w:val="22"/>
        </w:rPr>
        <w:t>Государственного заказчика</w:t>
      </w:r>
      <w:r>
        <w:rPr>
          <w:rFonts w:ascii="Times New Roman" w:hAnsi="Times New Roman"/>
          <w:bCs/>
          <w:iCs/>
          <w:sz w:val="22"/>
          <w:szCs w:val="22"/>
        </w:rPr>
        <w:t xml:space="preserve"> (Потребителя).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В случае временного выхода прибора учета из эксплуатации или утраты, обеспечить восстановление работоспособности прибора учета в течение 15 суток, с момента выхода его из строя, в соответствии с техническими условиями, выданными ТСО и согласованным с ней проектом.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   </w:t>
      </w:r>
      <w:r>
        <w:rPr>
          <w:rFonts w:ascii="Times New Roman" w:hAnsi="Times New Roman"/>
          <w:iCs/>
          <w:sz w:val="22"/>
          <w:szCs w:val="22"/>
        </w:rPr>
        <w:t>В случае не восстановления работы прибора учета в течение 2-х месяцев ТСО самостоятельно выполняет работы по ремонту (обслуживанию) прибора учета с последующим предъявлением понесенных затрат за выполненный объем работ. Потребитель обязан возместить затраты за выполненные работы в течение 30 дней с момента получения Акта выполненных работ от ТСО.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Незамедлительно в день обнаружения сообщать в диспетчерский пункт ТСО:</w:t>
      </w:r>
    </w:p>
    <w:p>
      <w:pPr>
        <w:pStyle w:val="Style18"/>
        <w:numPr>
          <w:ilvl w:val="0"/>
          <w:numId w:val="1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об обнаружении утечек (ликвидации аварии);</w:t>
      </w:r>
    </w:p>
    <w:p>
      <w:pPr>
        <w:pStyle w:val="Style18"/>
        <w:numPr>
          <w:ilvl w:val="0"/>
          <w:numId w:val="1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о неисправностях в работе и механических повреждениях узла (прибора) учета;</w:t>
      </w:r>
    </w:p>
    <w:p>
      <w:pPr>
        <w:pStyle w:val="Style18"/>
        <w:numPr>
          <w:ilvl w:val="0"/>
          <w:numId w:val="1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о нарушениях целостности пломб и повреждении приборов узла (прибора) учета;</w:t>
      </w:r>
    </w:p>
    <w:p>
      <w:pPr>
        <w:pStyle w:val="Style18"/>
        <w:numPr>
          <w:ilvl w:val="0"/>
          <w:numId w:val="1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об авариях, пожарах и иных нарушениях (в том числе и в случае обнаружения источника загрязнения теплоносителя), возникающих при эксплуатации систем теплопотребления Государственного заказчика (Потребителя), узла (прибора) учета и автоматики;</w:t>
      </w:r>
    </w:p>
    <w:p>
      <w:pPr>
        <w:pStyle w:val="Style18"/>
        <w:numPr>
          <w:ilvl w:val="0"/>
          <w:numId w:val="1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об изменении режимов теплопотребления.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При наличии автоматизированной системы дистанционного снятия показаний, принадлежащей Государственному заказчику (Потребителю), предоставить ТСО доступ к данной системе для снятия показаний. </w:t>
      </w:r>
    </w:p>
    <w:p>
      <w:pPr>
        <w:pStyle w:val="Style18"/>
        <w:spacing w:lineRule="auto" w:line="240"/>
        <w:ind w:firstLine="851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При снятии ТСО показаний приборов учета тепловой энергии и (или) теплоносителя, и (или) горячей воды с использованием автоматизированной системы дистанционного снятия показаний, принимать данные показания при расчетах за коммунальные ресурсы, потребленные в расчетном периоде.</w:t>
      </w:r>
    </w:p>
    <w:p>
      <w:pPr>
        <w:pStyle w:val="Style18"/>
        <w:spacing w:lineRule="auto" w:line="240"/>
        <w:ind w:firstLine="851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В случае получения от ТСО сообщения о невозможности снятия показаний прибора учета с использованием автоматизированной системы дистанционного снятия показаний, предоставлять информацию о количестве потребленных коммунальных ресурсов за расчетный период в соответствии с настоящим контрактом.</w:t>
      </w:r>
    </w:p>
    <w:p>
      <w:pPr>
        <w:pStyle w:val="Style18"/>
        <w:spacing w:lineRule="auto" w:line="240"/>
        <w:ind w:firstLine="851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При выявлении неисправностей в работе автоматизированной системы дистанционного снятия показаний незамедлительно извещать ТСО любым доступным способом, подтверждающим факт передачи информации.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Обеспечивать беспрепятственный доступ (при предварительном уведомлении Государственного заказчика (Потребителя)) представителей ТСО к теплопотребляющим установкам и узлу (прибору) учета с целью проверки условий их эксплуатации и сохранности и снятия контрольных показаний, установке системы диспетчеризации в случае инициативы РСО в установке такого оборудования, а также в любое время при несоблюдении режима потребления тепловой энергии (мощности) и (или) теплоносителя, и (или) горячей воды или подачи недостоверных показаний приборов.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Выполнять предписания ТСО в отношении режима потребления тепловой энергии (мощности) и (или) теплоносителя, и (или) горячей воды, нести ответственность за сохранность, изоляцию сооружений, коммуникаций и тепловых установок, находящихся на территории Государственного заказчика (Потребителя), но принадлежащих ТСО.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Соблюдать условия настоящего контракта о количестве, качестве и значениях термодинамических параметров возвращаемого теплоносителя, не допускать загрязнения теплоносителя (сетевой воды).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bCs/>
          <w:iCs/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</w:rPr>
        <w:t xml:space="preserve">За самовольное подключение систем теплопотребления или подключение их до приборов учета оплачивать ТСО стоимость бездоговорного, безучетного потребления </w:t>
      </w:r>
      <w:r>
        <w:rPr>
          <w:rFonts w:ascii="Times New Roman" w:hAnsi="Times New Roman"/>
          <w:iCs/>
          <w:sz w:val="22"/>
          <w:szCs w:val="22"/>
        </w:rPr>
        <w:t>тепловой энергии (мощности) и (или) теплоносителя, и (или) горячей воды</w:t>
      </w:r>
      <w:r>
        <w:rPr>
          <w:rFonts w:ascii="Times New Roman" w:hAnsi="Times New Roman"/>
          <w:bCs/>
          <w:iCs/>
          <w:sz w:val="22"/>
          <w:szCs w:val="22"/>
        </w:rPr>
        <w:t>, рассчитанную в соответствии с нормативными документами, за период с даты предыдущей проверки, а при невозможности установить дату - за период исковой давности, по тарифам, действующим на момент обнаружения факта бездоговорного, безучетного потребления.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В случае выявления нарушения Государственным заказчиком (Потребителем) режима потребления тепловой энергии (мощности) и (или) теплоносителя, и (или) горячей воды при условии отсутствия у Государственного заказчика (Потребителя) коммерческого учета тепловой энергии (мощности) и (или) теплоносителя, и (или) горячей воды, Государственный заказчик (Потребитель) обязан оплатить ТСО объем сверхдоговорного, безучетного потребления или потребления с нарушением режима потребления с применением к тарифам в сфере теплоснабжения повышающих коэффициентов, установленных в соответствии с действующим законодательством РФ.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Сдавать узел (приборы) учета на коммерческий учет перед началом каждого отопительного периода.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Вместе с отчетом о показаниях прибора учета Государственный заказчик (Потребитель) предоставляет данные о часовых и суточных значениях параметров в электронном виде (в одном из следующих форматов: .</w:t>
      </w:r>
      <w:r>
        <w:rPr>
          <w:rFonts w:ascii="Times New Roman" w:hAnsi="Times New Roman"/>
          <w:iCs/>
          <w:sz w:val="22"/>
          <w:szCs w:val="22"/>
          <w:lang w:val="en-US"/>
        </w:rPr>
        <w:t>bin</w:t>
      </w:r>
      <w:r>
        <w:rPr>
          <w:rFonts w:ascii="Times New Roman" w:hAnsi="Times New Roman"/>
          <w:iCs/>
          <w:sz w:val="22"/>
          <w:szCs w:val="22"/>
        </w:rPr>
        <w:t>, 7</w:t>
      </w:r>
      <w:r>
        <w:rPr>
          <w:rFonts w:ascii="Times New Roman" w:hAnsi="Times New Roman"/>
          <w:iCs/>
          <w:sz w:val="22"/>
          <w:szCs w:val="22"/>
          <w:lang w:val="en-US"/>
        </w:rPr>
        <w:t>kt</w:t>
      </w:r>
      <w:r>
        <w:rPr>
          <w:rFonts w:ascii="Times New Roman" w:hAnsi="Times New Roman"/>
          <w:iCs/>
          <w:sz w:val="22"/>
          <w:szCs w:val="22"/>
        </w:rPr>
        <w:t>, .</w:t>
      </w:r>
      <w:r>
        <w:rPr>
          <w:rFonts w:ascii="Times New Roman" w:hAnsi="Times New Roman"/>
          <w:iCs/>
          <w:sz w:val="22"/>
          <w:szCs w:val="22"/>
          <w:lang w:val="en-US"/>
        </w:rPr>
        <w:t>dtt</w:t>
      </w:r>
      <w:r>
        <w:rPr>
          <w:rFonts w:ascii="Times New Roman" w:hAnsi="Times New Roman"/>
          <w:iCs/>
          <w:sz w:val="22"/>
          <w:szCs w:val="22"/>
        </w:rPr>
        <w:t>, .</w:t>
      </w:r>
      <w:r>
        <w:rPr>
          <w:rFonts w:ascii="Times New Roman" w:hAnsi="Times New Roman"/>
          <w:iCs/>
          <w:sz w:val="22"/>
          <w:szCs w:val="22"/>
          <w:lang w:val="en-US"/>
        </w:rPr>
        <w:t>np</w:t>
      </w:r>
      <w:r>
        <w:rPr>
          <w:rFonts w:ascii="Times New Roman" w:hAnsi="Times New Roman"/>
          <w:iCs/>
          <w:sz w:val="22"/>
          <w:szCs w:val="22"/>
        </w:rPr>
        <w:t>3, .</w:t>
      </w:r>
      <w:r>
        <w:rPr>
          <w:rFonts w:ascii="Times New Roman" w:hAnsi="Times New Roman"/>
          <w:iCs/>
          <w:sz w:val="22"/>
          <w:szCs w:val="22"/>
          <w:lang w:val="en-US"/>
        </w:rPr>
        <w:t>xls</w:t>
      </w:r>
      <w:r>
        <w:rPr>
          <w:rFonts w:ascii="Times New Roman" w:hAnsi="Times New Roman"/>
          <w:iCs/>
          <w:sz w:val="22"/>
          <w:szCs w:val="22"/>
        </w:rPr>
        <w:t>, или на переносчике архивных данных), а также другие материалы и сведения, касающиеся организации и ведения учета потребления за текущий месяц (журнал учета тепловой энергии (мощности) и (или) теплоносителя, и (или) горячей воды, паспорта приборов, номер модема, показания приборов, нефиксируемых в архиве тепловычислителя и т.д.).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Своевременно производить плановый предупредительный ремонт, испытания теплопроводов, теплопотребляющего оборудования, запорной и регулирующей арматуры, согласовывая с ТСО объём, сроки и графики ремонта.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При плановых отключениях, ремонтных, профилактических работах и других отключениях Государственный заказчик (Потребитель) обязан письменно уведомлять ТСО за 3 дня до начала работ. 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В случае включения и отключения объекта, не запланированного ТСО, возмещать расходы, связанные с включением и отключением объектов.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Государственный заказчик (Потребитель) возмещает ТСО стоимость повышенного расхода тепловой энергии (мощности) и (или) теплоносителя, и (или) горячей воды, связанного с авариями и (или) технологическими отказами на сетях и во внутренних системах, и </w:t>
      </w:r>
      <w:r>
        <w:rPr>
          <w:rFonts w:ascii="Times New Roman" w:hAnsi="Times New Roman"/>
          <w:iCs/>
          <w:color w:val="0000FF"/>
          <w:sz w:val="22"/>
          <w:szCs w:val="22"/>
        </w:rPr>
        <w:t>на пусковое заполнение внутренних систем отопления</w:t>
      </w:r>
      <w:r>
        <w:rPr>
          <w:rFonts w:ascii="Times New Roman" w:hAnsi="Times New Roman"/>
          <w:iCs/>
          <w:sz w:val="22"/>
          <w:szCs w:val="22"/>
        </w:rPr>
        <w:t xml:space="preserve">, определенного на основании показаний приборов учета или по расчету ТСО по действующим тарифам. 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Включение отремонтированных систем теплопотребления или их отдельных частей после планового или аварийного ремонта, а также новых объектов производится с письменного разрешения и в присутствии представителя ТСО с подписанием двустороннего акта.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Включение Государственного заказчика (Потребителя) в начале отопительного периода производится в соответствии с постановлением Главы муниципального образования (округа) «О начале отопительного сезона», при выполнении следующих условий:</w:t>
      </w:r>
    </w:p>
    <w:p>
      <w:pPr>
        <w:pStyle w:val="Style18"/>
        <w:numPr>
          <w:ilvl w:val="0"/>
          <w:numId w:val="12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наличие письменной заявки Государственного заказчика (Потребителя);</w:t>
      </w:r>
    </w:p>
    <w:p>
      <w:pPr>
        <w:pStyle w:val="Style18"/>
        <w:numPr>
          <w:ilvl w:val="0"/>
          <w:numId w:val="12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наличие подписанного «Акта готовности Потребителя к пользованию тепловой энергией (мощностью) и (или) теплоносителем в отопительный период»;</w:t>
      </w:r>
    </w:p>
    <w:p>
      <w:pPr>
        <w:pStyle w:val="Style18"/>
        <w:numPr>
          <w:ilvl w:val="0"/>
          <w:numId w:val="12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отсутствие дебиторской задолженности;</w:t>
      </w:r>
    </w:p>
    <w:p>
      <w:pPr>
        <w:pStyle w:val="Style18"/>
        <w:numPr>
          <w:ilvl w:val="0"/>
          <w:numId w:val="12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подтверждение выделенных Государственному заказчику (Потребителю) лимитов бюджетных обязательств.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Отключение теплоснабжения в конце отопительного периода производится в соответствии с постановлением Главы муниципального образования (округа) «Об окончании отопительного сезона».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Внеплановое отключение теплоснабжения (до окончания отопительного периода (сезона)) производить на основании заявки Государственного заказчика (Потребителя) при условии, что она подана не позднее чем за 10 дней до планируемой даты отключения с составлением акта между ТСО и Государственным заказчиком (Потребителем).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Не допускать в охранных зонах теплотрасс возведение построек, складирования материалов, посадки деревьев на расстоянии менее 5 м от теплопроводов, производство земляных работ без разрешения ТСО, а также нахождения людей в помещениях, по которым проходят магистральные теплопроводы.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ab/>
        <w:t xml:space="preserve">При несоблюдении условий настоящего пункта Государственный заказчик (Потребитель) возмещает ТСО все убытки, причиненные неисполнением обязательств по контракту в соответствии с действующим законодательством РФ. 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bCs/>
          <w:iCs/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</w:rPr>
        <w:t>Поддерживать на границе раздела балансовой принадлежности тепловых сетей и (или) эксплуатационной ответственности сторон значения показателей качества тепловой энергии</w:t>
      </w:r>
      <w:r>
        <w:rPr>
          <w:rFonts w:ascii="Times New Roman" w:hAnsi="Times New Roman"/>
          <w:iCs/>
          <w:sz w:val="22"/>
          <w:szCs w:val="22"/>
        </w:rPr>
        <w:t xml:space="preserve"> (мощности) и (или) теплоносителя, и (или) горячей воды</w:t>
      </w:r>
      <w:r>
        <w:rPr>
          <w:rFonts w:ascii="Times New Roman" w:hAnsi="Times New Roman"/>
          <w:bCs/>
          <w:iCs/>
          <w:sz w:val="22"/>
          <w:szCs w:val="22"/>
        </w:rPr>
        <w:t>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/>
      </w:pPr>
      <w:r>
        <w:rPr>
          <w:rFonts w:ascii="Times New Roman" w:hAnsi="Times New Roman"/>
          <w:bCs/>
          <w:iCs/>
          <w:sz w:val="22"/>
          <w:szCs w:val="22"/>
        </w:rPr>
        <w:t xml:space="preserve">Включение и выключение тепловых пунктов, систем теплопотребления, принадлежащих </w:t>
      </w:r>
      <w:r>
        <w:rPr>
          <w:rFonts w:ascii="Times New Roman" w:hAnsi="Times New Roman"/>
          <w:iCs/>
          <w:sz w:val="22"/>
          <w:szCs w:val="22"/>
        </w:rPr>
        <w:t>Государственному заказчику</w:t>
      </w:r>
      <w:r>
        <w:rPr>
          <w:rFonts w:ascii="Times New Roman" w:hAnsi="Times New Roman"/>
          <w:bCs/>
          <w:iCs/>
          <w:sz w:val="22"/>
          <w:szCs w:val="22"/>
        </w:rPr>
        <w:t xml:space="preserve"> (Потребителю), а также установление расхода теплоносителя, производится персоналом </w:t>
      </w:r>
      <w:r>
        <w:rPr>
          <w:rFonts w:ascii="Times New Roman" w:hAnsi="Times New Roman"/>
          <w:iCs/>
          <w:sz w:val="22"/>
          <w:szCs w:val="22"/>
        </w:rPr>
        <w:t>Государственного заказчика</w:t>
      </w:r>
      <w:r>
        <w:rPr>
          <w:rFonts w:ascii="Times New Roman" w:hAnsi="Times New Roman"/>
          <w:bCs/>
          <w:iCs/>
          <w:sz w:val="22"/>
          <w:szCs w:val="22"/>
        </w:rPr>
        <w:t xml:space="preserve"> (Потребителя) с разрешения диспетчера и под контролем персонала теплоснабжающей организации.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bCs/>
          <w:iCs/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</w:rPr>
        <w:t xml:space="preserve">Следить за теплоизоляцией трубопроводов, гидроизоляцией ввода тепловых сетей, находящихся в ведении </w:t>
      </w:r>
      <w:r>
        <w:rPr>
          <w:rFonts w:ascii="Times New Roman" w:hAnsi="Times New Roman"/>
          <w:iCs/>
          <w:sz w:val="22"/>
          <w:szCs w:val="22"/>
        </w:rPr>
        <w:t>Государственного заказчика</w:t>
      </w:r>
      <w:r>
        <w:rPr>
          <w:rFonts w:ascii="Times New Roman" w:hAnsi="Times New Roman"/>
          <w:bCs/>
          <w:iCs/>
          <w:sz w:val="22"/>
          <w:szCs w:val="22"/>
        </w:rPr>
        <w:t xml:space="preserve"> (Потребителя), и выполнять за свой счет мероприятия, исключающие попадание воды в подвальные, полуподвальные и другие помещения. 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bCs/>
          <w:iCs/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</w:rPr>
        <w:t>Передавать тепловую энергию</w:t>
      </w:r>
      <w:r>
        <w:rPr>
          <w:rFonts w:ascii="Times New Roman" w:hAnsi="Times New Roman"/>
          <w:iCs/>
          <w:sz w:val="22"/>
          <w:szCs w:val="22"/>
        </w:rPr>
        <w:t xml:space="preserve"> (мощность) и (или) теплоноситель, и (или) горячую воду </w:t>
      </w:r>
      <w:r>
        <w:rPr>
          <w:rFonts w:ascii="Times New Roman" w:hAnsi="Times New Roman"/>
          <w:bCs/>
          <w:iCs/>
          <w:sz w:val="22"/>
          <w:szCs w:val="22"/>
        </w:rPr>
        <w:t xml:space="preserve">субабонентам, присоединенным к сетям </w:t>
      </w:r>
      <w:r>
        <w:rPr>
          <w:rFonts w:ascii="Times New Roman" w:hAnsi="Times New Roman"/>
          <w:iCs/>
          <w:sz w:val="22"/>
          <w:szCs w:val="22"/>
        </w:rPr>
        <w:t>Государственного заказчика</w:t>
      </w:r>
      <w:r>
        <w:rPr>
          <w:rFonts w:ascii="Times New Roman" w:hAnsi="Times New Roman"/>
          <w:bCs/>
          <w:iCs/>
          <w:sz w:val="22"/>
          <w:szCs w:val="22"/>
        </w:rPr>
        <w:t xml:space="preserve"> (Потребителя), только с письменного разрешения ТСО после внесения соответствующих изменений в настоящий контракт.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bCs/>
          <w:iCs/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</w:rPr>
        <w:t>При отчуждении объектов (освобождении занимаемого помещения или прекращении деятельности):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- за 30 дней направить письмо в ТСО о прекращении действия настоящего </w:t>
      </w:r>
      <w:r>
        <w:rPr>
          <w:rFonts w:ascii="Times New Roman" w:hAnsi="Times New Roman"/>
          <w:bCs/>
          <w:iCs/>
          <w:sz w:val="22"/>
          <w:szCs w:val="22"/>
        </w:rPr>
        <w:t>контракта</w:t>
      </w:r>
      <w:r>
        <w:rPr>
          <w:rFonts w:ascii="Times New Roman" w:hAnsi="Times New Roman"/>
          <w:iCs/>
          <w:sz w:val="22"/>
          <w:szCs w:val="22"/>
        </w:rPr>
        <w:t>;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- при выезде из занимаемого помещения уплатить задолженность за полученную тепловую энергию (мощность) и (или) теплоноситель, и (или) горячую воду и представить ТСО 2-хсторонний акт передачи объекта теплопотребления новому Государственному заказчику (Потребителю), оформленный надлежащим образом.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В десятидневный срок с даты изменения уведомить ТСО об изменении реквизитов, в том числе: своего местонахождения и (или) почтового адреса, банковских реквизитов, наименования, состава субабонентов, изменении режима теплопотребления, а также информации о ликвидации или отчуждении теплоиспользующих установок.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Извещать ТСО в течение пяти рабочих дней после доведения лимитов бюджетных обязательств на оплату потребления тепловой энергии (мощности) и (или) теплоносителя, и (или) горячей воды в стоимостном выражении. </w:t>
      </w:r>
    </w:p>
    <w:p>
      <w:pPr>
        <w:pStyle w:val="Style18"/>
        <w:numPr>
          <w:ilvl w:val="2"/>
          <w:numId w:val="1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Предоставить подтверждение наличия установленного ему лимита в рамках бюджетных обязательств; при несвоевременном поступлении средств на его лицевой счет, открытый в органе федерального казначейства, информировать главного распорядителя бюджета о необходимости исполнения поставленных в установленном порядке на учет в органе федерального казначейства обязательств по оплате тепловой энергии (мощности) и (или) теплоносителя, и (или) горячей воды.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</w:r>
    </w:p>
    <w:p>
      <w:pPr>
        <w:pStyle w:val="Style18"/>
        <w:spacing w:lineRule="auto" w:line="240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6.2. Государственный заказчик (Потребитель) имеет право:</w:t>
      </w:r>
    </w:p>
    <w:p>
      <w:pPr>
        <w:pStyle w:val="Style18"/>
        <w:numPr>
          <w:ilvl w:val="2"/>
          <w:numId w:val="10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Только при согласии ТСО на присоединение дополнительной нагрузки и наличии дополнительно выделенных Государственному заказчику (Потребителю) лимитов бюджетных обязательств присоединять к своей сети субабонентов.</w:t>
      </w:r>
    </w:p>
    <w:p>
      <w:pPr>
        <w:pStyle w:val="Style18"/>
        <w:numPr>
          <w:ilvl w:val="2"/>
          <w:numId w:val="10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Предоставлять заявки на изменение объема теплопотребления в порядке, предусмотренном п. 22, гл. </w:t>
      </w:r>
      <w:r>
        <w:rPr>
          <w:rFonts w:ascii="Times New Roman" w:hAnsi="Times New Roman"/>
          <w:iCs/>
          <w:sz w:val="22"/>
          <w:szCs w:val="22"/>
          <w:lang w:val="en-US"/>
        </w:rPr>
        <w:t>III</w:t>
      </w:r>
      <w:r>
        <w:rPr>
          <w:rFonts w:ascii="Times New Roman" w:hAnsi="Times New Roman"/>
          <w:iCs/>
          <w:sz w:val="22"/>
          <w:szCs w:val="22"/>
        </w:rPr>
        <w:t xml:space="preserve"> «Правил организации теплоснабжения в Российской Федерации», утвержденных Постановлением Правительства Российской Федерации от 08.08.2012 № 808. Заявки на корректировку объема в сторону увеличения рассматриваются ТСО при выделении дополнительных лимитов бюджетных обязательств.</w:t>
      </w:r>
    </w:p>
    <w:p>
      <w:pPr>
        <w:pStyle w:val="Style18"/>
        <w:numPr>
          <w:ilvl w:val="2"/>
          <w:numId w:val="10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Требовать поддержания показателей качества тепловой энергии (мощности) и (или) теплоносителя, и (или) горячей воды на границе раздела балансовой принадлежности тепловых сетей и (или) эксплуатационной ответственности сторон в соответствии с настоящим </w:t>
      </w:r>
      <w:r>
        <w:rPr>
          <w:rFonts w:ascii="Times New Roman" w:hAnsi="Times New Roman"/>
          <w:bCs/>
          <w:iCs/>
          <w:sz w:val="22"/>
          <w:szCs w:val="22"/>
        </w:rPr>
        <w:t>контрактом</w:t>
      </w:r>
      <w:r>
        <w:rPr>
          <w:rFonts w:ascii="Times New Roman" w:hAnsi="Times New Roman"/>
          <w:iCs/>
          <w:sz w:val="22"/>
          <w:szCs w:val="22"/>
        </w:rPr>
        <w:t>.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В случае отклонения параметров тепловой энергии (мощности) и (или) теплоносителя, и (или) горячей воды от показателей качества, предусмотренных настоящим контрактом, Стороны подписывают 2-х сторонний акт по результатам проверки параметров тепловой энергии (мощности) и (или) теплоносителя, и (или) горячей воды в точке поставки.</w:t>
      </w:r>
    </w:p>
    <w:p>
      <w:pPr>
        <w:pStyle w:val="Style18"/>
        <w:numPr>
          <w:ilvl w:val="2"/>
          <w:numId w:val="10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Пользоваться другими правами, предусмотренными настоящим </w:t>
      </w:r>
      <w:r>
        <w:rPr>
          <w:rFonts w:ascii="Times New Roman" w:hAnsi="Times New Roman"/>
          <w:bCs/>
          <w:iCs/>
          <w:sz w:val="22"/>
          <w:szCs w:val="22"/>
        </w:rPr>
        <w:t>контрактом</w:t>
      </w:r>
      <w:r>
        <w:rPr>
          <w:rFonts w:ascii="Times New Roman" w:hAnsi="Times New Roman"/>
          <w:iCs/>
          <w:sz w:val="22"/>
          <w:szCs w:val="22"/>
        </w:rPr>
        <w:t xml:space="preserve"> и законодательством РФ.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</w:r>
    </w:p>
    <w:p>
      <w:pPr>
        <w:pStyle w:val="Style18"/>
        <w:numPr>
          <w:ilvl w:val="0"/>
          <w:numId w:val="10"/>
        </w:numPr>
        <w:spacing w:lineRule="auto" w:line="240"/>
        <w:jc w:val="center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ПОРЯДОК УЧЕТА И ОПРЕДЕЛЕНИЯ ОБЪЕМА.</w:t>
      </w:r>
    </w:p>
    <w:p>
      <w:pPr>
        <w:pStyle w:val="Style18"/>
        <w:spacing w:lineRule="auto" w:line="240"/>
        <w:ind w:left="540" w:hanging="0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</w:r>
    </w:p>
    <w:p>
      <w:pPr>
        <w:pStyle w:val="Style18"/>
        <w:numPr>
          <w:ilvl w:val="1"/>
          <w:numId w:val="13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Учет отпускаемой тепловой энергии (мощности) и (или) теплоносителя, и (или) горячей воды производится в соответствии с п</w:t>
      </w:r>
      <w:r>
        <w:rPr>
          <w:rFonts w:ascii="Times New Roman" w:hAnsi="Times New Roman"/>
          <w:bCs/>
          <w:iCs/>
          <w:sz w:val="22"/>
          <w:szCs w:val="22"/>
        </w:rPr>
        <w:t>остановлением Правительства РФ от 18.11.2013 № 1034 «О коммерческом учете тепловой энергии, теплоносителя»</w:t>
      </w:r>
      <w:r>
        <w:rPr>
          <w:rFonts w:ascii="Times New Roman" w:hAnsi="Times New Roman"/>
          <w:iCs/>
          <w:sz w:val="22"/>
          <w:szCs w:val="22"/>
        </w:rPr>
        <w:t>, а также постановлением Правительства РФ от 04.09.2013 № 776 «Правила организации коммерческого учета воды…» (в зависимости от типа системы теплоснабжения).</w:t>
      </w:r>
    </w:p>
    <w:p>
      <w:pPr>
        <w:pStyle w:val="Style18"/>
        <w:spacing w:lineRule="auto" w:line="240"/>
        <w:ind w:firstLine="851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При отсутствии прибора учета расчет величины потребленной тепловой энергии (мощности) и (или) теплоносителя, и (или) горячей воды производится:</w:t>
      </w:r>
    </w:p>
    <w:p>
      <w:pPr>
        <w:pStyle w:val="Style18"/>
        <w:numPr>
          <w:ilvl w:val="0"/>
          <w:numId w:val="14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для административных зданий в соответствии с Методикой осуществления коммерческого учета тепловой энергии и теплоносителя, утвержденной Приказом Минстроя России от 17.03.2014 № 99/пр «Об утверждении Методики осуществления коммерческого учета тепловой энергии, теплоносителя» (Зарегистрировано в Минюсте России 12.09.2014 № 34040);</w:t>
      </w:r>
    </w:p>
    <w:p>
      <w:pPr>
        <w:pStyle w:val="Style18"/>
        <w:numPr>
          <w:ilvl w:val="0"/>
          <w:numId w:val="14"/>
        </w:numPr>
        <w:spacing w:lineRule="auto" w:line="240"/>
        <w:ind w:left="0" w:hanging="0"/>
        <w:rPr/>
      </w:pPr>
      <w:r>
        <w:rPr>
          <w:rFonts w:ascii="Times New Roman" w:hAnsi="Times New Roman"/>
          <w:iCs/>
          <w:sz w:val="22"/>
          <w:szCs w:val="22"/>
        </w:rPr>
        <w:t xml:space="preserve">для нежилого помещения, расположенного в многоквартирном жилом доме, величина потребленной тепловой энергии определяется в соответствии с </w:t>
      </w:r>
      <w:hyperlink w:anchor="Par957">
        <w:r>
          <w:rPr>
            <w:rStyle w:val="Style10"/>
            <w:rFonts w:ascii="Times New Roman" w:hAnsi="Times New Roman"/>
            <w:iCs/>
            <w:color w:val="00000A"/>
            <w:sz w:val="22"/>
            <w:szCs w:val="22"/>
          </w:rPr>
          <w:t xml:space="preserve">формулами, указанными </w:t>
        </w:r>
      </w:hyperlink>
      <w:hyperlink w:anchor="Par963">
        <w:r>
          <w:rPr>
            <w:rStyle w:val="Style10"/>
            <w:rFonts w:ascii="Times New Roman" w:hAnsi="Times New Roman"/>
            <w:iCs/>
            <w:color w:val="00000A"/>
            <w:sz w:val="22"/>
            <w:szCs w:val="22"/>
          </w:rPr>
          <w:t>в</w:t>
        </w:r>
      </w:hyperlink>
      <w:r>
        <w:rPr>
          <w:rFonts w:ascii="Times New Roman" w:hAnsi="Times New Roman"/>
          <w:iCs/>
          <w:sz w:val="22"/>
          <w:szCs w:val="22"/>
        </w:rPr>
        <w:t xml:space="preserve"> приложении № 2 к «Правилам предоставления коммунальных услуг…» (далее - Правила), утвержденным постановлением Правительства РФ от 06.05.2012 № 354, исходя из расчетной величины потребления тепловой энергии равной применяемому в таком многоквартирном доме нормативу потребления коммунальной услуги отопления.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ab/>
        <w:t>Величина потребленного теплоносителя и (или) горячей воды определяется на основании расчетной величины расхода теплоносителя для нужд горячего водоснабжения, и (или) горячей воды в соответствии с нормой водопотребления, утвержденной органом местного самоуправления, при отсутствии утвержденной нормы, согласно СНиП 2.04.01-85*«Внутренний водопровод и канализация зданий» по тарифу, установленному уполномоченным государственным органом.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ab/>
        <w:t>Величина потерь тепловой энергии (мощности) и (или) теплоносителя, и (или) горячей воды по тепловым сетям, принадлежащим Потребителю, рассчитывается на основании Приказа Министерства энергетики РФ от 30.12.2008 № 325 «Об утверждении порядка определения нормативов технологических потерь при передаче тепловой энергии, теплоносителя», зарегистрированного в Минюсте России 16.03.2009 № 13513.</w:t>
      </w:r>
    </w:p>
    <w:p>
      <w:pPr>
        <w:pStyle w:val="Style18"/>
        <w:numPr>
          <w:ilvl w:val="1"/>
          <w:numId w:val="13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Учет принятой Государственным заказчиком (Потребителем) тепловой энергии (мощности) и (или) теплоносителя, и (или) горячей воды осуществляется узлами (приборами) учета, установленными в точке учета и допущенными в эксплуатацию в качестве коммерческих в соответствии с требованиями Правил коммерческого учета тепловой энергии и теплоносителя, а также Правил организации коммерческого учета воды.</w:t>
      </w:r>
    </w:p>
    <w:p>
      <w:pPr>
        <w:pStyle w:val="Style18"/>
        <w:numPr>
          <w:ilvl w:val="1"/>
          <w:numId w:val="13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При установке узла (прибора) учета тепловой энергии (мощности) и (или) теплоносителя, и (или) горячей воды не в точке поставки количество учтенной тепловой энергии (мощности) и (или) теплоносителя, и (или) горячей воды увеличивается на величину потерь тепловой энергии (мощности) и (или) теплоносителя, и (или) горячей воды от места установки узла учета до границы раздела балансовой принадлежности сетей.</w:t>
      </w:r>
    </w:p>
    <w:p>
      <w:pPr>
        <w:pStyle w:val="Style18"/>
        <w:numPr>
          <w:ilvl w:val="1"/>
          <w:numId w:val="13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Перечень точек учета и узлов (приборов) учета тепловой энергии (мощности) и (или) теплоносителя, и (или) горячей воды, принадлежащих Государственному заказчику (Потребителю), по которым производится расчет за потребленную тепловую энергию (мощность) и (или) теплоноситель, и (или) горячую воду, с указанием технических данных узлов (приборов) учета содержится в Приложении №6.</w:t>
      </w:r>
    </w:p>
    <w:p>
      <w:pPr>
        <w:pStyle w:val="Style18"/>
        <w:numPr>
          <w:ilvl w:val="1"/>
          <w:numId w:val="13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Снятие показаний узла (прибора) учета производится ежемесячно в согласованную с Государственным заказчиком (Потребителем) дату </w:t>
      </w:r>
      <w:r>
        <w:rPr>
          <w:rFonts w:ascii="Times New Roman" w:hAnsi="Times New Roman"/>
          <w:b/>
          <w:iCs/>
          <w:sz w:val="22"/>
          <w:szCs w:val="22"/>
        </w:rPr>
        <w:t>20 числа</w:t>
      </w:r>
      <w:r>
        <w:rPr>
          <w:rFonts w:ascii="Times New Roman" w:hAnsi="Times New Roman"/>
          <w:iCs/>
          <w:sz w:val="22"/>
          <w:szCs w:val="22"/>
        </w:rPr>
        <w:t>. Расчет за потребленную тепловую энергию (мощность) и (или) теплоноситель, и (или) горячую воду производится по показаниям прибора учета с составлением акта. Дата снятия показаний прибора учета не должна превышать 48 часов со дня отчетного снятия показаний предыдущего месяца.</w:t>
      </w:r>
    </w:p>
    <w:p>
      <w:pPr>
        <w:pStyle w:val="Style18"/>
        <w:numPr>
          <w:ilvl w:val="1"/>
          <w:numId w:val="13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 </w:t>
      </w:r>
      <w:r>
        <w:rPr>
          <w:rFonts w:ascii="Times New Roman" w:hAnsi="Times New Roman"/>
          <w:iCs/>
          <w:sz w:val="22"/>
          <w:szCs w:val="22"/>
        </w:rPr>
        <w:t>В случае выхода из строя приборов учета расчет потребления тепловой энергии (мощности) и (или) теплоносителя, и (или) горячей воды, по истечении сроков государственной поверки прибора учета, ТСО производит в следующем порядке:</w:t>
      </w:r>
    </w:p>
    <w:p>
      <w:pPr>
        <w:pStyle w:val="Style18"/>
        <w:numPr>
          <w:ilvl w:val="0"/>
          <w:numId w:val="6"/>
        </w:numPr>
        <w:spacing w:lineRule="auto" w:line="240"/>
        <w:ind w:left="0" w:firstLine="284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При неисправности приборов учета, истечении срока их  поверки, включая вывод из работы для ремонта или поверки </w:t>
      </w:r>
      <w:r>
        <w:rPr>
          <w:rFonts w:ascii="Times New Roman" w:hAnsi="Times New Roman"/>
          <w:b/>
          <w:iCs/>
          <w:sz w:val="22"/>
          <w:szCs w:val="22"/>
          <w:u w:val="single"/>
        </w:rPr>
        <w:t>на срок до  15 суток</w:t>
      </w:r>
      <w:r>
        <w:rPr>
          <w:rFonts w:ascii="Times New Roman" w:hAnsi="Times New Roman"/>
          <w:iCs/>
          <w:sz w:val="22"/>
          <w:szCs w:val="22"/>
        </w:rPr>
        <w:t>, в качестве базового показателя для расчета тепловой энергии (мощности) и (или) теплоносителя принимается среднесуточное количество тепловой энергии (мощности) и (или) теплоносителя, определенное по приборам учета за время штатной работы в  отчетный период, приведенное к расчетной температуре наружного воздуха при условии своевременного уведомления ТСО о выходе из строя приборов учета;</w:t>
      </w:r>
    </w:p>
    <w:p>
      <w:pPr>
        <w:pStyle w:val="Style18"/>
        <w:numPr>
          <w:ilvl w:val="0"/>
          <w:numId w:val="6"/>
        </w:numPr>
        <w:spacing w:lineRule="auto" w:line="240"/>
        <w:ind w:left="0" w:firstLine="284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При отсутствии в точках учета приборов учета или работы приборов учета </w:t>
      </w:r>
      <w:r>
        <w:rPr>
          <w:rFonts w:ascii="Times New Roman" w:hAnsi="Times New Roman"/>
          <w:b/>
          <w:iCs/>
          <w:sz w:val="22"/>
          <w:szCs w:val="22"/>
          <w:u w:val="single"/>
        </w:rPr>
        <w:t>более 15 суток</w:t>
      </w:r>
      <w:r>
        <w:rPr>
          <w:rFonts w:ascii="Times New Roman" w:hAnsi="Times New Roman"/>
          <w:iCs/>
          <w:sz w:val="22"/>
          <w:szCs w:val="22"/>
        </w:rPr>
        <w:t xml:space="preserve"> расчетного периода определение количества тепловой энергии, расходуемого на отопление (и вентиляцию), осуществляется расчетным путем и основывается на пересчете базового показателя (указаны в Приложении №1) по изменению температуры наружного воздуха за весь расчетный период</w:t>
      </w:r>
    </w:p>
    <w:p>
      <w:pPr>
        <w:pStyle w:val="Style18"/>
        <w:numPr>
          <w:ilvl w:val="0"/>
          <w:numId w:val="20"/>
        </w:numPr>
        <w:spacing w:lineRule="auto" w:line="240"/>
        <w:ind w:left="0" w:firstLine="284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Количество тепловой энергии (мощности) и теплоносителя, расходуемых на  горячее водоснабжение, при наличии отдельного учета и временной неисправности приборов (</w:t>
      </w:r>
      <w:r>
        <w:rPr>
          <w:rFonts w:ascii="Times New Roman" w:hAnsi="Times New Roman"/>
          <w:b/>
          <w:iCs/>
          <w:sz w:val="22"/>
          <w:szCs w:val="22"/>
          <w:u w:val="single"/>
        </w:rPr>
        <w:t>до 30 дней</w:t>
      </w:r>
      <w:r>
        <w:rPr>
          <w:rFonts w:ascii="Times New Roman" w:hAnsi="Times New Roman"/>
          <w:iCs/>
          <w:sz w:val="22"/>
          <w:szCs w:val="22"/>
        </w:rPr>
        <w:t xml:space="preserve">) рассчитывается по фактическому расходу, определенному по приборам учета за предыдущий период. </w:t>
      </w:r>
    </w:p>
    <w:p>
      <w:pPr>
        <w:pStyle w:val="Style18"/>
        <w:numPr>
          <w:ilvl w:val="0"/>
          <w:numId w:val="20"/>
        </w:numPr>
        <w:spacing w:lineRule="auto" w:line="240"/>
        <w:ind w:left="0" w:firstLine="284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В случае отсутствия отдельного учета или нерабочего состояния приборов </w:t>
      </w:r>
      <w:r>
        <w:rPr>
          <w:rFonts w:ascii="Times New Roman" w:hAnsi="Times New Roman"/>
          <w:b/>
          <w:iCs/>
          <w:sz w:val="22"/>
          <w:szCs w:val="22"/>
          <w:u w:val="single"/>
        </w:rPr>
        <w:t>более 30 дней</w:t>
      </w:r>
      <w:r>
        <w:rPr>
          <w:rFonts w:ascii="Times New Roman" w:hAnsi="Times New Roman"/>
          <w:iCs/>
          <w:sz w:val="22"/>
          <w:szCs w:val="22"/>
        </w:rPr>
        <w:t xml:space="preserve"> количество тепловой энергии, теплоносителя, расходуемых на горячее водоснабжение, принимается равным значениям, установленным в контракте теплоснабжения (величина тепловой нагрузки на  горячее водоснабжение). В качестве базового показателя принимается значение тепловой нагрузки, указанное в контракте теплоснабжения (Приложение №1).</w:t>
      </w:r>
    </w:p>
    <w:p>
      <w:pPr>
        <w:pStyle w:val="Style18"/>
        <w:numPr>
          <w:ilvl w:val="0"/>
          <w:numId w:val="20"/>
        </w:numPr>
        <w:spacing w:lineRule="auto" w:line="240"/>
        <w:ind w:left="0" w:firstLine="284"/>
        <w:rPr/>
      </w:pPr>
      <w:r>
        <w:rPr>
          <w:rFonts w:ascii="Times New Roman" w:hAnsi="Times New Roman"/>
          <w:iCs/>
          <w:sz w:val="22"/>
          <w:szCs w:val="22"/>
        </w:rPr>
        <w:t xml:space="preserve">При нарушении сроков представления показаний приборов или недопущении представителей ТСО для контрольного снятия показаний в  качестве среднесуточного показателя принимается количество тепловой энергии (мощности) и (или) теплоносителя, определенное по приборам учета за предыдущий расчетный период, приведенное к расчетной температуре наружного воздуха. 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7.7.</w:t>
      </w:r>
      <w:r>
        <w:rPr>
          <w:rFonts w:ascii="Times New Roman" w:hAnsi="Times New Roman"/>
          <w:iCs/>
          <w:sz w:val="22"/>
          <w:szCs w:val="22"/>
        </w:rPr>
        <w:t xml:space="preserve"> Количество тепловой энергии (мощности) и (или) теплоносителя, и (или) горячей воды, отпущенные Потребителю за расчетный период, определяется расчетным путем согласно нагрузкам, приведенным в Приложении № 1 в следующих случаях:</w:t>
      </w:r>
    </w:p>
    <w:p>
      <w:pPr>
        <w:pStyle w:val="Style18"/>
        <w:spacing w:lineRule="auto" w:line="240"/>
        <w:ind w:firstLine="426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- отсутствие в точках учета приборов учета;</w:t>
      </w:r>
    </w:p>
    <w:p>
      <w:pPr>
        <w:pStyle w:val="Style18"/>
        <w:spacing w:lineRule="auto" w:line="240"/>
        <w:ind w:firstLine="426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- неисправность прибора учета более 30 дней.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7.8.</w:t>
      </w:r>
      <w:r>
        <w:rPr>
          <w:rFonts w:ascii="Times New Roman" w:hAnsi="Times New Roman"/>
          <w:iCs/>
          <w:sz w:val="22"/>
          <w:szCs w:val="22"/>
        </w:rPr>
        <w:t xml:space="preserve"> При работе приборов учета в течение неполного расчетного периода (в том числе нарушении сроков предоставления показаний приборов учета) корректировка расхода тепловой энергии (мощности) и (или) теплоносителя, и (или) горячей воды производится расчетным путем за время отсутствия показаний в соответствии с Методикой осуществления коммерческого учета тепловой энергии и теплоносителя, утвержденной Приказом Минстроя России от 17.03.2014 № 99/пр «Об утверждении Методики осуществления коммерческого учета тепловой энергии, теплоносителя» (Зарегистрировано в Минюсте России 12.09.2014 № 34040).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7.9.</w:t>
      </w:r>
      <w:r>
        <w:rPr>
          <w:rFonts w:ascii="Times New Roman" w:hAnsi="Times New Roman"/>
          <w:iCs/>
          <w:sz w:val="22"/>
          <w:szCs w:val="22"/>
        </w:rPr>
        <w:t xml:space="preserve"> В случае обнаружения утечки теплоносителя  в тепловых сетях и теплопотребляющих установках Государственного заказчика (Потребителя) оформляется двухсторонний акт, подписанный представителями Сторон. При отказе Государственного заказчика (Потребителя) от подписания акта (неприбытию в случае направленной телефонограммы, информации в ЕДДС) о наличии утечки на сетях Потребителя акт подписывается в одностороннем порядке с указанием номера телефонограммы направленной в адрес Государственного заказчика (Потребителя) и является подтверждением факта утечки.</w:t>
      </w:r>
    </w:p>
    <w:p>
      <w:pPr>
        <w:pStyle w:val="Style18"/>
        <w:spacing w:lineRule="auto" w:line="240"/>
        <w:ind w:firstLine="851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Составление актов производится в начале обнаружения утечки и на момент устранения утечки. В случае устранения утечки в течение дня, момент обнаружения и окончания утечки фиксируются в одном акте. </w:t>
      </w:r>
    </w:p>
    <w:p>
      <w:pPr>
        <w:pStyle w:val="Style18"/>
        <w:spacing w:lineRule="auto" w:line="240"/>
        <w:ind w:firstLine="851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Расчет объема тепловой энергии, теплоносителя, потерянных с утечкой теплоносителя, производится:</w:t>
      </w:r>
    </w:p>
    <w:p>
      <w:pPr>
        <w:pStyle w:val="Style18"/>
        <w:spacing w:lineRule="auto" w:line="240"/>
        <w:ind w:firstLine="851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а) при утечке теплоносителя до узла учета и при отсутствии прибора учета расчет утечки  через отверстие повреждения производится по формуле:</w:t>
      </w:r>
    </w:p>
    <w:p>
      <w:pPr>
        <w:pStyle w:val="Style18"/>
        <w:spacing w:lineRule="auto" w:line="240" w:before="120" w:after="0"/>
        <w:jc w:val="center"/>
        <w:rPr>
          <w:rFonts w:ascii="Times New Roman" w:hAnsi="Times New Roman"/>
          <w:iCs/>
          <w:sz w:val="22"/>
          <w:szCs w:val="22"/>
        </w:rPr>
      </w:pPr>
      <w:r>
        <w:rPr/>
        <w:drawing>
          <wp:inline distT="0" distB="0" distL="0" distR="0">
            <wp:extent cx="2192655" cy="329565"/>
            <wp:effectExtent l="0" t="0" r="0" b="0"/>
            <wp:docPr id="2" name="Рисунок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4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655" cy="32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iCs/>
          <w:sz w:val="22"/>
          <w:szCs w:val="22"/>
        </w:rPr>
        <w:t>, где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/>
        <w:drawing>
          <wp:inline distT="0" distB="0" distL="0" distR="0">
            <wp:extent cx="191135" cy="262255"/>
            <wp:effectExtent l="0" t="0" r="0" b="0"/>
            <wp:docPr id="3" name="Рисунок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5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26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iCs/>
          <w:sz w:val="22"/>
          <w:szCs w:val="22"/>
        </w:rPr>
        <w:t xml:space="preserve"> </w:t>
      </w:r>
      <w:r>
        <w:rPr>
          <w:rFonts w:ascii="Times New Roman" w:hAnsi="Times New Roman"/>
          <w:iCs/>
          <w:sz w:val="22"/>
          <w:szCs w:val="22"/>
        </w:rPr>
        <w:t>- площадь живого сечения i-го отверстия (кв. м);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/>
        <w:drawing>
          <wp:inline distT="0" distB="0" distL="0" distR="0">
            <wp:extent cx="222885" cy="262255"/>
            <wp:effectExtent l="0" t="0" r="0" b="0"/>
            <wp:docPr id="4" name="Рисунок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7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" cy="26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iCs/>
          <w:sz w:val="22"/>
          <w:szCs w:val="22"/>
        </w:rPr>
        <w:t xml:space="preserve"> </w:t>
      </w:r>
      <w:r>
        <w:rPr>
          <w:rFonts w:ascii="Times New Roman" w:hAnsi="Times New Roman"/>
          <w:iCs/>
          <w:sz w:val="22"/>
          <w:szCs w:val="22"/>
        </w:rPr>
        <w:t>- принимается равным средней величине напора воды в трубопроводе на поврежденном участке; при переломах и разрывах труб H принимается равным средней глубине заложения трубопровода.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t - продолжительность утечки с момента обнаружения до отключения поврежденного участка или заделки отверстия трубопровода.</w:t>
      </w:r>
    </w:p>
    <w:p>
      <w:pPr>
        <w:pStyle w:val="Style18"/>
        <w:spacing w:lineRule="auto" w:line="240"/>
        <w:ind w:firstLine="851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б) при утечке теплоносителя, зафиксированной водосчетчиком при подпитке систем, превышающей  нормативную, расчет объема утечки определяется: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ab/>
        <w:t>- в открытой системе теплоснабжения с дополнительной подпиткой системы (</w:t>
      </w:r>
      <w:r>
        <w:rPr>
          <w:rFonts w:ascii="Times New Roman" w:hAnsi="Times New Roman"/>
          <w:iCs/>
          <w:sz w:val="22"/>
          <w:szCs w:val="22"/>
          <w:lang w:val="en-US"/>
        </w:rPr>
        <w:t>M</w:t>
      </w:r>
      <w:r>
        <w:rPr>
          <w:rFonts w:ascii="Times New Roman" w:hAnsi="Times New Roman"/>
          <w:iCs/>
          <w:sz w:val="22"/>
          <w:szCs w:val="22"/>
          <w:vertAlign w:val="subscript"/>
          <w:lang w:val="en-US"/>
        </w:rPr>
        <w:t>y</w:t>
      </w:r>
      <w:r>
        <w:rPr>
          <w:rFonts w:ascii="Times New Roman" w:hAnsi="Times New Roman"/>
          <w:iCs/>
          <w:sz w:val="22"/>
          <w:szCs w:val="22"/>
        </w:rPr>
        <w:t>) рассчитывается по формуле:</w:t>
      </w:r>
    </w:p>
    <w:p>
      <w:pPr>
        <w:pStyle w:val="Style18"/>
        <w:spacing w:lineRule="auto" w:line="240" w:before="120" w:after="120"/>
        <w:jc w:val="center"/>
        <w:rPr>
          <w:rFonts w:ascii="Times New Roman" w:hAnsi="Times New Roman"/>
          <w:iCs/>
          <w:szCs w:val="24"/>
          <w:lang w:val="en-US"/>
        </w:rPr>
      </w:pPr>
      <w:r>
        <w:rPr>
          <w:rFonts w:ascii="Times New Roman" w:hAnsi="Times New Roman"/>
          <w:iCs/>
          <w:szCs w:val="24"/>
          <w:lang w:val="en-US"/>
        </w:rPr>
        <w:t>M</w:t>
      </w:r>
      <w:r>
        <w:rPr>
          <w:rFonts w:ascii="Times New Roman" w:hAnsi="Times New Roman"/>
          <w:iCs/>
          <w:szCs w:val="24"/>
          <w:vertAlign w:val="subscript"/>
          <w:lang w:val="en-US"/>
        </w:rPr>
        <w:t>y=</w:t>
      </w:r>
      <w:r>
        <w:rPr>
          <w:rFonts w:ascii="Times New Roman" w:hAnsi="Times New Roman"/>
          <w:iCs/>
          <w:szCs w:val="24"/>
          <w:lang w:val="en-US"/>
        </w:rPr>
        <w:t>M</w:t>
      </w:r>
      <w:r>
        <w:rPr>
          <w:rFonts w:ascii="Times New Roman" w:hAnsi="Times New Roman"/>
          <w:iCs/>
          <w:szCs w:val="24"/>
          <w:vertAlign w:val="subscript"/>
          <w:lang w:val="en-US"/>
        </w:rPr>
        <w:t>1</w:t>
      </w:r>
      <w:r>
        <w:rPr>
          <w:rFonts w:ascii="Times New Roman" w:hAnsi="Times New Roman"/>
          <w:iCs/>
          <w:szCs w:val="24"/>
          <w:lang w:val="en-US"/>
        </w:rPr>
        <w:t>-M</w:t>
      </w:r>
      <w:r>
        <w:rPr>
          <w:rFonts w:ascii="Times New Roman" w:hAnsi="Times New Roman"/>
          <w:iCs/>
          <w:szCs w:val="24"/>
          <w:vertAlign w:val="subscript"/>
          <w:lang w:val="en-US"/>
        </w:rPr>
        <w:t>2-</w:t>
      </w:r>
      <w:r>
        <w:rPr>
          <w:rFonts w:ascii="Times New Roman" w:hAnsi="Times New Roman"/>
          <w:iCs/>
          <w:szCs w:val="24"/>
          <w:lang w:val="en-US"/>
        </w:rPr>
        <w:t>M</w:t>
      </w:r>
      <w:r>
        <w:rPr>
          <w:rFonts w:ascii="Times New Roman" w:hAnsi="Times New Roman"/>
          <w:iCs/>
          <w:szCs w:val="24"/>
          <w:vertAlign w:val="subscript"/>
        </w:rPr>
        <w:t>ГВ</w:t>
      </w:r>
      <w:r>
        <w:rPr>
          <w:rFonts w:ascii="Times New Roman" w:hAnsi="Times New Roman"/>
          <w:iCs/>
          <w:szCs w:val="24"/>
          <w:lang w:val="en-US"/>
        </w:rPr>
        <w:t>+</w:t>
      </w:r>
      <w:r>
        <w:rPr>
          <w:rFonts w:ascii="Times New Roman" w:hAnsi="Times New Roman"/>
          <w:iCs/>
          <w:szCs w:val="24"/>
        </w:rPr>
        <w:t>М</w:t>
      </w:r>
      <w:r>
        <w:rPr>
          <w:rFonts w:ascii="Times New Roman" w:hAnsi="Times New Roman"/>
          <w:iCs/>
          <w:szCs w:val="24"/>
          <w:vertAlign w:val="subscript"/>
        </w:rPr>
        <w:t>П</w:t>
      </w:r>
      <w:r>
        <w:rPr>
          <w:rFonts w:ascii="Times New Roman" w:hAnsi="Times New Roman"/>
          <w:iCs/>
          <w:szCs w:val="24"/>
          <w:lang w:val="en-US"/>
        </w:rPr>
        <w:t>,</w:t>
      </w:r>
      <w:r>
        <w:rPr>
          <w:rFonts w:ascii="Times New Roman" w:hAnsi="Times New Roman"/>
          <w:iCs/>
          <w:szCs w:val="24"/>
        </w:rPr>
        <w:t>т</w:t>
      </w:r>
      <w:r>
        <w:rPr>
          <w:rFonts w:ascii="Times New Roman" w:hAnsi="Times New Roman"/>
          <w:iCs/>
          <w:szCs w:val="24"/>
          <w:lang w:val="en-US"/>
        </w:rPr>
        <w:t>,</w:t>
      </w:r>
    </w:p>
    <w:p>
      <w:pPr>
        <w:pStyle w:val="Style18"/>
        <w:spacing w:lineRule="auto" w:line="240"/>
        <w:ind w:left="142" w:firstLine="425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где:</w:t>
      </w:r>
    </w:p>
    <w:p>
      <w:pPr>
        <w:pStyle w:val="Style18"/>
        <w:numPr>
          <w:ilvl w:val="0"/>
          <w:numId w:val="20"/>
        </w:numPr>
        <w:spacing w:lineRule="auto" w:line="240"/>
        <w:ind w:left="142" w:firstLine="425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  <w:lang w:val="en-US"/>
        </w:rPr>
        <w:t>M</w:t>
      </w:r>
      <w:r>
        <w:rPr>
          <w:rFonts w:ascii="Times New Roman" w:hAnsi="Times New Roman"/>
          <w:iCs/>
          <w:sz w:val="22"/>
          <w:szCs w:val="22"/>
          <w:vertAlign w:val="subscript"/>
        </w:rPr>
        <w:t>1</w:t>
      </w:r>
      <w:r>
        <w:rPr>
          <w:rFonts w:ascii="Times New Roman" w:hAnsi="Times New Roman"/>
          <w:iCs/>
          <w:sz w:val="22"/>
          <w:szCs w:val="22"/>
        </w:rPr>
        <w:t xml:space="preserve"> - масса теплоносителя, полученного потребителем по подающему трубопроводу, т;</w:t>
      </w:r>
    </w:p>
    <w:p>
      <w:pPr>
        <w:pStyle w:val="Style18"/>
        <w:numPr>
          <w:ilvl w:val="0"/>
          <w:numId w:val="20"/>
        </w:numPr>
        <w:spacing w:lineRule="auto" w:line="240"/>
        <w:ind w:left="142" w:firstLine="425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  <w:lang w:val="en-US"/>
        </w:rPr>
        <w:t>M</w:t>
      </w:r>
      <w:r>
        <w:rPr>
          <w:rFonts w:ascii="Times New Roman" w:hAnsi="Times New Roman"/>
          <w:iCs/>
          <w:sz w:val="22"/>
          <w:szCs w:val="22"/>
          <w:vertAlign w:val="subscript"/>
        </w:rPr>
        <w:t>2</w:t>
      </w:r>
      <w:r>
        <w:rPr>
          <w:rFonts w:ascii="Times New Roman" w:hAnsi="Times New Roman"/>
          <w:iCs/>
          <w:sz w:val="22"/>
          <w:szCs w:val="22"/>
        </w:rPr>
        <w:t xml:space="preserve"> - масса теплоносителя, возвращенного потребителем по обратному трубопроводу, т;</w:t>
      </w:r>
    </w:p>
    <w:p>
      <w:pPr>
        <w:pStyle w:val="Style18"/>
        <w:numPr>
          <w:ilvl w:val="0"/>
          <w:numId w:val="20"/>
        </w:numPr>
        <w:spacing w:lineRule="auto" w:line="240"/>
        <w:ind w:left="142" w:firstLine="425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  <w:lang w:val="en-US"/>
        </w:rPr>
        <w:t>M</w:t>
      </w:r>
      <w:r>
        <w:rPr>
          <w:rFonts w:ascii="Times New Roman" w:hAnsi="Times New Roman"/>
          <w:iCs/>
          <w:sz w:val="22"/>
          <w:szCs w:val="22"/>
          <w:vertAlign w:val="subscript"/>
        </w:rPr>
        <w:t>ГВ</w:t>
      </w:r>
      <w:r>
        <w:rPr>
          <w:rFonts w:ascii="Times New Roman" w:hAnsi="Times New Roman"/>
          <w:iCs/>
          <w:sz w:val="22"/>
          <w:szCs w:val="22"/>
        </w:rPr>
        <w:t xml:space="preserve"> - масса израсходованной горячей воды, т;</w:t>
      </w:r>
    </w:p>
    <w:p>
      <w:pPr>
        <w:pStyle w:val="Style18"/>
        <w:numPr>
          <w:ilvl w:val="0"/>
          <w:numId w:val="20"/>
        </w:numPr>
        <w:spacing w:lineRule="auto" w:line="240"/>
        <w:ind w:left="142" w:firstLine="425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М</w:t>
      </w:r>
      <w:r>
        <w:rPr>
          <w:rFonts w:ascii="Times New Roman" w:hAnsi="Times New Roman"/>
          <w:iCs/>
          <w:sz w:val="22"/>
          <w:szCs w:val="22"/>
          <w:vertAlign w:val="subscript"/>
        </w:rPr>
        <w:t>П</w:t>
      </w:r>
      <w:r>
        <w:rPr>
          <w:rFonts w:ascii="Times New Roman" w:hAnsi="Times New Roman"/>
          <w:iCs/>
          <w:sz w:val="22"/>
          <w:szCs w:val="22"/>
        </w:rPr>
        <w:t xml:space="preserve"> - масса теплоносителя, израсходованная потребителем на дополнительную подпитку систем теплоснабжения, определенная по показаниям водосчетчика подпитки, т.</w:t>
      </w:r>
    </w:p>
    <w:p>
      <w:pPr>
        <w:pStyle w:val="Style18"/>
        <w:spacing w:lineRule="auto" w:line="240"/>
        <w:ind w:firstLine="567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- величина утечки теплоносителя (</w:t>
      </w:r>
      <w:r>
        <w:rPr>
          <w:rFonts w:ascii="Times New Roman" w:hAnsi="Times New Roman"/>
          <w:iCs/>
          <w:sz w:val="22"/>
          <w:szCs w:val="22"/>
          <w:lang w:val="en-US"/>
        </w:rPr>
        <w:t>M</w:t>
      </w:r>
      <w:r>
        <w:rPr>
          <w:rFonts w:ascii="Times New Roman" w:hAnsi="Times New Roman"/>
          <w:iCs/>
          <w:sz w:val="22"/>
          <w:szCs w:val="22"/>
          <w:vertAlign w:val="subscript"/>
          <w:lang w:val="en-US"/>
        </w:rPr>
        <w:t>y</w:t>
      </w:r>
      <w:r>
        <w:rPr>
          <w:rFonts w:ascii="Times New Roman" w:hAnsi="Times New Roman"/>
          <w:iCs/>
          <w:sz w:val="22"/>
          <w:szCs w:val="22"/>
        </w:rPr>
        <w:t>) в закрытой системе теплоснабжения с независимым присоединением систем теплоснабжения численно равняется массе теплоносителя, израсходованного потребителем на подпитку систем теплоснабжения, определенной по показаниям водосчетчика (М</w:t>
      </w:r>
      <w:r>
        <w:rPr>
          <w:rFonts w:ascii="Times New Roman" w:hAnsi="Times New Roman"/>
          <w:iCs/>
          <w:sz w:val="22"/>
          <w:szCs w:val="22"/>
          <w:vertAlign w:val="subscript"/>
        </w:rPr>
        <w:t>П</w:t>
      </w:r>
      <w:r>
        <w:rPr>
          <w:rFonts w:ascii="Times New Roman" w:hAnsi="Times New Roman"/>
          <w:iCs/>
          <w:sz w:val="22"/>
          <w:szCs w:val="22"/>
        </w:rPr>
        <w:t>).</w:t>
      </w:r>
    </w:p>
    <w:p>
      <w:pPr>
        <w:pStyle w:val="Style18"/>
        <w:spacing w:lineRule="auto" w:line="240"/>
        <w:ind w:firstLine="567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- в случае отсутствия водосчетчика подпитки расчет величины утечки теплоносителя за отчетный период по подающему и обратному трубопроводам (</w:t>
      </w:r>
      <w:r>
        <w:rPr>
          <w:rFonts w:ascii="Times New Roman" w:hAnsi="Times New Roman"/>
          <w:iCs/>
          <w:sz w:val="22"/>
          <w:szCs w:val="22"/>
          <w:lang w:val="en-US"/>
        </w:rPr>
        <w:t>M</w:t>
      </w:r>
      <w:r>
        <w:rPr>
          <w:rFonts w:ascii="Times New Roman" w:hAnsi="Times New Roman"/>
          <w:iCs/>
          <w:sz w:val="22"/>
          <w:szCs w:val="22"/>
          <w:vertAlign w:val="subscript"/>
          <w:lang w:val="en-US"/>
        </w:rPr>
        <w:t>y</w:t>
      </w:r>
      <w:r>
        <w:rPr>
          <w:rFonts w:ascii="Times New Roman" w:hAnsi="Times New Roman"/>
          <w:iCs/>
          <w:sz w:val="22"/>
          <w:szCs w:val="22"/>
        </w:rPr>
        <w:t xml:space="preserve">) производить по формуле: </w:t>
      </w:r>
      <w:r>
        <w:rPr>
          <w:rFonts w:ascii="Times New Roman" w:hAnsi="Times New Roman"/>
          <w:iCs/>
          <w:sz w:val="22"/>
          <w:szCs w:val="22"/>
          <w:lang w:val="en-US"/>
        </w:rPr>
        <w:t>M</w:t>
      </w:r>
      <w:r>
        <w:rPr>
          <w:rFonts w:ascii="Times New Roman" w:hAnsi="Times New Roman"/>
          <w:iCs/>
          <w:sz w:val="22"/>
          <w:szCs w:val="22"/>
          <w:vertAlign w:val="subscript"/>
          <w:lang w:val="en-US"/>
        </w:rPr>
        <w:t>y</w:t>
      </w:r>
      <w:r>
        <w:rPr>
          <w:rFonts w:ascii="Times New Roman" w:hAnsi="Times New Roman"/>
          <w:iCs/>
          <w:sz w:val="22"/>
          <w:szCs w:val="22"/>
          <w:vertAlign w:val="subscript"/>
        </w:rPr>
        <w:t>=</w:t>
      </w:r>
      <w:r>
        <w:rPr>
          <w:rFonts w:ascii="Times New Roman" w:hAnsi="Times New Roman"/>
          <w:iCs/>
          <w:sz w:val="22"/>
          <w:szCs w:val="22"/>
          <w:lang w:val="en-US"/>
        </w:rPr>
        <w:t>M</w:t>
      </w:r>
      <w:r>
        <w:rPr>
          <w:rFonts w:ascii="Times New Roman" w:hAnsi="Times New Roman"/>
          <w:iCs/>
          <w:sz w:val="22"/>
          <w:szCs w:val="22"/>
          <w:vertAlign w:val="subscript"/>
        </w:rPr>
        <w:t>1</w:t>
      </w:r>
      <w:r>
        <w:rPr>
          <w:rFonts w:ascii="Times New Roman" w:hAnsi="Times New Roman"/>
          <w:iCs/>
          <w:sz w:val="22"/>
          <w:szCs w:val="22"/>
        </w:rPr>
        <w:t>-</w:t>
      </w:r>
      <w:r>
        <w:rPr>
          <w:rFonts w:ascii="Times New Roman" w:hAnsi="Times New Roman"/>
          <w:iCs/>
          <w:sz w:val="22"/>
          <w:szCs w:val="22"/>
          <w:lang w:val="en-US"/>
        </w:rPr>
        <w:t>M</w:t>
      </w:r>
      <w:r>
        <w:rPr>
          <w:rFonts w:ascii="Times New Roman" w:hAnsi="Times New Roman"/>
          <w:iCs/>
          <w:sz w:val="22"/>
          <w:szCs w:val="22"/>
          <w:vertAlign w:val="subscript"/>
        </w:rPr>
        <w:t>2</w:t>
      </w:r>
      <w:r>
        <w:rPr>
          <w:rFonts w:ascii="Times New Roman" w:hAnsi="Times New Roman"/>
          <w:iCs/>
          <w:sz w:val="22"/>
          <w:szCs w:val="22"/>
        </w:rPr>
        <w:t>,т, где:</w:t>
      </w:r>
    </w:p>
    <w:p>
      <w:pPr>
        <w:pStyle w:val="Style18"/>
        <w:numPr>
          <w:ilvl w:val="0"/>
          <w:numId w:val="20"/>
        </w:numPr>
        <w:spacing w:lineRule="auto" w:line="240"/>
        <w:ind w:left="0" w:firstLine="567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  <w:lang w:val="en-US"/>
        </w:rPr>
        <w:t>M</w:t>
      </w:r>
      <w:r>
        <w:rPr>
          <w:rFonts w:ascii="Times New Roman" w:hAnsi="Times New Roman"/>
          <w:iCs/>
          <w:sz w:val="22"/>
          <w:szCs w:val="22"/>
          <w:vertAlign w:val="subscript"/>
        </w:rPr>
        <w:t>1</w:t>
      </w:r>
      <w:r>
        <w:rPr>
          <w:rFonts w:ascii="Times New Roman" w:hAnsi="Times New Roman"/>
          <w:iCs/>
          <w:sz w:val="22"/>
          <w:szCs w:val="22"/>
        </w:rPr>
        <w:t>- масса теплоносителя, полученного потребителем по подающему трубопроводу, т;</w:t>
      </w:r>
    </w:p>
    <w:p>
      <w:pPr>
        <w:pStyle w:val="Style18"/>
        <w:numPr>
          <w:ilvl w:val="0"/>
          <w:numId w:val="20"/>
        </w:numPr>
        <w:spacing w:lineRule="auto" w:line="240"/>
        <w:ind w:left="0" w:firstLine="567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  <w:lang w:val="en-US"/>
        </w:rPr>
        <w:t>M</w:t>
      </w:r>
      <w:r>
        <w:rPr>
          <w:rFonts w:ascii="Times New Roman" w:hAnsi="Times New Roman"/>
          <w:iCs/>
          <w:sz w:val="22"/>
          <w:szCs w:val="22"/>
          <w:vertAlign w:val="subscript"/>
        </w:rPr>
        <w:t>2</w:t>
      </w:r>
      <w:r>
        <w:rPr>
          <w:rFonts w:ascii="Times New Roman" w:hAnsi="Times New Roman"/>
          <w:iCs/>
          <w:sz w:val="22"/>
          <w:szCs w:val="22"/>
        </w:rPr>
        <w:t>- масса теплоносителя, возвращенного потребителем по обратному трубопроводу, т.</w:t>
      </w:r>
    </w:p>
    <w:p>
      <w:pPr>
        <w:pStyle w:val="Style18"/>
        <w:numPr>
          <w:ilvl w:val="0"/>
          <w:numId w:val="20"/>
        </w:numPr>
        <w:spacing w:lineRule="auto" w:line="240"/>
        <w:ind w:left="0" w:firstLine="567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В случае если </w:t>
      </w:r>
      <w:r>
        <w:rPr>
          <w:rFonts w:ascii="Times New Roman" w:hAnsi="Times New Roman"/>
          <w:iCs/>
          <w:sz w:val="22"/>
          <w:szCs w:val="22"/>
          <w:lang w:val="en-US"/>
        </w:rPr>
        <w:t>M</w:t>
      </w:r>
      <w:r>
        <w:rPr>
          <w:rFonts w:ascii="Times New Roman" w:hAnsi="Times New Roman"/>
          <w:iCs/>
          <w:sz w:val="22"/>
          <w:szCs w:val="22"/>
          <w:vertAlign w:val="subscript"/>
        </w:rPr>
        <w:t>1</w:t>
      </w:r>
      <w:r>
        <w:rPr>
          <w:rFonts w:ascii="Times New Roman" w:hAnsi="Times New Roman"/>
          <w:iCs/>
          <w:sz w:val="22"/>
          <w:szCs w:val="22"/>
        </w:rPr>
        <w:t xml:space="preserve"> &gt; </w:t>
      </w:r>
      <w:r>
        <w:rPr>
          <w:rFonts w:ascii="Times New Roman" w:hAnsi="Times New Roman"/>
          <w:iCs/>
          <w:sz w:val="22"/>
          <w:szCs w:val="22"/>
          <w:lang w:val="en-US"/>
        </w:rPr>
        <w:t>M</w:t>
      </w:r>
      <w:r>
        <w:rPr>
          <w:rFonts w:ascii="Times New Roman" w:hAnsi="Times New Roman"/>
          <w:iCs/>
          <w:sz w:val="22"/>
          <w:szCs w:val="22"/>
          <w:vertAlign w:val="subscript"/>
        </w:rPr>
        <w:t>2</w:t>
      </w:r>
      <w:r>
        <w:rPr>
          <w:rFonts w:ascii="Times New Roman" w:hAnsi="Times New Roman"/>
          <w:iCs/>
          <w:sz w:val="22"/>
          <w:szCs w:val="22"/>
        </w:rPr>
        <w:t xml:space="preserve">, а </w:t>
      </w:r>
      <w:r>
        <w:rPr>
          <w:rFonts w:ascii="Times New Roman" w:hAnsi="Times New Roman"/>
          <w:iCs/>
          <w:sz w:val="22"/>
          <w:szCs w:val="22"/>
          <w:lang w:val="en-US"/>
        </w:rPr>
        <w:t>M</w:t>
      </w:r>
      <w:r>
        <w:rPr>
          <w:rFonts w:ascii="Times New Roman" w:hAnsi="Times New Roman"/>
          <w:iCs/>
          <w:sz w:val="22"/>
          <w:szCs w:val="22"/>
          <w:vertAlign w:val="subscript"/>
        </w:rPr>
        <w:t>1</w:t>
      </w:r>
      <w:r>
        <w:rPr>
          <w:rFonts w:ascii="Times New Roman" w:hAnsi="Times New Roman"/>
          <w:iCs/>
          <w:sz w:val="22"/>
          <w:szCs w:val="22"/>
        </w:rPr>
        <w:t xml:space="preserve"> – </w:t>
      </w:r>
      <w:r>
        <w:rPr>
          <w:rFonts w:ascii="Times New Roman" w:hAnsi="Times New Roman"/>
          <w:iCs/>
          <w:sz w:val="22"/>
          <w:szCs w:val="22"/>
          <w:lang w:val="en-US"/>
        </w:rPr>
        <w:t>M</w:t>
      </w:r>
      <w:r>
        <w:rPr>
          <w:rFonts w:ascii="Times New Roman" w:hAnsi="Times New Roman"/>
          <w:iCs/>
          <w:sz w:val="22"/>
          <w:szCs w:val="22"/>
          <w:vertAlign w:val="subscript"/>
        </w:rPr>
        <w:t>2</w:t>
      </w:r>
      <w:r>
        <w:rPr>
          <w:rFonts w:ascii="Times New Roman" w:hAnsi="Times New Roman"/>
          <w:iCs/>
          <w:sz w:val="22"/>
          <w:szCs w:val="22"/>
        </w:rPr>
        <w:t> больше суммы модулей абсолютных погрешностей измерения массы теплоносителя в прямом и обратном трубопроводах, то величина утечки теплоносителя за отчетный период по подающему и обратному трубопроводам (</w:t>
      </w:r>
      <w:r>
        <w:rPr>
          <w:rFonts w:ascii="Times New Roman" w:hAnsi="Times New Roman"/>
          <w:iCs/>
          <w:sz w:val="22"/>
          <w:szCs w:val="22"/>
          <w:lang w:val="en-US"/>
        </w:rPr>
        <w:t>M</w:t>
      </w:r>
      <w:r>
        <w:rPr>
          <w:rFonts w:ascii="Times New Roman" w:hAnsi="Times New Roman"/>
          <w:iCs/>
          <w:sz w:val="22"/>
          <w:szCs w:val="22"/>
          <w:vertAlign w:val="subscript"/>
          <w:lang w:val="en-US"/>
        </w:rPr>
        <w:t>y</w:t>
      </w:r>
      <w:r>
        <w:rPr>
          <w:rFonts w:ascii="Times New Roman" w:hAnsi="Times New Roman"/>
          <w:iCs/>
          <w:sz w:val="22"/>
          <w:szCs w:val="22"/>
        </w:rPr>
        <w:t xml:space="preserve">)  равняется разнице абсолютных значений </w:t>
      </w:r>
      <w:r>
        <w:rPr>
          <w:rFonts w:ascii="Times New Roman" w:hAnsi="Times New Roman"/>
          <w:iCs/>
          <w:sz w:val="22"/>
          <w:szCs w:val="22"/>
          <w:lang w:val="en-US"/>
        </w:rPr>
        <w:t>M</w:t>
      </w:r>
      <w:r>
        <w:rPr>
          <w:rFonts w:ascii="Times New Roman" w:hAnsi="Times New Roman"/>
          <w:iCs/>
          <w:sz w:val="22"/>
          <w:szCs w:val="22"/>
          <w:vertAlign w:val="subscript"/>
        </w:rPr>
        <w:t>1</w:t>
      </w:r>
      <w:r>
        <w:rPr>
          <w:rFonts w:ascii="Times New Roman" w:hAnsi="Times New Roman"/>
          <w:iCs/>
          <w:sz w:val="22"/>
          <w:szCs w:val="22"/>
        </w:rPr>
        <w:t xml:space="preserve"> и </w:t>
      </w:r>
      <w:r>
        <w:rPr>
          <w:rFonts w:ascii="Times New Roman" w:hAnsi="Times New Roman"/>
          <w:iCs/>
          <w:sz w:val="22"/>
          <w:szCs w:val="22"/>
          <w:lang w:val="en-US"/>
        </w:rPr>
        <w:t>M</w:t>
      </w:r>
      <w:r>
        <w:rPr>
          <w:rFonts w:ascii="Times New Roman" w:hAnsi="Times New Roman"/>
          <w:iCs/>
          <w:sz w:val="22"/>
          <w:szCs w:val="22"/>
          <w:vertAlign w:val="subscript"/>
        </w:rPr>
        <w:t>2</w:t>
      </w:r>
      <w:r>
        <w:rPr>
          <w:rFonts w:ascii="Times New Roman" w:hAnsi="Times New Roman"/>
          <w:iCs/>
          <w:sz w:val="22"/>
          <w:szCs w:val="22"/>
        </w:rPr>
        <w:t> без учета погрешностей.</w:t>
      </w:r>
    </w:p>
    <w:p>
      <w:pPr>
        <w:pStyle w:val="Style18"/>
        <w:numPr>
          <w:ilvl w:val="0"/>
          <w:numId w:val="20"/>
        </w:numPr>
        <w:spacing w:lineRule="auto" w:line="240"/>
        <w:ind w:left="0" w:firstLine="567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Если </w:t>
      </w:r>
      <w:r>
        <w:rPr>
          <w:rFonts w:ascii="Times New Roman" w:hAnsi="Times New Roman"/>
          <w:iCs/>
          <w:sz w:val="22"/>
          <w:szCs w:val="22"/>
          <w:lang w:val="en-US"/>
        </w:rPr>
        <w:t>M</w:t>
      </w:r>
      <w:r>
        <w:rPr>
          <w:rFonts w:ascii="Times New Roman" w:hAnsi="Times New Roman"/>
          <w:iCs/>
          <w:sz w:val="22"/>
          <w:szCs w:val="22"/>
          <w:vertAlign w:val="subscript"/>
        </w:rPr>
        <w:t>1</w:t>
      </w:r>
      <w:r>
        <w:rPr>
          <w:rFonts w:ascii="Times New Roman" w:hAnsi="Times New Roman"/>
          <w:iCs/>
          <w:sz w:val="22"/>
          <w:szCs w:val="22"/>
        </w:rPr>
        <w:t xml:space="preserve"> &gt; </w:t>
      </w:r>
      <w:r>
        <w:rPr>
          <w:rFonts w:ascii="Times New Roman" w:hAnsi="Times New Roman"/>
          <w:iCs/>
          <w:sz w:val="22"/>
          <w:szCs w:val="22"/>
          <w:lang w:val="en-US"/>
        </w:rPr>
        <w:t>M</w:t>
      </w:r>
      <w:r>
        <w:rPr>
          <w:rFonts w:ascii="Times New Roman" w:hAnsi="Times New Roman"/>
          <w:iCs/>
          <w:sz w:val="22"/>
          <w:szCs w:val="22"/>
          <w:vertAlign w:val="subscript"/>
        </w:rPr>
        <w:t>2</w:t>
      </w:r>
      <w:r>
        <w:rPr>
          <w:rFonts w:ascii="Times New Roman" w:hAnsi="Times New Roman"/>
          <w:iCs/>
          <w:sz w:val="22"/>
          <w:szCs w:val="22"/>
        </w:rPr>
        <w:t xml:space="preserve"> или </w:t>
      </w:r>
      <w:r>
        <w:rPr>
          <w:rFonts w:ascii="Times New Roman" w:hAnsi="Times New Roman"/>
          <w:iCs/>
          <w:sz w:val="22"/>
          <w:szCs w:val="22"/>
          <w:lang w:val="en-US"/>
        </w:rPr>
        <w:t>M</w:t>
      </w:r>
      <w:r>
        <w:rPr>
          <w:rFonts w:ascii="Times New Roman" w:hAnsi="Times New Roman"/>
          <w:iCs/>
          <w:sz w:val="22"/>
          <w:szCs w:val="22"/>
          <w:vertAlign w:val="subscript"/>
        </w:rPr>
        <w:t>2</w:t>
      </w:r>
      <w:r>
        <w:rPr>
          <w:rFonts w:ascii="Times New Roman" w:hAnsi="Times New Roman"/>
          <w:iCs/>
          <w:sz w:val="22"/>
          <w:szCs w:val="22"/>
        </w:rPr>
        <w:t xml:space="preserve"> &gt; </w:t>
      </w:r>
      <w:r>
        <w:rPr>
          <w:rFonts w:ascii="Times New Roman" w:hAnsi="Times New Roman"/>
          <w:iCs/>
          <w:sz w:val="22"/>
          <w:szCs w:val="22"/>
          <w:lang w:val="en-US"/>
        </w:rPr>
        <w:t>M</w:t>
      </w:r>
      <w:r>
        <w:rPr>
          <w:rFonts w:ascii="Times New Roman" w:hAnsi="Times New Roman"/>
          <w:iCs/>
          <w:sz w:val="22"/>
          <w:szCs w:val="22"/>
          <w:vertAlign w:val="subscript"/>
        </w:rPr>
        <w:t>1</w:t>
      </w:r>
      <w:r>
        <w:rPr>
          <w:rFonts w:ascii="Times New Roman" w:hAnsi="Times New Roman"/>
          <w:iCs/>
          <w:sz w:val="22"/>
          <w:szCs w:val="22"/>
        </w:rPr>
        <w:t>, но |</w:t>
      </w:r>
      <w:r>
        <w:rPr>
          <w:rFonts w:ascii="Times New Roman" w:hAnsi="Times New Roman"/>
          <w:iCs/>
          <w:sz w:val="22"/>
          <w:szCs w:val="22"/>
          <w:lang w:val="en-US"/>
        </w:rPr>
        <w:t>M</w:t>
      </w:r>
      <w:r>
        <w:rPr>
          <w:rFonts w:ascii="Times New Roman" w:hAnsi="Times New Roman"/>
          <w:iCs/>
          <w:sz w:val="22"/>
          <w:szCs w:val="22"/>
          <w:vertAlign w:val="subscript"/>
        </w:rPr>
        <w:t>1</w:t>
      </w:r>
      <w:r>
        <w:rPr>
          <w:rFonts w:ascii="Times New Roman" w:hAnsi="Times New Roman"/>
          <w:iCs/>
          <w:sz w:val="22"/>
          <w:szCs w:val="22"/>
        </w:rPr>
        <w:t xml:space="preserve"> - </w:t>
      </w:r>
      <w:r>
        <w:rPr>
          <w:rFonts w:ascii="Times New Roman" w:hAnsi="Times New Roman"/>
          <w:iCs/>
          <w:sz w:val="22"/>
          <w:szCs w:val="22"/>
          <w:lang w:val="en-US"/>
        </w:rPr>
        <w:t>M</w:t>
      </w:r>
      <w:r>
        <w:rPr>
          <w:rFonts w:ascii="Times New Roman" w:hAnsi="Times New Roman"/>
          <w:iCs/>
          <w:sz w:val="22"/>
          <w:szCs w:val="22"/>
          <w:vertAlign w:val="subscript"/>
        </w:rPr>
        <w:t>2</w:t>
      </w:r>
      <w:r>
        <w:rPr>
          <w:rFonts w:ascii="Times New Roman" w:hAnsi="Times New Roman"/>
          <w:iCs/>
          <w:sz w:val="22"/>
          <w:szCs w:val="22"/>
        </w:rPr>
        <w:t>| меньше суммы модулей абсолютных погрешностей измерения массы теплоносителя величина утечки (подмеса) считается равной нулю.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</w:r>
    </w:p>
    <w:p>
      <w:pPr>
        <w:pStyle w:val="Style18"/>
        <w:spacing w:lineRule="auto" w:line="240"/>
        <w:ind w:firstLine="851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Количество тепловой энергии, невозвращенной потребителем вместе с потерянным теплоносителем (утечка, несанкционированный разбор теплоносителя) </w:t>
      </w:r>
      <w:r>
        <w:rPr>
          <w:rFonts w:ascii="Times New Roman" w:hAnsi="Times New Roman"/>
          <w:i/>
          <w:iCs/>
          <w:sz w:val="22"/>
          <w:szCs w:val="22"/>
        </w:rPr>
        <w:t>(</w:t>
      </w:r>
      <w:r>
        <w:rPr>
          <w:rFonts w:ascii="Times New Roman" w:hAnsi="Times New Roman"/>
          <w:i/>
          <w:iCs/>
          <w:sz w:val="22"/>
          <w:szCs w:val="22"/>
          <w:lang w:val="en-US"/>
        </w:rPr>
        <w:t>Q</w:t>
      </w:r>
      <w:r>
        <w:rPr>
          <w:rFonts w:ascii="Times New Roman" w:hAnsi="Times New Roman"/>
          <w:i/>
          <w:iCs/>
          <w:sz w:val="22"/>
          <w:szCs w:val="22"/>
          <w:vertAlign w:val="subscript"/>
          <w:lang w:val="en-US"/>
        </w:rPr>
        <w:t>YT</w:t>
      </w:r>
      <w:r>
        <w:rPr>
          <w:rFonts w:ascii="Times New Roman" w:hAnsi="Times New Roman"/>
          <w:i/>
          <w:iCs/>
          <w:sz w:val="22"/>
          <w:szCs w:val="22"/>
        </w:rPr>
        <w:t>)</w:t>
      </w:r>
      <w:r>
        <w:rPr>
          <w:rFonts w:ascii="Times New Roman" w:hAnsi="Times New Roman"/>
          <w:iCs/>
          <w:sz w:val="22"/>
          <w:szCs w:val="22"/>
        </w:rPr>
        <w:t>, рассчитывается по формуле:</w:t>
      </w:r>
    </w:p>
    <w:p>
      <w:pPr>
        <w:pStyle w:val="Style18"/>
        <w:spacing w:lineRule="auto" w:line="240" w:before="240" w:after="0"/>
        <w:jc w:val="center"/>
        <w:rPr>
          <w:rFonts w:ascii="Times New Roman" w:hAnsi="Times New Roman"/>
          <w:iCs/>
          <w:szCs w:val="24"/>
        </w:rPr>
      </w:pPr>
      <w:r>
        <w:rPr>
          <w:rFonts w:ascii="Times New Roman" w:hAnsi="Times New Roman"/>
          <w:i/>
          <w:iCs/>
          <w:szCs w:val="24"/>
          <w:lang w:val="en-US"/>
        </w:rPr>
        <w:t>Q</w:t>
      </w:r>
      <w:r>
        <w:rPr>
          <w:rFonts w:ascii="Times New Roman" w:hAnsi="Times New Roman"/>
          <w:i/>
          <w:iCs/>
          <w:szCs w:val="24"/>
          <w:vertAlign w:val="subscript"/>
          <w:lang w:val="en-US"/>
        </w:rPr>
        <w:t>YT</w:t>
      </w:r>
      <w:r>
        <w:rPr>
          <w:rFonts w:ascii="Times New Roman" w:hAnsi="Times New Roman"/>
          <w:i/>
          <w:iCs/>
          <w:szCs w:val="24"/>
        </w:rPr>
        <w:t xml:space="preserve"> = </w:t>
      </w:r>
      <w:r>
        <w:rPr>
          <w:rFonts w:ascii="Times New Roman" w:hAnsi="Times New Roman"/>
          <w:i/>
          <w:iCs/>
          <w:szCs w:val="24"/>
          <w:lang w:val="en-US"/>
        </w:rPr>
        <w:t>M</w:t>
      </w:r>
      <w:r>
        <w:rPr>
          <w:rFonts w:ascii="Times New Roman" w:hAnsi="Times New Roman"/>
          <w:i/>
          <w:iCs/>
          <w:szCs w:val="24"/>
          <w:vertAlign w:val="subscript"/>
          <w:lang w:val="en-US"/>
        </w:rPr>
        <w:t>y</w:t>
      </w:r>
      <w:r>
        <w:rPr>
          <w:rFonts w:ascii="Times New Roman" w:hAnsi="Times New Roman"/>
          <w:i/>
          <w:iCs/>
          <w:szCs w:val="24"/>
          <w:vertAlign w:val="subscript"/>
        </w:rPr>
        <w:t xml:space="preserve">  </w:t>
      </w:r>
      <w:r>
        <w:rPr>
          <w:rFonts w:ascii="Times New Roman" w:hAnsi="Times New Roman"/>
          <w:iCs/>
          <w:szCs w:val="24"/>
        </w:rPr>
        <w:t>*</w:t>
      </w:r>
      <w:r>
        <w:rPr>
          <w:rFonts w:ascii="Times New Roman" w:hAnsi="Times New Roman"/>
          <w:i/>
          <w:iCs/>
          <w:szCs w:val="24"/>
        </w:rPr>
        <w:t xml:space="preserve"> (</w:t>
      </w:r>
      <w:r>
        <w:rPr>
          <w:rFonts w:ascii="Times New Roman" w:hAnsi="Times New Roman"/>
          <w:i/>
          <w:iCs/>
          <w:szCs w:val="24"/>
          <w:lang w:val="en-US"/>
        </w:rPr>
        <w:t>h</w:t>
      </w:r>
      <w:r>
        <w:rPr>
          <w:rFonts w:ascii="Times New Roman" w:hAnsi="Times New Roman"/>
          <w:i/>
          <w:iCs/>
          <w:szCs w:val="24"/>
          <w:vertAlign w:val="subscript"/>
        </w:rPr>
        <w:t>2</w:t>
      </w:r>
      <w:r>
        <w:rPr>
          <w:rFonts w:ascii="Times New Roman" w:hAnsi="Times New Roman"/>
          <w:i/>
          <w:iCs/>
          <w:szCs w:val="24"/>
        </w:rPr>
        <w:t>-</w:t>
      </w:r>
      <w:r>
        <w:rPr>
          <w:rFonts w:ascii="Times New Roman" w:hAnsi="Times New Roman"/>
          <w:i/>
          <w:iCs/>
          <w:szCs w:val="24"/>
          <w:lang w:val="en-US"/>
        </w:rPr>
        <w:t>h</w:t>
      </w:r>
      <w:r>
        <w:rPr>
          <w:rFonts w:ascii="Times New Roman" w:hAnsi="Times New Roman"/>
          <w:i/>
          <w:iCs/>
          <w:szCs w:val="24"/>
          <w:vertAlign w:val="subscript"/>
        </w:rPr>
        <w:t>ХВ</w:t>
      </w:r>
      <w:r>
        <w:rPr>
          <w:rFonts w:ascii="Times New Roman" w:hAnsi="Times New Roman"/>
          <w:i/>
          <w:iCs/>
          <w:szCs w:val="24"/>
        </w:rPr>
        <w:t>) * 10</w:t>
      </w:r>
      <w:r>
        <w:rPr>
          <w:rFonts w:ascii="Times New Roman" w:hAnsi="Times New Roman"/>
          <w:i/>
          <w:iCs/>
          <w:szCs w:val="24"/>
          <w:vertAlign w:val="superscript"/>
        </w:rPr>
        <w:t>-3</w:t>
      </w:r>
      <w:r>
        <w:rPr>
          <w:rFonts w:ascii="Times New Roman" w:hAnsi="Times New Roman"/>
          <w:iCs/>
          <w:szCs w:val="24"/>
        </w:rPr>
        <w:t xml:space="preserve">   , Гкал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где:</w:t>
      </w:r>
    </w:p>
    <w:p>
      <w:pPr>
        <w:pStyle w:val="Style18"/>
        <w:spacing w:lineRule="auto" w:line="240"/>
        <w:ind w:firstLine="993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(</w:t>
      </w:r>
      <w:r>
        <w:rPr>
          <w:rFonts w:ascii="Times New Roman" w:hAnsi="Times New Roman"/>
          <w:iCs/>
          <w:sz w:val="22"/>
          <w:szCs w:val="22"/>
          <w:lang w:val="en-US"/>
        </w:rPr>
        <w:t>M</w:t>
      </w:r>
      <w:r>
        <w:rPr>
          <w:rFonts w:ascii="Times New Roman" w:hAnsi="Times New Roman"/>
          <w:iCs/>
          <w:sz w:val="22"/>
          <w:szCs w:val="22"/>
          <w:vertAlign w:val="subscript"/>
          <w:lang w:val="en-US"/>
        </w:rPr>
        <w:t>y</w:t>
      </w:r>
      <w:r>
        <w:rPr>
          <w:rFonts w:ascii="Times New Roman" w:hAnsi="Times New Roman"/>
          <w:iCs/>
          <w:sz w:val="22"/>
          <w:szCs w:val="22"/>
        </w:rPr>
        <w:t>)  - расчетная масса утечки теплоносителя, т;</w:t>
      </w:r>
    </w:p>
    <w:p>
      <w:pPr>
        <w:pStyle w:val="Style18"/>
        <w:spacing w:lineRule="auto" w:line="240"/>
        <w:ind w:firstLine="993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/>
          <w:iCs/>
          <w:sz w:val="22"/>
          <w:szCs w:val="22"/>
          <w:lang w:val="en-US"/>
        </w:rPr>
        <w:t>h</w:t>
      </w:r>
      <w:r>
        <w:rPr>
          <w:rFonts w:ascii="Times New Roman" w:hAnsi="Times New Roman"/>
          <w:i/>
          <w:iCs/>
          <w:sz w:val="22"/>
          <w:szCs w:val="22"/>
          <w:vertAlign w:val="subscript"/>
        </w:rPr>
        <w:t>2</w:t>
      </w:r>
      <w:r>
        <w:rPr>
          <w:rFonts w:ascii="Times New Roman" w:hAnsi="Times New Roman"/>
          <w:iCs/>
          <w:sz w:val="22"/>
          <w:szCs w:val="22"/>
        </w:rPr>
        <w:t xml:space="preserve"> - средневзвешенная энтальпия теплоносителя в обратном трубопроводе потребителя, ккал/кг;</w:t>
      </w:r>
    </w:p>
    <w:p>
      <w:pPr>
        <w:pStyle w:val="Style18"/>
        <w:spacing w:lineRule="auto" w:line="240"/>
        <w:ind w:firstLine="993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/>
          <w:iCs/>
          <w:sz w:val="22"/>
          <w:szCs w:val="22"/>
          <w:lang w:val="en-US"/>
        </w:rPr>
        <w:t>h</w:t>
      </w:r>
      <w:r>
        <w:rPr>
          <w:rFonts w:ascii="Times New Roman" w:hAnsi="Times New Roman"/>
          <w:i/>
          <w:iCs/>
          <w:sz w:val="22"/>
          <w:szCs w:val="22"/>
          <w:vertAlign w:val="subscript"/>
        </w:rPr>
        <w:t>ХВ</w:t>
      </w:r>
      <w:r>
        <w:rPr>
          <w:rFonts w:ascii="Times New Roman" w:hAnsi="Times New Roman"/>
          <w:iCs/>
          <w:sz w:val="22"/>
          <w:szCs w:val="22"/>
        </w:rPr>
        <w:t xml:space="preserve">  - средняя энтальпия холодной воды на источнике тепловой энергии, ккал/кг.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7.10.</w:t>
      </w:r>
      <w:r>
        <w:rPr>
          <w:rFonts w:ascii="Times New Roman" w:hAnsi="Times New Roman"/>
          <w:iCs/>
          <w:sz w:val="22"/>
          <w:szCs w:val="22"/>
        </w:rPr>
        <w:t xml:space="preserve"> Расчет количества потерь теплоносителя с утечкой выполняется Теплоснабжающей организацией и включает в себя определение величины утечки через отверстие, повреждения, количества теплоносителя на заполнение опорожненных участков тепловых сетей и теплопотребляющих установок Потребителя и субабонентов после проведения ремонтных работ и добавляется к величине утечки Потребителя при отсутствии у него приборов учета. 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</w:r>
    </w:p>
    <w:p>
      <w:pPr>
        <w:pStyle w:val="Style18"/>
        <w:numPr>
          <w:ilvl w:val="0"/>
          <w:numId w:val="10"/>
        </w:numPr>
        <w:spacing w:lineRule="auto" w:line="240"/>
        <w:jc w:val="center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ПОРЯДОК РАСЧЕТОВ.</w:t>
      </w:r>
    </w:p>
    <w:p>
      <w:pPr>
        <w:pStyle w:val="Style18"/>
        <w:spacing w:lineRule="auto" w:line="240"/>
        <w:ind w:left="540" w:hanging="0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</w:r>
    </w:p>
    <w:p>
      <w:pPr>
        <w:pStyle w:val="Style18"/>
        <w:numPr>
          <w:ilvl w:val="1"/>
          <w:numId w:val="15"/>
        </w:numPr>
        <w:tabs>
          <w:tab w:val="left" w:pos="142" w:leader="none"/>
        </w:tabs>
        <w:spacing w:lineRule="auto" w:line="240"/>
        <w:ind w:left="0" w:hanging="0"/>
        <w:rPr>
          <w:rFonts w:ascii="Times New Roman" w:hAnsi="Times New Roman"/>
          <w:i/>
          <w:i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Расчетным периодом по настоящему контракту является один календарный месяц. </w:t>
      </w:r>
    </w:p>
    <w:p>
      <w:pPr>
        <w:pStyle w:val="Style18"/>
        <w:numPr>
          <w:ilvl w:val="1"/>
          <w:numId w:val="15"/>
        </w:numPr>
        <w:tabs>
          <w:tab w:val="left" w:pos="142" w:leader="none"/>
        </w:tabs>
        <w:spacing w:lineRule="auto" w:line="240"/>
        <w:ind w:left="0" w:hanging="0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Государственный заказчик (Потребитель) оплачивает приобретенный объем тепловой энергии (мощности) и (или) теплоносителя, и (или) горячей воды в следующем порядке:</w:t>
      </w:r>
    </w:p>
    <w:p>
      <w:pPr>
        <w:pStyle w:val="Style18"/>
        <w:numPr>
          <w:ilvl w:val="0"/>
          <w:numId w:val="16"/>
        </w:numPr>
        <w:tabs>
          <w:tab w:val="left" w:pos="709" w:leader="none"/>
        </w:tabs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30 процентов</w:t>
      </w:r>
      <w:r>
        <w:rPr>
          <w:rFonts w:ascii="Times New Roman" w:hAnsi="Times New Roman"/>
          <w:iCs/>
          <w:sz w:val="22"/>
          <w:szCs w:val="22"/>
        </w:rPr>
        <w:t xml:space="preserve"> плановой общей стоимости тепловой энергии (мощности) и (или) теплоносителя и (или) горячей воды, потребляемых в месяце, за который осуществляется оплата, вносится </w:t>
      </w:r>
      <w:r>
        <w:rPr>
          <w:rFonts w:ascii="Times New Roman" w:hAnsi="Times New Roman"/>
          <w:b/>
          <w:iCs/>
          <w:sz w:val="22"/>
          <w:szCs w:val="22"/>
        </w:rPr>
        <w:t>до 18-го числа</w:t>
      </w:r>
      <w:r>
        <w:rPr>
          <w:rFonts w:ascii="Times New Roman" w:hAnsi="Times New Roman"/>
          <w:iCs/>
          <w:sz w:val="22"/>
          <w:szCs w:val="22"/>
        </w:rPr>
        <w:t xml:space="preserve"> текущего месяца;</w:t>
      </w:r>
    </w:p>
    <w:p>
      <w:pPr>
        <w:pStyle w:val="Style18"/>
        <w:numPr>
          <w:ilvl w:val="0"/>
          <w:numId w:val="16"/>
        </w:numPr>
        <w:tabs>
          <w:tab w:val="left" w:pos="709" w:leader="none"/>
        </w:tabs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оплата за фактически потребленную в истекшем месяце тепловую энергию (мощность) и (или) теплоноситель, и (или) горячую воду с учетом средств, ранее внесенных Государственным заказчиком (Потребителем) в качестве оплаты за тепловую энергию в расчетном периоде, осуществляется </w:t>
      </w:r>
      <w:r>
        <w:rPr>
          <w:rFonts w:ascii="Times New Roman" w:hAnsi="Times New Roman"/>
          <w:b/>
          <w:iCs/>
          <w:sz w:val="22"/>
          <w:szCs w:val="22"/>
        </w:rPr>
        <w:t>до 10-го числа</w:t>
      </w:r>
      <w:r>
        <w:rPr>
          <w:rFonts w:ascii="Times New Roman" w:hAnsi="Times New Roman"/>
          <w:iCs/>
          <w:sz w:val="22"/>
          <w:szCs w:val="22"/>
        </w:rPr>
        <w:t xml:space="preserve"> месяца, следующего за месяцем, за который осуществляется оплата. В случае если объем фактического потребления тепловой энергии и (или) теплоносителя, и (или) горячей воды за истекший месяц меньше объема, определенного настоящим контрактом, излишне уплаченная сумма засчитывается в счет предстоящего платежа за следующий месяц.</w:t>
      </w:r>
    </w:p>
    <w:p>
      <w:pPr>
        <w:pStyle w:val="Style18"/>
        <w:tabs>
          <w:tab w:val="left" w:pos="142" w:leader="none"/>
        </w:tabs>
        <w:spacing w:lineRule="auto" w:line="240"/>
        <w:ind w:firstLine="851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Плановая общая стоимость потребляемой тепловой энергии (мощности) и (или) теплоносителя в месяце, за который осуществляется оплата, рассчитывается как произведение определенного контрактам теплоснабжения договорного объема потребления тепловой энергии (мощности) и (или) теплоносителя в месяце, за который осуществляется оплата, и тарифа на тепловую энергию (мощность) и (или) теплоноситель или цены, определяемой по соглашению сторон.</w:t>
      </w:r>
    </w:p>
    <w:p>
      <w:pPr>
        <w:pStyle w:val="Style18"/>
        <w:tabs>
          <w:tab w:val="left" w:pos="142" w:leader="none"/>
        </w:tabs>
        <w:spacing w:lineRule="auto" w:line="240"/>
        <w:ind w:firstLine="851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По окончанию расчетного периода ТСО предъявляет Государственному заказчику (Потребителю) счет-фактуру, счет и Акт выполненных работ (приема-передачи) в 2-х экземплярах. Государственный заказчик (Потребитель) возвращает один экземпляр Акта выполненных работ (приема-передачи), подписанный руководителем и скрепленный печатью, в адрес ТСО не позднее 5-ти рабочих дней с момента получения. В случае невозврата Государственным заказчиком (Потребителем) подписанного Акта выполненных работ (приема-передачи) по истечении установленного выше срока указанный Акт считается принятым, объемы энергоресурсов согласованными.</w:t>
      </w:r>
    </w:p>
    <w:p>
      <w:pPr>
        <w:pStyle w:val="Style18"/>
        <w:tabs>
          <w:tab w:val="left" w:pos="142" w:leader="none"/>
        </w:tabs>
        <w:spacing w:lineRule="auto" w:line="240"/>
        <w:ind w:firstLine="851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В случае частичного отказа от объема потребления коммунальных ресурсов, указанного в Акте выполненных работ (приема-передачи), Государственный заказчик (Потребитель) обязан оплатить стоимость неоспариваемой части потребления в срок, установленный настоящим контрактом и направить в ТСО мотивированный отказ от оплаты оспариваемой части объема потребления. </w:t>
      </w:r>
    </w:p>
    <w:p>
      <w:pPr>
        <w:pStyle w:val="Style18"/>
        <w:tabs>
          <w:tab w:val="left" w:pos="142" w:leader="none"/>
        </w:tabs>
        <w:spacing w:lineRule="auto" w:line="240"/>
        <w:ind w:firstLine="851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В случае если Государственный заказчик (Потребитель) не направил в адрес ТСО мотивированного отказа в течение 5-ти рабочих дней с момента получения Акта выполненных работ (приема-передачи), претензии по объему и качеству не принимаются. </w:t>
      </w:r>
    </w:p>
    <w:p>
      <w:pPr>
        <w:pStyle w:val="Style18"/>
        <w:tabs>
          <w:tab w:val="left" w:pos="142" w:leader="none"/>
        </w:tabs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Размер оспариваемых обязательств по оплате определяется Сторонами путём переговоров, а в случае не достижения согласия – в судебном порядке. </w:t>
      </w:r>
    </w:p>
    <w:p>
      <w:pPr>
        <w:pStyle w:val="Style18"/>
        <w:tabs>
          <w:tab w:val="left" w:pos="142" w:leader="none"/>
        </w:tabs>
        <w:spacing w:lineRule="auto" w:line="240"/>
        <w:rPr/>
      </w:pPr>
      <w:r>
        <w:rPr>
          <w:rFonts w:ascii="Times New Roman" w:hAnsi="Times New Roman"/>
          <w:b/>
          <w:iCs/>
          <w:sz w:val="22"/>
          <w:szCs w:val="22"/>
        </w:rPr>
        <w:t>8.3.</w:t>
      </w:r>
      <w:r>
        <w:rPr>
          <w:rFonts w:ascii="Times New Roman" w:hAnsi="Times New Roman"/>
          <w:iCs/>
          <w:sz w:val="22"/>
          <w:szCs w:val="22"/>
        </w:rPr>
        <w:t xml:space="preserve"> При поставке тепловой энергии с использованием теплоносителя в виде пара, Государственный заказчик (Потребитель) производит оплату по установленным тарифам или по ценам, определенным соглашением сторон, а также возмещает ТСО затраты, связанные с частичным или полным невозвратом конденсата (затраты на воду и химводоподготовку), и (или) затраты, связанные с поступлением на источник тепловой энергии конденсата, качество которого не соответствует условиям контракта, по ценам, определяемым в соответствии с установленными тарифами, а в случаях, установленных законодательством РФ, либо в отсутствие установленных тарифов - по ценам, определенным соглашением сторон.</w:t>
      </w:r>
    </w:p>
    <w:p>
      <w:pPr>
        <w:pStyle w:val="Style18"/>
        <w:tabs>
          <w:tab w:val="left" w:pos="142" w:leader="none"/>
        </w:tabs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8.4.</w:t>
      </w:r>
      <w:r>
        <w:rPr>
          <w:rFonts w:ascii="Times New Roman" w:hAnsi="Times New Roman"/>
          <w:iCs/>
          <w:sz w:val="22"/>
          <w:szCs w:val="22"/>
        </w:rPr>
        <w:t xml:space="preserve"> При оплате стоимости потребленной тепловой энергии (мощности) и (или) теплоносителя, и (или) горячей воды платежными поручениями Государственный заказчик (Потребитель) обязательно в поле «назначение платежа» указывает: оплата по контракту </w:t>
      </w:r>
      <w:r>
        <w:rPr>
          <w:rFonts w:ascii="Times New Roman" w:hAnsi="Times New Roman"/>
          <w:b/>
          <w:bCs/>
          <w:iCs/>
          <w:sz w:val="22"/>
          <w:szCs w:val="22"/>
        </w:rPr>
        <w:t>№ _________</w:t>
      </w:r>
      <w:r>
        <w:rPr>
          <w:rFonts w:ascii="Times New Roman" w:hAnsi="Times New Roman"/>
          <w:b/>
          <w:bCs/>
          <w:iCs/>
          <w:sz w:val="22"/>
          <w:szCs w:val="22"/>
          <w:lang w:val="en-US"/>
        </w:rPr>
        <w:t> </w:t>
      </w:r>
      <w:r>
        <w:rPr>
          <w:rFonts w:ascii="Times New Roman" w:hAnsi="Times New Roman"/>
          <w:b/>
          <w:iCs/>
          <w:sz w:val="22"/>
          <w:szCs w:val="22"/>
        </w:rPr>
        <w:t xml:space="preserve">от «____»_____________20__г. </w:t>
      </w:r>
      <w:r>
        <w:rPr>
          <w:rFonts w:ascii="Times New Roman" w:hAnsi="Times New Roman"/>
          <w:iCs/>
          <w:sz w:val="22"/>
          <w:szCs w:val="22"/>
        </w:rPr>
        <w:t xml:space="preserve"> за тепловую энергию (мощность) и (или) теплоноситель, и (или) горячую воду, номер и дату счета-фактуры или счета, период, за который производится оплата. В случае отсутствия в платежном поручении назначения платежа полученная сумма направляется ТСО на погашение задолженности в порядке календарной очередности (на самый ранее неоплаченный счет-фактуру), а при отсутствии задолженности – зачисляется в качестве аванса в счет будущих периодов потребления.</w:t>
      </w:r>
    </w:p>
    <w:p>
      <w:pPr>
        <w:pStyle w:val="Style18"/>
        <w:tabs>
          <w:tab w:val="left" w:pos="142" w:leader="none"/>
        </w:tabs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8.5.</w:t>
      </w:r>
      <w:r>
        <w:rPr>
          <w:rFonts w:ascii="Times New Roman" w:hAnsi="Times New Roman"/>
          <w:iCs/>
          <w:sz w:val="22"/>
          <w:szCs w:val="22"/>
        </w:rPr>
        <w:t xml:space="preserve"> Для изменения назначения платежа требуется обязательное письменное согласие обеих сторон. </w:t>
      </w:r>
    </w:p>
    <w:p>
      <w:pPr>
        <w:pStyle w:val="Style18"/>
        <w:tabs>
          <w:tab w:val="left" w:pos="142" w:leader="none"/>
        </w:tabs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8.6.</w:t>
      </w:r>
      <w:r>
        <w:rPr>
          <w:rFonts w:ascii="Times New Roman" w:hAnsi="Times New Roman"/>
          <w:iCs/>
          <w:sz w:val="22"/>
          <w:szCs w:val="22"/>
        </w:rPr>
        <w:t xml:space="preserve"> Обязательство по оплате считается исполненным в день поступления денежных средств на расчетный счет ТСО. </w:t>
      </w:r>
    </w:p>
    <w:p>
      <w:pPr>
        <w:pStyle w:val="Style18"/>
        <w:tabs>
          <w:tab w:val="left" w:pos="142" w:leader="none"/>
        </w:tabs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8.7.</w:t>
      </w:r>
      <w:r>
        <w:rPr>
          <w:rFonts w:ascii="Times New Roman" w:hAnsi="Times New Roman"/>
          <w:iCs/>
          <w:sz w:val="22"/>
          <w:szCs w:val="22"/>
        </w:rPr>
        <w:t xml:space="preserve"> Стороны обязуются ежеквартально проводить сверку взаимных расчетов с составлением Акта сверки. ТСО по истечении квартала направляет Государственному заказчику (Потребителю) оформленный со своей Стороны Акт сверки. Государственный заказчик (Потребитель) обязан в течение 10 дней с момента получения рассмотреть Акт сверки, подписать и направить один экземпляр ТСО.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</w:r>
    </w:p>
    <w:p>
      <w:pPr>
        <w:pStyle w:val="Style18"/>
        <w:numPr>
          <w:ilvl w:val="0"/>
          <w:numId w:val="18"/>
        </w:numPr>
        <w:spacing w:lineRule="auto" w:line="240"/>
        <w:jc w:val="center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ПОРЯДОК КОНТРОЛЯ КАЧЕСТВА ГОРЯЧЕЙ ВОДЫ.</w:t>
      </w:r>
    </w:p>
    <w:p>
      <w:pPr>
        <w:pStyle w:val="Style18"/>
        <w:spacing w:lineRule="auto" w:line="240"/>
        <w:ind w:left="502" w:hanging="0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</w:r>
    </w:p>
    <w:p>
      <w:pPr>
        <w:pStyle w:val="Style18"/>
        <w:numPr>
          <w:ilvl w:val="1"/>
          <w:numId w:val="18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Контроль качества подаваемой горячей воды осуществляется в соответствии с законодательством РФ в области обеспечения санитарно-эпидемиологического благополучия населения:</w:t>
      </w:r>
    </w:p>
    <w:p>
      <w:pPr>
        <w:pStyle w:val="Style18"/>
        <w:numPr>
          <w:ilvl w:val="0"/>
          <w:numId w:val="17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по инициативе и за счет Государственного заказчика (Потребителя);</w:t>
      </w:r>
    </w:p>
    <w:p>
      <w:pPr>
        <w:pStyle w:val="Style18"/>
        <w:numPr>
          <w:ilvl w:val="0"/>
          <w:numId w:val="17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на основании программы производственного контроля качества горячей воды организации, осуществляющей горячее водоснабжение;</w:t>
      </w:r>
    </w:p>
    <w:p>
      <w:pPr>
        <w:pStyle w:val="Style18"/>
        <w:numPr>
          <w:ilvl w:val="0"/>
          <w:numId w:val="17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при осуществлении федерального государственного санитарно-эпидемиологического контроля уполномоченным территориальным органом федерального органа исполнительной власти.</w:t>
      </w:r>
    </w:p>
    <w:p>
      <w:pPr>
        <w:pStyle w:val="Style18"/>
        <w:numPr>
          <w:ilvl w:val="1"/>
          <w:numId w:val="18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Контроль качества горячей воды, подаваемой Государственному заказчику (Потребителю) с использованием систем горячего водоснабжения, включает в себя отбор проб воды, проведение лабораторных исследований и испытаний на соответствие горячей воды установленным требованиям.</w:t>
      </w:r>
    </w:p>
    <w:p>
      <w:pPr>
        <w:pStyle w:val="Style18"/>
        <w:numPr>
          <w:ilvl w:val="1"/>
          <w:numId w:val="18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Отбор проб горячей воды производится с участием представителей организации, осуществляющей горячее водоснабжение, и представителей Государственного заказчика (Потребителя) в порядке, установленном законодательством РФ.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</w:r>
    </w:p>
    <w:p>
      <w:pPr>
        <w:pStyle w:val="Style18"/>
        <w:numPr>
          <w:ilvl w:val="0"/>
          <w:numId w:val="18"/>
        </w:numPr>
        <w:spacing w:lineRule="auto" w:line="240"/>
        <w:jc w:val="center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ОТВЕТСТВЕННОСТЬ СТОРОН.</w:t>
      </w:r>
    </w:p>
    <w:p>
      <w:pPr>
        <w:pStyle w:val="Style18"/>
        <w:spacing w:lineRule="auto" w:line="240"/>
        <w:ind w:left="502" w:hanging="0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</w:r>
    </w:p>
    <w:p>
      <w:pPr>
        <w:pStyle w:val="Style18"/>
        <w:numPr>
          <w:ilvl w:val="1"/>
          <w:numId w:val="18"/>
        </w:numPr>
        <w:tabs>
          <w:tab w:val="left" w:pos="142" w:leader="none"/>
        </w:tabs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Стороны несут ответственность за неисполнение или ненадлежащее исполнение обязательств по настоящему контракту в случаях и порядке, определенных законодательством Российской Федерации и настоящим контрактом, в том числе за нарушение порядка полного и (или) частичного ограничения режима потребления. </w:t>
      </w:r>
    </w:p>
    <w:p>
      <w:pPr>
        <w:pStyle w:val="Style18"/>
        <w:numPr>
          <w:ilvl w:val="1"/>
          <w:numId w:val="18"/>
        </w:numPr>
        <w:tabs>
          <w:tab w:val="left" w:pos="142" w:leader="none"/>
        </w:tabs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За нарушение обязательств по настоящему контракту (в том числе за несоблюдение требований к параметрам качества теплоснабжения, нарушение режима потребления тепловой энергии, за нарушение условий о количестве, качестве и значениях термодинамических параметров возвращаемого теплоносителя, Стороны несут ответственность в соответствии с законодательством РФ.</w:t>
      </w:r>
    </w:p>
    <w:p>
      <w:pPr>
        <w:pStyle w:val="Style18"/>
        <w:numPr>
          <w:ilvl w:val="1"/>
          <w:numId w:val="18"/>
        </w:numPr>
        <w:tabs>
          <w:tab w:val="left" w:pos="142" w:leader="none"/>
        </w:tabs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ТСО несет ответственность за нарушение условий поставки, в том числе надежности качества тепловой энергии (мощности) и (или) теплоносителя, и (или) горячей воды, до точек раздела границ, определенных в Актах разграничения балансовой принадлежности тепловых сетей.</w:t>
      </w:r>
    </w:p>
    <w:p>
      <w:pPr>
        <w:pStyle w:val="Style18"/>
        <w:numPr>
          <w:ilvl w:val="1"/>
          <w:numId w:val="18"/>
        </w:numPr>
        <w:tabs>
          <w:tab w:val="left" w:pos="142" w:leader="none"/>
        </w:tabs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ТСО не несет ответственности за недоотпуск тепловой энергии (мощности) и (или) теплоносителя, и (или) горячей воды, произошедший по вине Государственного заказчика (Потребителя) (субабонентов), или вызванный стихийным явлением, или ненадлежащим исполнением Государственным заказчиком (Потребителем) своих обязательств, предусмотренных настоящим контрактом или действующим законодательством РФ.</w:t>
      </w:r>
    </w:p>
    <w:p>
      <w:pPr>
        <w:pStyle w:val="Style18"/>
        <w:numPr>
          <w:ilvl w:val="1"/>
          <w:numId w:val="18"/>
        </w:numPr>
        <w:tabs>
          <w:tab w:val="left" w:pos="142" w:leader="none"/>
        </w:tabs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Государственный заказчик (Потребитель) несёт ответственность за предоставление недостоверных исходных данных, используемых ТСО при расчётах потребления тепловой энергии (мощности) и (или) теплоносителя, и (или) горячей воды, и возмещает ТСО разницу в потреблении за весь период в пределах срока исковой давности. </w:t>
      </w:r>
    </w:p>
    <w:p>
      <w:pPr>
        <w:pStyle w:val="Style18"/>
        <w:numPr>
          <w:ilvl w:val="1"/>
          <w:numId w:val="18"/>
        </w:numPr>
        <w:tabs>
          <w:tab w:val="left" w:pos="142" w:leader="none"/>
        </w:tabs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Государственный заказчик (Потребитель) несет ответственность за умышленный вывод из строя прибора учета или иное воздействие на прибор с целью искажения его показаний. При обнаружении данного факта производится перерасчет в соответствии с нормативными документами с даты вмешательства в работу прибора, а при невозможности установить дату – с даты предыдущей проверки, по тарифам, действующим на момент обнаружения факта умышленного вывода из строя прибора учета или воздействия на прибор с целью искажения его показаний.</w:t>
      </w:r>
    </w:p>
    <w:p>
      <w:pPr>
        <w:pStyle w:val="Style18"/>
        <w:numPr>
          <w:ilvl w:val="1"/>
          <w:numId w:val="18"/>
        </w:numPr>
        <w:tabs>
          <w:tab w:val="left" w:pos="142" w:leader="none"/>
        </w:tabs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В случае несвоевременной и (или) неполной оплаты тепловой энергии (мощности) и (или) теплоносителя, и (или) горячей воды по настоящему контракту Государственный заказчик (Потребитель) несет ответственность, предусмотренную действующим законодательством РФ.</w:t>
      </w:r>
    </w:p>
    <w:p>
      <w:pPr>
        <w:pStyle w:val="Style18"/>
        <w:numPr>
          <w:ilvl w:val="1"/>
          <w:numId w:val="18"/>
        </w:numPr>
        <w:tabs>
          <w:tab w:val="left" w:pos="142" w:leader="none"/>
        </w:tabs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Сторона освобождается от уплаты неустойки (штрафа, пени), если докажет, что неисполнение или ненадлежащее исполнение обязательства, предусмотренного настоящим контрактом, произошло вследствие непреодолимой силы или по вине другой стороны.</w:t>
      </w:r>
    </w:p>
    <w:p>
      <w:pPr>
        <w:pStyle w:val="Style18"/>
        <w:numPr>
          <w:ilvl w:val="1"/>
          <w:numId w:val="18"/>
        </w:numPr>
        <w:tabs>
          <w:tab w:val="left" w:pos="142" w:leader="none"/>
        </w:tabs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Уплата неустоек за просрочку, неисполнение или ненадлежащее исполнение обязательств по настоящему контракту, а также возмещение убытков, причиненных ненадлежащим исполнением обязательств, не освобождает Стороны от исполнения обязательств по настоящему контракту.</w:t>
      </w:r>
    </w:p>
    <w:p>
      <w:pPr>
        <w:pStyle w:val="Style18"/>
        <w:numPr>
          <w:ilvl w:val="1"/>
          <w:numId w:val="18"/>
        </w:numPr>
        <w:tabs>
          <w:tab w:val="left" w:pos="142" w:leader="none"/>
        </w:tabs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Все споры и разногласия, возникающие в связи с исполнением, заключением и расторжением настоящего контракта, разрешаются сторонами в досудебном порядке, в случае недостижения согласия  подлежат разрешению в Арбитражном суде Камчатского края. Каждая из Сторон имеет право обратиться с заявлением об урегулировании разногласий, возникших при заключении, изменении настоящего контракта после принятия мер по досудебному урегулированию по истечении десяти календарных дней со дня направления претензии (требования).</w:t>
      </w:r>
    </w:p>
    <w:p>
      <w:pPr>
        <w:pStyle w:val="Style18"/>
        <w:numPr>
          <w:ilvl w:val="1"/>
          <w:numId w:val="18"/>
        </w:numPr>
        <w:tabs>
          <w:tab w:val="left" w:pos="142" w:leader="none"/>
        </w:tabs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Перечень должностных лиц, ответственных за теплохозяйство, эксплуатацию ПУ, имеющих право ведения оперативных переговоров, получения и принятия, подписания документов, приведен в Приложении № 5.</w:t>
      </w:r>
    </w:p>
    <w:p>
      <w:pPr>
        <w:pStyle w:val="Style18"/>
        <w:numPr>
          <w:ilvl w:val="1"/>
          <w:numId w:val="18"/>
        </w:numPr>
        <w:tabs>
          <w:tab w:val="left" w:pos="142" w:leader="none"/>
        </w:tabs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Стороны освобождаются от ответственности за неисполнение или ненадлежащее исполнение обязательств по настоящему контракту, если это явилось следствием обстоятельств непреодолимой силы, возникших после заключения контракта, таких как: стихийные бедствия, военные действия любого характера, правительственные постановления или распоряжения государственных органов, препятствующие выполнению условий настоящего контракта. Сторона, ссылающаяся на обстоятельства непреодолимой силы, обязана незамедлительно информировать другую сторону о наступлении подобных обстоятельств в письменной форме.</w:t>
      </w:r>
    </w:p>
    <w:p>
      <w:pPr>
        <w:pStyle w:val="Style18"/>
        <w:spacing w:lineRule="auto" w:line="240"/>
        <w:jc w:val="center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</w:r>
    </w:p>
    <w:p>
      <w:pPr>
        <w:pStyle w:val="Style18"/>
        <w:numPr>
          <w:ilvl w:val="0"/>
          <w:numId w:val="18"/>
        </w:numPr>
        <w:spacing w:lineRule="auto" w:line="240"/>
        <w:jc w:val="center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СРОК ДЕЙСТВИЯ КОНТРАКТА.</w:t>
      </w:r>
    </w:p>
    <w:p>
      <w:pPr>
        <w:pStyle w:val="Style18"/>
        <w:spacing w:lineRule="auto" w:line="240"/>
        <w:ind w:left="502" w:hanging="0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</w:r>
    </w:p>
    <w:p>
      <w:pPr>
        <w:pStyle w:val="Style18"/>
        <w:numPr>
          <w:ilvl w:val="1"/>
          <w:numId w:val="18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Настоящий контракт вступает в силу с момента подписания, распространяет свое действие на правоотношения сторон, возникшие с ___________ и действует по ___________ включительно, а в части расчетов за потребленную тепловую энергию (мощность) и (или) теплоноситель, и (или) горячую воду до полного исполнения обязательств по оплате.</w:t>
      </w:r>
    </w:p>
    <w:p>
      <w:pPr>
        <w:pStyle w:val="Style18"/>
        <w:numPr>
          <w:ilvl w:val="1"/>
          <w:numId w:val="18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Предложение об изменении, расторжении настоящего контракта, а также о заключении нового контракта может быть заявлено стороной контракта не менее чем за тридцать дней до предлагаемой даты изменения, расторжения или заключения нового контракта.</w:t>
      </w:r>
    </w:p>
    <w:p>
      <w:pPr>
        <w:pStyle w:val="Style18"/>
        <w:numPr>
          <w:ilvl w:val="1"/>
          <w:numId w:val="18"/>
        </w:numPr>
        <w:spacing w:lineRule="auto" w:line="240"/>
        <w:ind w:left="0" w:hanging="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Настоящий контракт может быть расторгнут Сторонами в одностороннем порядке в соответствии с действующим законодательством РФ.</w:t>
      </w:r>
    </w:p>
    <w:p>
      <w:pPr>
        <w:pStyle w:val="Style18"/>
        <w:spacing w:lineRule="auto" w:line="240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</w:r>
    </w:p>
    <w:p>
      <w:pPr>
        <w:pStyle w:val="Style18"/>
        <w:numPr>
          <w:ilvl w:val="0"/>
          <w:numId w:val="18"/>
        </w:numPr>
        <w:spacing w:lineRule="auto" w:line="240"/>
        <w:jc w:val="center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ПРИЛОЖЕНИЯ.</w:t>
      </w:r>
    </w:p>
    <w:p>
      <w:pPr>
        <w:pStyle w:val="Style18"/>
        <w:spacing w:lineRule="auto" w:line="240"/>
        <w:ind w:left="502" w:hanging="0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</w:r>
    </w:p>
    <w:tbl>
      <w:tblPr>
        <w:tblW w:w="9673" w:type="dxa"/>
        <w:jc w:val="left"/>
        <w:tblInd w:w="109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951"/>
        <w:gridCol w:w="7721"/>
      </w:tblGrid>
      <w:tr>
        <w:trPr>
          <w:trHeight w:val="369" w:hRule="atLeast"/>
        </w:trPr>
        <w:tc>
          <w:tcPr>
            <w:tcW w:w="1951" w:type="dxa"/>
            <w:tcBorders/>
            <w:shd w:color="auto" w:fill="auto" w:val="clea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Приложение № 1</w:t>
            </w:r>
          </w:p>
        </w:tc>
        <w:tc>
          <w:tcPr>
            <w:tcW w:w="7721" w:type="dxa"/>
            <w:tcBorders/>
            <w:shd w:color="auto" w:fill="auto" w:val="clea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Контрактный объем потребления тепловой энергии (мощности) и (или) теплоносителя, и (или) горячей воды</w:t>
            </w:r>
          </w:p>
        </w:tc>
      </w:tr>
      <w:tr>
        <w:trPr/>
        <w:tc>
          <w:tcPr>
            <w:tcW w:w="1951" w:type="dxa"/>
            <w:tcBorders/>
            <w:shd w:color="auto" w:fill="auto" w:val="clea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Приложение № 2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Приложение № 3</w:t>
            </w:r>
          </w:p>
        </w:tc>
        <w:tc>
          <w:tcPr>
            <w:tcW w:w="7721" w:type="dxa"/>
            <w:tcBorders/>
            <w:shd w:color="auto" w:fill="auto" w:val="clea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Цена контракта.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Акт разграничения балансовой принадлежности тепловых сетей и эксплуатационной ответственности сторон.</w:t>
            </w:r>
          </w:p>
        </w:tc>
      </w:tr>
      <w:tr>
        <w:trPr/>
        <w:tc>
          <w:tcPr>
            <w:tcW w:w="1951" w:type="dxa"/>
            <w:tcBorders/>
            <w:shd w:color="auto" w:fill="auto" w:val="clea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Приложение № 4</w:t>
            </w:r>
          </w:p>
        </w:tc>
        <w:tc>
          <w:tcPr>
            <w:tcW w:w="7721" w:type="dxa"/>
            <w:tcBorders/>
            <w:shd w:color="auto" w:fill="auto" w:val="clea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 xml:space="preserve">График регулирования отпуска тепла 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</w:rPr>
              <w:t xml:space="preserve"> источника тепловой энергии.</w:t>
            </w:r>
          </w:p>
        </w:tc>
      </w:tr>
      <w:tr>
        <w:trPr/>
        <w:tc>
          <w:tcPr>
            <w:tcW w:w="1951" w:type="dxa"/>
            <w:tcBorders/>
            <w:shd w:color="auto" w:fill="auto" w:val="clea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Приложение № 5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Приложение № 6</w:t>
            </w:r>
          </w:p>
        </w:tc>
        <w:tc>
          <w:tcPr>
            <w:tcW w:w="7721" w:type="dxa"/>
            <w:tcBorders/>
            <w:shd w:color="auto" w:fill="auto" w:val="clea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Список ответственных лиц и иная контактная информация</w:t>
            </w:r>
            <w:r>
              <w:rPr>
                <w:rFonts w:ascii="Times New Roman" w:hAnsi="Times New Roman"/>
                <w:iCs/>
                <w:sz w:val="22"/>
                <w:szCs w:val="22"/>
              </w:rPr>
              <w:t>.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Перечень точек учета и узлов (приборов) учета тепловой энергии (мощности) и (или) теплоносителя, и (или) горячей воды у Государственного заказчика (Потребителя).</w:t>
            </w:r>
          </w:p>
        </w:tc>
      </w:tr>
    </w:tbl>
    <w:p>
      <w:pPr>
        <w:pStyle w:val="Style18"/>
        <w:spacing w:lineRule="auto" w:line="240"/>
        <w:rPr>
          <w:rFonts w:ascii="Times New Roman" w:hAnsi="Times New Roman"/>
          <w:b/>
          <w:b/>
          <w:bCs/>
          <w:iCs/>
        </w:rPr>
      </w:pPr>
      <w:r>
        <w:rPr>
          <w:rFonts w:ascii="Times New Roman" w:hAnsi="Times New Roman"/>
          <w:b/>
          <w:bCs/>
          <w:iCs/>
        </w:rPr>
      </w:r>
    </w:p>
    <w:p>
      <w:pPr>
        <w:pStyle w:val="Style18"/>
        <w:numPr>
          <w:ilvl w:val="0"/>
          <w:numId w:val="18"/>
        </w:numPr>
        <w:spacing w:lineRule="auto" w:line="240"/>
        <w:jc w:val="center"/>
        <w:rPr>
          <w:rFonts w:ascii="Times New Roman" w:hAnsi="Times New Roman"/>
          <w:b/>
          <w:b/>
          <w:bCs/>
          <w:iCs/>
          <w:sz w:val="22"/>
          <w:szCs w:val="22"/>
        </w:rPr>
      </w:pPr>
      <w:r>
        <w:rPr>
          <w:rFonts w:ascii="Times New Roman" w:hAnsi="Times New Roman"/>
          <w:b/>
          <w:bCs/>
          <w:iCs/>
          <w:sz w:val="22"/>
          <w:szCs w:val="22"/>
        </w:rPr>
        <w:t xml:space="preserve">РЕКВИЗИТЫ СТОРОН ГОСУДАРСТВЕННОГО КОНТРАКТА ТЕПЛОСНАБЖЕНИЯ И ГОРЯЧЕГО ВОДОСНАБЖЕНИЯ </w:t>
      </w:r>
      <w:r>
        <w:rPr>
          <w:rFonts w:ascii="Times New Roman" w:hAnsi="Times New Roman"/>
          <w:b/>
          <w:bCs/>
          <w:iCs/>
          <w:color w:val="0000FF"/>
          <w:sz w:val="22"/>
          <w:szCs w:val="22"/>
        </w:rPr>
        <w:t>№ __________</w:t>
      </w:r>
      <w:r>
        <w:rPr>
          <w:rFonts w:ascii="Times New Roman" w:hAnsi="Times New Roman"/>
          <w:b/>
          <w:bCs/>
          <w:iCs/>
          <w:sz w:val="22"/>
          <w:szCs w:val="22"/>
        </w:rPr>
        <w:t xml:space="preserve"> </w:t>
      </w:r>
      <w:r>
        <w:rPr>
          <w:rFonts w:ascii="Times New Roman" w:hAnsi="Times New Roman"/>
          <w:b/>
          <w:iCs/>
          <w:sz w:val="22"/>
          <w:szCs w:val="22"/>
        </w:rPr>
        <w:t>от «____»_____________20__г.</w:t>
      </w:r>
    </w:p>
    <w:tbl>
      <w:tblPr>
        <w:tblW w:w="9889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4608"/>
        <w:gridCol w:w="5280"/>
      </w:tblGrid>
      <w:tr>
        <w:trPr>
          <w:trHeight w:val="841" w:hRule="atLeast"/>
        </w:trPr>
        <w:tc>
          <w:tcPr>
            <w:tcW w:w="4608" w:type="dxa"/>
            <w:tcBorders/>
            <w:shd w:fill="auto" w:val="clea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b/>
                <w:b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b/>
                <w:b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  <w:t>Теплоснабжающая организация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b/>
                <w:b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</w:r>
          </w:p>
          <w:p>
            <w:pPr>
              <w:pStyle w:val="Style18"/>
              <w:spacing w:lineRule="auto" w:line="240"/>
              <w:ind w:right="310" w:hanging="0"/>
              <w:rPr/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Публичное акционерное общество энергетики и электрификации «Камчатскэнерго»</w:t>
            </w:r>
          </w:p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683000, Камчатский край,</w:t>
            </w:r>
          </w:p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г. Петропавловск-Камчатский,</w:t>
            </w:r>
          </w:p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ул. Набережная, д. 10 </w:t>
            </w:r>
          </w:p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ИНН 4100000668</w:t>
            </w:r>
          </w:p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КПП 410101001 </w:t>
            </w:r>
          </w:p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КПП 775050001 поставлено на учет в качестве крупнейшего налогоплательщика с 08.02.2019</w:t>
            </w:r>
          </w:p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Код ОКТМО 30701000001</w:t>
            </w:r>
          </w:p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ОКПО 00106106</w:t>
            </w:r>
          </w:p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дата постановки на учет в ИФНС: 18.01.1994</w:t>
            </w:r>
          </w:p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ОО «Дальневосточный» в ФИЛИАЛ «ХАБАРОВСКИЙ»</w:t>
            </w:r>
          </w:p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АО «АЛЬФА-БАНК»</w:t>
            </w:r>
          </w:p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Р/счет  40702810020020005559</w:t>
              <w:tab/>
            </w:r>
          </w:p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К/счет  30101810800000000770</w:t>
            </w:r>
          </w:p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БИК  040813770</w:t>
            </w:r>
          </w:p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E-mail: </w:t>
            </w:r>
            <w:r>
              <w:rPr>
                <w:rStyle w:val="Style10"/>
                <w:rFonts w:ascii="Times New Roman" w:hAnsi="Times New Roman"/>
                <w:sz w:val="22"/>
                <w:szCs w:val="22"/>
              </w:rPr>
              <w:t>kamenergo@rushydro.ru</w:t>
            </w:r>
          </w:p>
          <w:p>
            <w:pPr>
              <w:pStyle w:val="Style18"/>
              <w:spacing w:lineRule="auto" w:line="240"/>
              <w:ind w:right="310" w:hanging="0"/>
              <w:jc w:val="left"/>
              <w:rPr>
                <w:rFonts w:ascii="Times New Roman" w:hAnsi="Times New Roman"/>
                <w:iCs/>
                <w:sz w:val="22"/>
                <w:szCs w:val="22"/>
              </w:rPr>
            </w:pPr>
            <w:bookmarkStart w:id="0" w:name="__DdeLink__1218_587274678"/>
            <w:r>
              <w:rPr>
                <w:rStyle w:val="Style10"/>
                <w:rFonts w:ascii="Times New Roman" w:hAnsi="Times New Roman"/>
                <w:b/>
                <w:iCs/>
                <w:color w:val="000000"/>
                <w:sz w:val="22"/>
                <w:szCs w:val="22"/>
              </w:rPr>
              <w:t xml:space="preserve">Официальный сайт ПАО «Камчатскэнерго»: </w:t>
            </w:r>
            <w:hyperlink r:id="rId7">
              <w:bookmarkEnd w:id="0"/>
              <w:r>
                <w:rPr>
                  <w:rStyle w:val="Style10"/>
                  <w:rFonts w:ascii="Times New Roman" w:hAnsi="Times New Roman"/>
                  <w:b/>
                  <w:iCs/>
                  <w:sz w:val="22"/>
                  <w:szCs w:val="22"/>
                </w:rPr>
                <w:t>www.kamenergo.ru</w:t>
              </w:r>
            </w:hyperlink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b/>
                <w:b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</w:r>
          </w:p>
        </w:tc>
        <w:tc>
          <w:tcPr>
            <w:tcW w:w="5280" w:type="dxa"/>
            <w:tcBorders/>
            <w:shd w:fill="auto" w:val="clea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b/>
                <w:b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b/>
                <w:b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  <w:t>Государственный заказчик (Потребитель)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b/>
                <w:b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</w:r>
          </w:p>
          <w:p>
            <w:pPr>
              <w:pStyle w:val="Style18"/>
              <w:spacing w:lineRule="auto" w:line="240"/>
              <w:rPr/>
            </w:pPr>
            <w:r>
              <w:rPr>
                <w:rFonts w:ascii="Times New Roman" w:hAnsi="Times New Roman"/>
                <w:iCs/>
                <w:color w:val="0000FF"/>
                <w:sz w:val="22"/>
                <w:szCs w:val="22"/>
              </w:rPr>
              <w:t>____________________________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Телефон__________________________________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Факс_____________________________________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Адрес электронной почты ___________________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ИНН/КПП_________________________________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ОКВЭД___________________________________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ОГРН____________________________________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Банк ____________________________________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_________________________________________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Р/счет ___________________________________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БИК ____________________________________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Режим налогообложения___________________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b/>
                <w:b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</w:r>
          </w:p>
        </w:tc>
      </w:tr>
      <w:tr>
        <w:trPr>
          <w:trHeight w:val="675" w:hRule="atLeast"/>
        </w:trPr>
        <w:tc>
          <w:tcPr>
            <w:tcW w:w="4608" w:type="dxa"/>
            <w:tcBorders/>
            <w:shd w:fill="auto" w:val="clea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 xml:space="preserve">_______________________________ 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м.п.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iCs/>
                <w:sz w:val="22"/>
                <w:szCs w:val="22"/>
              </w:rPr>
              <w:t>«___»______________20___года</w:t>
            </w:r>
          </w:p>
        </w:tc>
        <w:tc>
          <w:tcPr>
            <w:tcW w:w="5280" w:type="dxa"/>
            <w:tcBorders/>
            <w:shd w:fill="auto" w:val="clea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 xml:space="preserve">__________________________________________ 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iCs/>
                <w:sz w:val="22"/>
                <w:szCs w:val="22"/>
              </w:rPr>
              <w:t>м.п.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iCs/>
                <w:sz w:val="22"/>
                <w:szCs w:val="22"/>
              </w:rPr>
              <w:t>«___»_______________20___ года</w:t>
            </w:r>
          </w:p>
        </w:tc>
      </w:tr>
    </w:tbl>
    <w:p>
      <w:pPr>
        <w:pStyle w:val="Style18"/>
        <w:spacing w:lineRule="auto" w:line="240"/>
        <w:rPr>
          <w:rFonts w:ascii="Times New Roman" w:hAnsi="Times New Roman"/>
          <w:iCs/>
          <w:sz w:val="20"/>
        </w:rPr>
      </w:pPr>
      <w:r>
        <w:rPr>
          <w:rFonts w:ascii="Times New Roman" w:hAnsi="Times New Roman"/>
          <w:iCs/>
          <w:sz w:val="20"/>
        </w:rPr>
      </w:r>
    </w:p>
    <w:p>
      <w:pPr>
        <w:pStyle w:val="Style18"/>
        <w:spacing w:lineRule="auto" w:line="240"/>
        <w:rPr>
          <w:rFonts w:ascii="Times New Roman" w:hAnsi="Times New Roman"/>
          <w:iCs/>
          <w:sz w:val="20"/>
        </w:rPr>
      </w:pPr>
      <w:r>
        <w:rPr>
          <w:rFonts w:ascii="Times New Roman" w:hAnsi="Times New Roman"/>
          <w:iCs/>
          <w:sz w:val="20"/>
        </w:rPr>
      </w:r>
    </w:p>
    <w:p>
      <w:pPr>
        <w:pStyle w:val="Style18"/>
        <w:spacing w:lineRule="auto" w:line="240"/>
        <w:rPr>
          <w:rFonts w:ascii="Times New Roman" w:hAnsi="Times New Roman"/>
          <w:iCs/>
          <w:sz w:val="20"/>
        </w:rPr>
      </w:pPr>
      <w:r>
        <w:rPr>
          <w:rFonts w:ascii="Times New Roman" w:hAnsi="Times New Roman"/>
          <w:iCs/>
          <w:sz w:val="20"/>
        </w:rPr>
        <w:t xml:space="preserve">Исполнитель </w:t>
      </w:r>
    </w:p>
    <w:p>
      <w:pPr>
        <w:pStyle w:val="Normal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</w:r>
      <w:r>
        <w:br w:type="page"/>
      </w:r>
    </w:p>
    <w:p>
      <w:pPr>
        <w:pStyle w:val="Style18"/>
        <w:spacing w:lineRule="auto" w:line="240"/>
        <w:jc w:val="right"/>
        <w:rPr/>
      </w:pPr>
      <w:r>
        <w:rPr>
          <w:rFonts w:ascii="Times New Roman" w:hAnsi="Times New Roman"/>
          <w:b/>
          <w:iCs/>
          <w:sz w:val="22"/>
          <w:szCs w:val="22"/>
        </w:rPr>
        <w:t>Приложение № 5</w:t>
      </w:r>
    </w:p>
    <w:p>
      <w:pPr>
        <w:pStyle w:val="Style18"/>
        <w:spacing w:lineRule="auto" w:line="240"/>
        <w:jc w:val="right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>к государственному контракту</w:t>
      </w:r>
    </w:p>
    <w:p>
      <w:pPr>
        <w:pStyle w:val="Style18"/>
        <w:spacing w:lineRule="auto" w:line="240"/>
        <w:jc w:val="right"/>
        <w:rPr>
          <w:rFonts w:ascii="Times New Roman" w:hAnsi="Times New Roman"/>
          <w:b/>
          <w:b/>
          <w:iCs/>
          <w:sz w:val="22"/>
          <w:szCs w:val="22"/>
        </w:rPr>
      </w:pPr>
      <w:r>
        <w:rPr>
          <w:rFonts w:ascii="Times New Roman" w:hAnsi="Times New Roman"/>
          <w:b/>
          <w:iCs/>
          <w:sz w:val="22"/>
          <w:szCs w:val="22"/>
        </w:rPr>
        <w:t xml:space="preserve"> </w:t>
      </w:r>
      <w:r>
        <w:rPr>
          <w:rFonts w:ascii="Times New Roman" w:hAnsi="Times New Roman"/>
          <w:b/>
          <w:iCs/>
          <w:sz w:val="22"/>
          <w:szCs w:val="22"/>
        </w:rPr>
        <w:t>теплоснабжения и горячего водоснабжения</w:t>
      </w:r>
    </w:p>
    <w:p>
      <w:pPr>
        <w:pStyle w:val="Style18"/>
        <w:spacing w:lineRule="auto" w:line="240"/>
        <w:jc w:val="right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b/>
          <w:bCs/>
          <w:iCs/>
          <w:sz w:val="22"/>
          <w:szCs w:val="22"/>
        </w:rPr>
        <w:t>№ </w:t>
      </w:r>
      <w:r>
        <w:rPr>
          <w:rFonts w:ascii="Times New Roman" w:hAnsi="Times New Roman"/>
          <w:b/>
          <w:bCs/>
          <w:iCs/>
          <w:sz w:val="22"/>
          <w:szCs w:val="22"/>
        </w:rPr>
        <w:t xml:space="preserve">_____________ от </w:t>
      </w:r>
      <w:r>
        <w:rPr>
          <w:rFonts w:ascii="Times New Roman" w:hAnsi="Times New Roman"/>
          <w:b/>
          <w:iCs/>
          <w:sz w:val="22"/>
          <w:szCs w:val="22"/>
        </w:rPr>
        <w:t>«____»_____________20__г.</w:t>
      </w:r>
    </w:p>
    <w:p>
      <w:pPr>
        <w:pStyle w:val="Style18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</w:r>
    </w:p>
    <w:p>
      <w:pPr>
        <w:pStyle w:val="Style18"/>
        <w:spacing w:lineRule="auto" w:line="2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Список ответственных лиц и иная контактная информация</w:t>
      </w:r>
    </w:p>
    <w:p>
      <w:pPr>
        <w:pStyle w:val="Style18"/>
        <w:spacing w:lineRule="auto" w:line="240"/>
        <w:rPr/>
      </w:pPr>
      <w:r>
        <w:rPr>
          <w:rFonts w:ascii="Times New Roman" w:hAnsi="Times New Roman"/>
          <w:iCs/>
          <w:color w:val="0000FF"/>
        </w:rPr>
        <w:t xml:space="preserve">   </w:t>
      </w:r>
      <w:r>
        <w:rPr>
          <w:rFonts w:ascii="Times New Roman" w:hAnsi="Times New Roman"/>
          <w:iCs/>
          <w:color w:val="0000FF"/>
          <w:sz w:val="22"/>
          <w:szCs w:val="22"/>
        </w:rPr>
        <w:t xml:space="preserve">   </w:t>
      </w:r>
      <w:r>
        <w:rPr>
          <w:rFonts w:ascii="Times New Roman" w:hAnsi="Times New Roman"/>
          <w:iCs/>
          <w:sz w:val="22"/>
          <w:szCs w:val="22"/>
        </w:rPr>
        <w:t>ТСО</w:t>
      </w:r>
      <w:r>
        <w:rPr>
          <w:rFonts w:ascii="Times New Roman" w:hAnsi="Times New Roman"/>
          <w:iCs/>
          <w:color w:val="0000FF"/>
          <w:sz w:val="22"/>
          <w:szCs w:val="22"/>
        </w:rPr>
        <w:t>:</w:t>
      </w:r>
    </w:p>
    <w:tbl>
      <w:tblPr>
        <w:tblW w:w="9668" w:type="dxa"/>
        <w:jc w:val="left"/>
        <w:tblInd w:w="24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9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454"/>
        <w:gridCol w:w="3969"/>
        <w:gridCol w:w="5245"/>
      </w:tblGrid>
      <w:tr>
        <w:trPr/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Style18"/>
              <w:spacing w:lineRule="auto" w:line="240"/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Style18"/>
              <w:spacing w:lineRule="auto" w:line="240"/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Телефон</w:t>
            </w:r>
          </w:p>
        </w:tc>
      </w:tr>
      <w:tr>
        <w:trPr/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Style18"/>
              <w:spacing w:lineRule="auto" w:line="24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Начальник отдела реализации энергии корпоративным клиентам 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Style18"/>
              <w:spacing w:lineRule="auto" w:line="240"/>
              <w:jc w:val="left"/>
              <w:rPr/>
            </w:pPr>
            <w:r>
              <w:rPr>
                <w:rFonts w:ascii="Times New Roman" w:hAnsi="Times New Roman"/>
                <w:sz w:val="21"/>
                <w:szCs w:val="21"/>
              </w:rPr>
              <w:t>Петропавловское отделение: 8 (415 2) 29-49-45</w:t>
            </w:r>
          </w:p>
          <w:p>
            <w:pPr>
              <w:pStyle w:val="Style18"/>
              <w:spacing w:lineRule="auto" w:line="240"/>
              <w:jc w:val="left"/>
              <w:rPr/>
            </w:pPr>
            <w:r>
              <w:rPr>
                <w:rFonts w:ascii="Times New Roman" w:hAnsi="Times New Roman"/>
                <w:sz w:val="21"/>
                <w:szCs w:val="21"/>
              </w:rPr>
              <w:t>Елизовское отделение 8 (415 31) 6-12-69</w:t>
            </w:r>
          </w:p>
        </w:tc>
      </w:tr>
      <w:tr>
        <w:trPr/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Style18"/>
              <w:spacing w:lineRule="auto" w:line="240"/>
              <w:rPr>
                <w:rFonts w:ascii="Times New Roman" w:hAnsi="Times New Roman"/>
                <w:sz w:val="21"/>
                <w:szCs w:val="21"/>
              </w:rPr>
            </w:pPr>
            <w:bookmarkStart w:id="1" w:name="_GoBack"/>
            <w:bookmarkEnd w:id="1"/>
            <w:r>
              <w:rPr>
                <w:rFonts w:ascii="Times New Roman" w:hAnsi="Times New Roman"/>
                <w:sz w:val="21"/>
                <w:szCs w:val="21"/>
              </w:rPr>
              <w:t>Отдел реализации энергии корпоративным клиентам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Style18"/>
              <w:spacing w:lineRule="auto" w:line="240"/>
              <w:jc w:val="left"/>
              <w:rPr/>
            </w:pPr>
            <w:r>
              <w:rPr>
                <w:rFonts w:ascii="Times New Roman" w:hAnsi="Times New Roman"/>
                <w:sz w:val="21"/>
                <w:szCs w:val="21"/>
              </w:rPr>
              <w:t>Петропавловское отделение</w:t>
            </w:r>
          </w:p>
          <w:p>
            <w:pPr>
              <w:pStyle w:val="Style18"/>
              <w:spacing w:lineRule="auto" w:line="240"/>
              <w:jc w:val="left"/>
              <w:rPr/>
            </w:pPr>
            <w:r>
              <w:rPr>
                <w:rFonts w:ascii="Times New Roman" w:hAnsi="Times New Roman"/>
                <w:sz w:val="21"/>
                <w:szCs w:val="21"/>
              </w:rPr>
              <w:t>8 (415 2) 299-371; 299-407 (по первичным документам)</w:t>
            </w:r>
          </w:p>
          <w:p>
            <w:pPr>
              <w:pStyle w:val="Style18"/>
              <w:spacing w:lineRule="auto" w:line="240"/>
              <w:jc w:val="left"/>
              <w:rPr/>
            </w:pPr>
            <w:r>
              <w:rPr>
                <w:rFonts w:ascii="Times New Roman" w:hAnsi="Times New Roman"/>
                <w:sz w:val="21"/>
                <w:szCs w:val="21"/>
              </w:rPr>
              <w:t>8 (415 2) 299-306; 299-362; 298-135 (по расчетам)</w:t>
            </w:r>
          </w:p>
          <w:p>
            <w:pPr>
              <w:pStyle w:val="Style18"/>
              <w:spacing w:lineRule="auto" w:line="240"/>
              <w:jc w:val="left"/>
              <w:rPr/>
            </w:pPr>
            <w:r>
              <w:rPr>
                <w:rFonts w:ascii="Times New Roman" w:hAnsi="Times New Roman"/>
                <w:sz w:val="21"/>
                <w:szCs w:val="21"/>
              </w:rPr>
              <w:t>Елизовское отделение</w:t>
            </w:r>
          </w:p>
          <w:p>
            <w:pPr>
              <w:pStyle w:val="Style18"/>
              <w:spacing w:lineRule="auto" w:line="24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12529"/>
                <w:spacing w:val="0"/>
                <w:sz w:val="21"/>
                <w:szCs w:val="21"/>
              </w:rPr>
              <w:t>(41531) 6-14-30</w:t>
            </w:r>
          </w:p>
        </w:tc>
      </w:tr>
      <w:tr>
        <w:trPr/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Style18"/>
              <w:spacing w:lineRule="auto" w:line="24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Экономисты по договорной работе 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Style18"/>
              <w:spacing w:lineRule="auto" w:line="240"/>
              <w:jc w:val="left"/>
              <w:rPr/>
            </w:pPr>
            <w:r>
              <w:rPr>
                <w:rFonts w:ascii="Times New Roman" w:hAnsi="Times New Roman"/>
                <w:sz w:val="21"/>
                <w:szCs w:val="21"/>
              </w:rPr>
              <w:t>Петропавловское отделение</w:t>
            </w:r>
          </w:p>
          <w:p>
            <w:pPr>
              <w:pStyle w:val="Style18"/>
              <w:spacing w:lineRule="auto" w:line="240"/>
              <w:jc w:val="left"/>
              <w:rPr/>
            </w:pPr>
            <w:r>
              <w:rPr>
                <w:rFonts w:ascii="Times New Roman" w:hAnsi="Times New Roman"/>
                <w:sz w:val="21"/>
                <w:szCs w:val="21"/>
              </w:rPr>
              <w:t>8 (415 2) 29-49-05 (внебюджет)</w:t>
            </w:r>
          </w:p>
          <w:p>
            <w:pPr>
              <w:pStyle w:val="Style18"/>
              <w:spacing w:lineRule="auto" w:line="240"/>
              <w:jc w:val="left"/>
              <w:rPr/>
            </w:pPr>
            <w:r>
              <w:rPr>
                <w:rFonts w:ascii="Times New Roman" w:hAnsi="Times New Roman"/>
                <w:sz w:val="21"/>
                <w:szCs w:val="21"/>
              </w:rPr>
              <w:t>8 (415 2) 29-49-21 (бюджет)</w:t>
            </w:r>
          </w:p>
          <w:p>
            <w:pPr>
              <w:pStyle w:val="Style18"/>
              <w:spacing w:lineRule="auto" w:line="240"/>
              <w:jc w:val="left"/>
              <w:rPr/>
            </w:pPr>
            <w:r>
              <w:rPr>
                <w:rFonts w:ascii="Times New Roman" w:hAnsi="Times New Roman"/>
                <w:sz w:val="21"/>
                <w:szCs w:val="21"/>
              </w:rPr>
              <w:t>Елизовское отделение</w:t>
            </w:r>
          </w:p>
          <w:p>
            <w:pPr>
              <w:pStyle w:val="Style18"/>
              <w:spacing w:lineRule="auto" w:line="240"/>
              <w:jc w:val="left"/>
              <w:rPr/>
            </w:pPr>
            <w:r>
              <w:rPr>
                <w:rFonts w:ascii="Times New Roman" w:hAnsi="Times New Roman"/>
                <w:sz w:val="21"/>
                <w:szCs w:val="21"/>
              </w:rPr>
              <w:t>8(415 31) 6 25 10</w:t>
            </w:r>
          </w:p>
        </w:tc>
      </w:tr>
      <w:tr>
        <w:trPr/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Style18"/>
              <w:spacing w:lineRule="auto" w:line="24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Прием показаний приборов учета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Style18"/>
              <w:spacing w:lineRule="auto" w:line="240"/>
              <w:jc w:val="left"/>
              <w:rPr/>
            </w:pPr>
            <w:r>
              <w:rPr>
                <w:rFonts w:ascii="Times New Roman" w:hAnsi="Times New Roman"/>
                <w:sz w:val="21"/>
                <w:szCs w:val="21"/>
              </w:rPr>
              <w:t>Петропавловское отделение</w:t>
            </w:r>
          </w:p>
          <w:p>
            <w:pPr>
              <w:pStyle w:val="Style18"/>
              <w:spacing w:lineRule="auto" w:line="240"/>
              <w:jc w:val="left"/>
              <w:rPr/>
            </w:pPr>
            <w:r>
              <w:rPr>
                <w:rFonts w:ascii="Times New Roman" w:hAnsi="Times New Roman"/>
                <w:sz w:val="21"/>
                <w:szCs w:val="21"/>
              </w:rPr>
              <w:t xml:space="preserve">8 (415 2) 299-345 Дрогайцева Наталья Анатольевна </w:t>
            </w:r>
            <w:hyperlink r:id="rId8">
              <w:r>
                <w:rPr>
                  <w:rStyle w:val="Style10"/>
                  <w:rFonts w:ascii="Times New Roman" w:hAnsi="Times New Roman"/>
                  <w:sz w:val="21"/>
                  <w:szCs w:val="21"/>
                </w:rPr>
                <w:t>Drogaytseva_NА@kamch.dvec.ru</w:t>
              </w:r>
            </w:hyperlink>
          </w:p>
          <w:p>
            <w:pPr>
              <w:pStyle w:val="Style18"/>
              <w:spacing w:lineRule="auto" w:line="240"/>
              <w:jc w:val="left"/>
              <w:rPr/>
            </w:pPr>
            <w:r>
              <w:rPr>
                <w:rFonts w:ascii="Times New Roman" w:hAnsi="Times New Roman"/>
                <w:sz w:val="21"/>
                <w:szCs w:val="21"/>
              </w:rPr>
              <w:t xml:space="preserve">8 (415 2) 490-489 Мохова Наталья Витальевна  </w:t>
            </w:r>
            <w:hyperlink r:id="rId9">
              <w:r>
                <w:rPr>
                  <w:rStyle w:val="Style10"/>
                  <w:rFonts w:ascii="Times New Roman" w:hAnsi="Times New Roman"/>
                  <w:sz w:val="21"/>
                  <w:szCs w:val="21"/>
                </w:rPr>
                <w:t>Mokhova_NV@kamch.dvec.ru</w:t>
              </w:r>
            </w:hyperlink>
          </w:p>
          <w:p>
            <w:pPr>
              <w:pStyle w:val="Style18"/>
              <w:spacing w:lineRule="auto" w:line="240"/>
              <w:jc w:val="left"/>
              <w:rPr/>
            </w:pPr>
            <w:r>
              <w:rPr>
                <w:rFonts w:ascii="Times New Roman" w:hAnsi="Times New Roman"/>
                <w:sz w:val="21"/>
                <w:szCs w:val="21"/>
              </w:rPr>
              <w:t>Елизовское отделение</w:t>
            </w:r>
          </w:p>
          <w:p>
            <w:pPr>
              <w:pStyle w:val="Style18"/>
              <w:spacing w:lineRule="auto" w:line="240"/>
              <w:jc w:val="left"/>
              <w:rPr/>
            </w:pP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sz w:val="21"/>
                <w:szCs w:val="21"/>
              </w:rPr>
              <w:t>8 (415 31) 7-15-90 Балан Евгений Валерьевич</w:t>
            </w:r>
          </w:p>
          <w:p>
            <w:pPr>
              <w:pStyle w:val="Style18"/>
              <w:spacing w:lineRule="auto" w:line="240"/>
              <w:jc w:val="left"/>
              <w:rPr/>
            </w:pPr>
            <w:hyperlink r:id="rId10">
              <w:r>
                <w:rPr>
                  <w:rStyle w:val="Style10"/>
                  <w:rFonts w:eastAsia="Times New Roman" w:cs="Times New Roman" w:ascii="Times New Roman" w:hAnsi="Times New Roman"/>
                  <w:sz w:val="21"/>
                  <w:szCs w:val="21"/>
                  <w:lang w:val="ru-RU" w:eastAsia="ru-RU" w:bidi="ar-SA"/>
                </w:rPr>
                <w:t>Balan_EV@kamch.dvec.ru</w:t>
              </w:r>
            </w:hyperlink>
          </w:p>
        </w:tc>
      </w:tr>
      <w:tr>
        <w:trPr/>
        <w:tc>
          <w:tcPr>
            <w:tcW w:w="966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Style18"/>
              <w:spacing w:lineRule="auto" w:line="240" w:before="120" w:after="120"/>
              <w:jc w:val="center"/>
              <w:rPr/>
            </w:pPr>
            <w:r>
              <w:rPr>
                <w:rFonts w:ascii="Times New Roman" w:hAnsi="Times New Roman"/>
                <w:b/>
                <w:iCs/>
                <w:sz w:val="21"/>
                <w:szCs w:val="21"/>
              </w:rPr>
              <w:t>Диспетчерские службы сетевых организаций</w:t>
            </w:r>
          </w:p>
        </w:tc>
      </w:tr>
      <w:tr>
        <w:trPr/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  <w:t>Филиал Камчатские ТЭЦ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Style18"/>
              <w:spacing w:lineRule="auto" w:line="240"/>
              <w:jc w:val="left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8 (415 2) </w:t>
            </w:r>
            <w:r>
              <w:rPr>
                <w:rFonts w:ascii="Times New Roman" w:hAnsi="Times New Roman"/>
                <w:iCs/>
                <w:sz w:val="21"/>
                <w:szCs w:val="21"/>
              </w:rPr>
              <w:t xml:space="preserve">277-805; 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8 (415 2) </w:t>
            </w:r>
            <w:r>
              <w:rPr>
                <w:rFonts w:ascii="Times New Roman" w:hAnsi="Times New Roman"/>
                <w:iCs/>
                <w:sz w:val="21"/>
                <w:szCs w:val="21"/>
              </w:rPr>
              <w:t>277-806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pacing w:lineRule="auto" w:line="240"/>
              <w:ind w:left="34" w:hanging="0"/>
              <w:jc w:val="left"/>
              <w:outlineLvl w:val="3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адрес местонахождения: ул. Степная, д. 50, г. Петропавловск-Камчатский;</w:t>
            </w:r>
          </w:p>
        </w:tc>
      </w:tr>
      <w:tr>
        <w:trPr/>
        <w:tc>
          <w:tcPr>
            <w:tcW w:w="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  <w:t>Филиал «Коммунальная энергетика»</w:t>
            </w:r>
          </w:p>
        </w:tc>
        <w:tc>
          <w:tcPr>
            <w:tcW w:w="5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Style18"/>
              <w:spacing w:lineRule="auto" w:line="240"/>
              <w:jc w:val="left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8 (415 2) </w:t>
            </w:r>
            <w:r>
              <w:rPr>
                <w:rFonts w:ascii="Times New Roman" w:hAnsi="Times New Roman"/>
                <w:iCs/>
                <w:sz w:val="21"/>
                <w:szCs w:val="21"/>
              </w:rPr>
              <w:t xml:space="preserve">307-684, 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8 (415 2) </w:t>
            </w:r>
            <w:r>
              <w:rPr>
                <w:rFonts w:ascii="Times New Roman" w:hAnsi="Times New Roman"/>
                <w:iCs/>
                <w:sz w:val="21"/>
                <w:szCs w:val="21"/>
              </w:rPr>
              <w:t>307-865</w:t>
            </w:r>
          </w:p>
          <w:p>
            <w:pPr>
              <w:pStyle w:val="Style18"/>
              <w:spacing w:lineRule="auto" w:line="24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адрес местонахождения: ул. Набережная, д. 30, каб. 522,  г. Петропавловск-Камчатский;</w:t>
            </w:r>
          </w:p>
        </w:tc>
      </w:tr>
    </w:tbl>
    <w:p>
      <w:pPr>
        <w:pStyle w:val="Style18"/>
        <w:spacing w:lineRule="auto" w:line="240"/>
        <w:rPr>
          <w:rFonts w:ascii="Times New Roman" w:hAnsi="Times New Roman"/>
          <w:iCs/>
          <w:color w:val="0000FF"/>
        </w:rPr>
      </w:pPr>
      <w:r>
        <w:rPr>
          <w:rFonts w:ascii="Times New Roman" w:hAnsi="Times New Roman"/>
          <w:iCs/>
          <w:color w:val="0000FF"/>
        </w:rPr>
      </w:r>
    </w:p>
    <w:p>
      <w:pPr>
        <w:pStyle w:val="Style18"/>
        <w:spacing w:lineRule="auto" w:line="240"/>
        <w:rPr/>
      </w:pPr>
      <w:r>
        <w:rPr>
          <w:rFonts w:ascii="Times New Roman" w:hAnsi="Times New Roman"/>
          <w:iCs/>
          <w:color w:val="0000FF"/>
        </w:rPr>
        <w:t xml:space="preserve">   </w:t>
      </w:r>
      <w:r>
        <w:rPr>
          <w:rFonts w:ascii="Times New Roman" w:hAnsi="Times New Roman"/>
          <w:iCs/>
          <w:sz w:val="22"/>
          <w:szCs w:val="22"/>
        </w:rPr>
        <w:t>Потребитель:</w:t>
      </w:r>
    </w:p>
    <w:tbl>
      <w:tblPr>
        <w:tblW w:w="9668" w:type="dxa"/>
        <w:jc w:val="left"/>
        <w:tblInd w:w="24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9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31"/>
        <w:gridCol w:w="5420"/>
        <w:gridCol w:w="28"/>
        <w:gridCol w:w="3689"/>
      </w:tblGrid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</w:r>
          </w:p>
        </w:tc>
        <w:tc>
          <w:tcPr>
            <w:tcW w:w="5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both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ФИО уполномоченных должностных лиц, ответственных за выполнение условий договора</w:t>
            </w:r>
          </w:p>
        </w:tc>
        <w:tc>
          <w:tcPr>
            <w:tcW w:w="37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  <w:t>Телефон</w:t>
            </w:r>
          </w:p>
        </w:tc>
      </w:tr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  <w:t>1</w:t>
            </w:r>
          </w:p>
        </w:tc>
        <w:tc>
          <w:tcPr>
            <w:tcW w:w="5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outlineLvl w:val="3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</w:r>
          </w:p>
        </w:tc>
        <w:tc>
          <w:tcPr>
            <w:tcW w:w="37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</w:r>
          </w:p>
        </w:tc>
      </w:tr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  <w:t>2</w:t>
            </w:r>
          </w:p>
        </w:tc>
        <w:tc>
          <w:tcPr>
            <w:tcW w:w="5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outlineLvl w:val="3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</w:r>
          </w:p>
        </w:tc>
        <w:tc>
          <w:tcPr>
            <w:tcW w:w="37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</w:r>
          </w:p>
        </w:tc>
      </w:tr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  <w:t>3</w:t>
            </w:r>
          </w:p>
        </w:tc>
        <w:tc>
          <w:tcPr>
            <w:tcW w:w="5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outlineLvl w:val="3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</w:r>
          </w:p>
        </w:tc>
        <w:tc>
          <w:tcPr>
            <w:tcW w:w="371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Style18"/>
              <w:spacing w:lineRule="auto" w:line="240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</w:r>
          </w:p>
        </w:tc>
      </w:tr>
      <w:tr>
        <w:trPr/>
        <w:tc>
          <w:tcPr>
            <w:tcW w:w="966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Style18"/>
              <w:spacing w:lineRule="auto" w:line="240" w:before="120" w:after="120"/>
              <w:jc w:val="center"/>
              <w:rPr>
                <w:rFonts w:ascii="Times New Roman" w:hAnsi="Times New Roman"/>
                <w:iCs/>
                <w:sz w:val="21"/>
                <w:szCs w:val="21"/>
                <w:highlight w:val="yellow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  <w:t>Дополнительная информация:</w:t>
            </w:r>
          </w:p>
        </w:tc>
      </w:tr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Style18"/>
              <w:spacing w:lineRule="auto" w:line="240"/>
              <w:jc w:val="center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</w:r>
          </w:p>
          <w:p>
            <w:pPr>
              <w:pStyle w:val="Style18"/>
              <w:spacing w:lineRule="auto" w:line="240"/>
              <w:jc w:val="center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  <w:t>1</w:t>
            </w:r>
          </w:p>
          <w:p>
            <w:pPr>
              <w:pStyle w:val="Style18"/>
              <w:spacing w:lineRule="auto" w:line="240"/>
              <w:jc w:val="center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</w:r>
          </w:p>
        </w:tc>
        <w:tc>
          <w:tcPr>
            <w:tcW w:w="54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outlineLvl w:val="3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Номер мобильного телефона для направления уведомления о введении ограничения режима потребления:</w:t>
            </w:r>
          </w:p>
        </w:tc>
        <w:tc>
          <w:tcPr>
            <w:tcW w:w="3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jc w:val="center"/>
              <w:outlineLvl w:val="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Style18"/>
              <w:spacing w:lineRule="auto" w:line="240"/>
              <w:jc w:val="center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  <w:t>2</w:t>
            </w:r>
          </w:p>
        </w:tc>
        <w:tc>
          <w:tcPr>
            <w:tcW w:w="54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suppressAutoHyphens w:val="true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 xml:space="preserve">Адрес электронной почты для направления уведомления о введении ограничения режима потребления: </w:t>
            </w:r>
          </w:p>
        </w:tc>
        <w:tc>
          <w:tcPr>
            <w:tcW w:w="3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jc w:val="center"/>
              <w:outlineLvl w:val="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5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Style18"/>
              <w:spacing w:lineRule="auto" w:line="240"/>
              <w:jc w:val="center"/>
              <w:rPr>
                <w:rFonts w:ascii="Times New Roman" w:hAnsi="Times New Roman"/>
                <w:iCs/>
                <w:sz w:val="21"/>
                <w:szCs w:val="21"/>
              </w:rPr>
            </w:pPr>
            <w:r>
              <w:rPr>
                <w:rFonts w:ascii="Times New Roman" w:hAnsi="Times New Roman"/>
                <w:iCs/>
                <w:sz w:val="21"/>
                <w:szCs w:val="21"/>
              </w:rPr>
              <w:t>3</w:t>
            </w:r>
          </w:p>
        </w:tc>
        <w:tc>
          <w:tcPr>
            <w:tcW w:w="54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bottom"/>
          </w:tcPr>
          <w:p>
            <w:pPr>
              <w:pStyle w:val="Normal"/>
              <w:suppressAutoHyphens w:val="true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 электронной почты для направления платежных документов и иной переписки</w:t>
            </w:r>
          </w:p>
        </w:tc>
        <w:tc>
          <w:tcPr>
            <w:tcW w:w="36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  <w:vAlign w:val="center"/>
          </w:tcPr>
          <w:p>
            <w:pPr>
              <w:pStyle w:val="Style18"/>
              <w:spacing w:lineRule="auto" w:line="240"/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</w:tc>
      </w:tr>
      <w:tr>
        <w:trPr/>
        <w:tc>
          <w:tcPr>
            <w:tcW w:w="966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8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jc w:val="center"/>
              <w:outlineLvl w:val="3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 xml:space="preserve">Дополняется Потребителем </w:t>
            </w:r>
          </w:p>
        </w:tc>
      </w:tr>
    </w:tbl>
    <w:p>
      <w:pPr>
        <w:pStyle w:val="Style18"/>
        <w:spacing w:lineRule="auto" w:line="240"/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mc:AlternateContent>
          <mc:Choice Requires="wps">
            <w:drawing>
              <wp:anchor behindDoc="0" distT="0" distB="0" distL="114300" distR="114300" simplePos="0" locked="0" layoutInCell="1" allowOverlap="1" relativeHeight="2">
                <wp:simplePos x="0" y="0"/>
                <wp:positionH relativeFrom="margin">
                  <wp:posOffset>111760</wp:posOffset>
                </wp:positionH>
                <wp:positionV relativeFrom="paragraph">
                  <wp:posOffset>186055</wp:posOffset>
                </wp:positionV>
                <wp:extent cx="6134100" cy="948690"/>
                <wp:effectExtent l="0" t="0" r="0" b="0"/>
                <wp:wrapSquare wrapText="bothSides"/>
                <wp:docPr id="5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3320" cy="947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W w:w="9658" w:type="dxa"/>
                              <w:jc w:val="left"/>
                              <w:tblInd w:w="108" w:type="dxa"/>
                              <w:tblBorders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val="01e0" w:noVBand="0" w:noHBand="0" w:lastColumn="1" w:firstColumn="1" w:lastRow="1" w:firstRow="1"/>
                            </w:tblPr>
                            <w:tblGrid>
                              <w:gridCol w:w="4829"/>
                              <w:gridCol w:w="4828"/>
                            </w:tblGrid>
                            <w:tr>
                              <w:trPr>
                                <w:trHeight w:val="178" w:hRule="atLeast"/>
                              </w:trPr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Style18"/>
                                    <w:spacing w:lineRule="auto" w:line="240"/>
                                    <w:rPr>
                                      <w:color w:val="00000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iCs/>
                                      <w:color w:val="00000A"/>
                                      <w:sz w:val="22"/>
                                      <w:szCs w:val="22"/>
                                    </w:rPr>
                                    <w:t xml:space="preserve">                          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  <w:iCs/>
                                      <w:color w:val="00000A"/>
                                      <w:sz w:val="22"/>
                                      <w:szCs w:val="22"/>
                                    </w:rPr>
                                    <w:t>ТСО</w:t>
                                  </w:r>
                                </w:p>
                              </w:tc>
                              <w:tc>
                                <w:tcPr>
                                  <w:tcW w:w="4828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Style18"/>
                                    <w:spacing w:lineRule="auto" w:line="240"/>
                                    <w:rPr>
                                      <w:color w:val="00000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iCs/>
                                      <w:color w:val="00000A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iCs/>
                                      <w:color w:val="00000A"/>
                                      <w:sz w:val="22"/>
                                      <w:szCs w:val="22"/>
                                      <w:lang w:val="en-US"/>
                                    </w:rPr>
                                    <w:t>Государственный заказчик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iCs/>
                                      <w:color w:val="00000A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  <w:p>
                                  <w:pPr>
                                    <w:pStyle w:val="Style18"/>
                                    <w:spacing w:lineRule="auto" w:line="240"/>
                                    <w:rPr>
                                      <w:color w:val="00000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iCs/>
                                      <w:color w:val="00000A"/>
                                      <w:sz w:val="22"/>
                                      <w:szCs w:val="22"/>
                                    </w:rPr>
                                    <w:t xml:space="preserve">             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iCs/>
                                      <w:color w:val="00000A"/>
                                      <w:sz w:val="22"/>
                                      <w:szCs w:val="22"/>
                                    </w:rPr>
                                    <w:t>(Потребитель)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Style18"/>
                                    <w:spacing w:lineRule="auto" w:line="240"/>
                                    <w:rPr>
                                      <w:rFonts w:ascii="Times New Roman" w:hAnsi="Times New Roman"/>
                                      <w:iCs/>
                                      <w:color w:val="00000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iCs/>
                                      <w:color w:val="00000A"/>
                                      <w:sz w:val="22"/>
                                      <w:szCs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28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Style18"/>
                                    <w:spacing w:lineRule="auto" w:line="240"/>
                                    <w:rPr>
                                      <w:rFonts w:ascii="Times New Roman" w:hAnsi="Times New Roman"/>
                                      <w:iCs/>
                                      <w:color w:val="00000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iCs/>
                                      <w:color w:val="00000A"/>
                                      <w:sz w:val="22"/>
                                      <w:szCs w:val="22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Style18"/>
                                    <w:spacing w:lineRule="auto" w:line="240"/>
                                    <w:rPr>
                                      <w:color w:val="00000A"/>
                                    </w:rPr>
                                  </w:pPr>
                                  <w:bookmarkStart w:id="2" w:name="__UnoMark__3634_936806048"/>
                                  <w:bookmarkEnd w:id="2"/>
                                  <w:r>
                                    <w:rPr>
                                      <w:rFonts w:ascii="Times New Roman" w:hAnsi="Times New Roman"/>
                                      <w:bCs/>
                                      <w:iCs/>
                                      <w:color w:val="00000A"/>
                                      <w:sz w:val="22"/>
                                      <w:szCs w:val="22"/>
                                    </w:rPr>
                                    <w:t>______________________________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iCs/>
                                      <w:color w:val="00000A"/>
                                      <w:sz w:val="22"/>
                                      <w:szCs w:val="22"/>
                                    </w:rPr>
                                    <w:t xml:space="preserve">  </w:t>
                                  </w:r>
                                </w:p>
                                <w:p>
                                  <w:pPr>
                                    <w:pStyle w:val="Style18"/>
                                    <w:spacing w:lineRule="auto" w:line="240"/>
                                    <w:rPr>
                                      <w:color w:val="00000A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Cs/>
                                      <w:iCs/>
                                      <w:color w:val="00000A"/>
                                      <w:sz w:val="22"/>
                                      <w:szCs w:val="22"/>
                                    </w:rPr>
                                    <w:t xml:space="preserve">                            </w:t>
                                  </w:r>
                                  <w:bookmarkStart w:id="3" w:name="__UnoMark__3635_936806048"/>
                                  <w:bookmarkEnd w:id="3"/>
                                  <w:r>
                                    <w:rPr>
                                      <w:rFonts w:ascii="Times New Roman" w:hAnsi="Times New Roman"/>
                                      <w:bCs/>
                                      <w:iCs/>
                                      <w:color w:val="00000A"/>
                                      <w:sz w:val="22"/>
                                      <w:szCs w:val="22"/>
                                    </w:rPr>
                                    <w:t xml:space="preserve">м.п. </w:t>
                                  </w:r>
                                </w:p>
                              </w:tc>
                              <w:tc>
                                <w:tcPr>
                                  <w:tcW w:w="4828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Style18"/>
                                    <w:spacing w:lineRule="auto" w:line="240"/>
                                    <w:jc w:val="left"/>
                                    <w:rPr>
                                      <w:color w:val="00000A"/>
                                    </w:rPr>
                                  </w:pPr>
                                  <w:bookmarkStart w:id="4" w:name="__UnoMark__3636_936806048"/>
                                  <w:bookmarkEnd w:id="4"/>
                                  <w:r>
                                    <w:rPr>
                                      <w:rFonts w:ascii="Times New Roman" w:hAnsi="Times New Roman"/>
                                      <w:iCs/>
                                      <w:color w:val="00000A"/>
                                      <w:sz w:val="22"/>
                                      <w:szCs w:val="22"/>
                                    </w:rPr>
                                    <w:t>____________________________</w:t>
                                  </w:r>
                                  <w:r>
                                    <w:rPr>
                                      <w:rFonts w:ascii="Times New Roman" w:hAnsi="Times New Roman"/>
                                      <w:bCs/>
                                      <w:iCs/>
                                      <w:color w:val="00000A"/>
                                      <w:sz w:val="22"/>
                                      <w:szCs w:val="22"/>
                                    </w:rPr>
                                    <w:t xml:space="preserve">                       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Style2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stroked="f" style="position:absolute;margin-left:8.8pt;margin-top:14.65pt;width:482.9pt;height:74.6pt;mso-position-horizontal-relative:margin">
                <w10:wrap type="none"/>
                <v:fill o:detectmouseclick="t" on="false"/>
                <v:stroke color="#3465a4" joinstyle="round" endcap="flat"/>
                <v:textbox>
                  <w:txbxContent>
                    <w:tbl>
                      <w:tblPr>
                        <w:tblW w:w="9658" w:type="dxa"/>
                        <w:jc w:val="left"/>
                        <w:tblInd w:w="108" w:type="dxa"/>
                        <w:tblBorders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val="01e0" w:noVBand="0" w:noHBand="0" w:lastColumn="1" w:firstColumn="1" w:lastRow="1" w:firstRow="1"/>
                      </w:tblPr>
                      <w:tblGrid>
                        <w:gridCol w:w="4829"/>
                        <w:gridCol w:w="4828"/>
                      </w:tblGrid>
                      <w:tr>
                        <w:trPr>
                          <w:trHeight w:val="178" w:hRule="atLeast"/>
                        </w:trPr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Style18"/>
                              <w:spacing w:lineRule="auto" w:line="240"/>
                              <w:rPr>
                                <w:color w:val="00000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iCs/>
                                <w:color w:val="00000A"/>
                                <w:sz w:val="22"/>
                                <w:szCs w:val="22"/>
                              </w:rPr>
                              <w:t xml:space="preserve">                       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iCs/>
                                <w:color w:val="00000A"/>
                                <w:sz w:val="22"/>
                                <w:szCs w:val="22"/>
                              </w:rPr>
                              <w:t>ТСО</w:t>
                            </w:r>
                          </w:p>
                        </w:tc>
                        <w:tc>
                          <w:tcPr>
                            <w:tcW w:w="4828" w:type="dxa"/>
                            <w:tcBorders/>
                            <w:shd w:fill="auto" w:val="clear"/>
                          </w:tcPr>
                          <w:p>
                            <w:pPr>
                              <w:pStyle w:val="Style18"/>
                              <w:spacing w:lineRule="auto" w:line="240"/>
                              <w:rPr>
                                <w:color w:val="00000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color w:val="00000A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color w:val="00000A"/>
                                <w:sz w:val="22"/>
                                <w:szCs w:val="22"/>
                                <w:lang w:val="en-US"/>
                              </w:rPr>
                              <w:t>Государственный заказчик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color w:val="00000A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Style18"/>
                              <w:spacing w:lineRule="auto" w:line="240"/>
                              <w:rPr>
                                <w:color w:val="00000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color w:val="00000A"/>
                                <w:sz w:val="22"/>
                                <w:szCs w:val="22"/>
                              </w:rPr>
                              <w:t xml:space="preserve">          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color w:val="00000A"/>
                                <w:sz w:val="22"/>
                                <w:szCs w:val="22"/>
                              </w:rPr>
                              <w:t>(Потребитель)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Style18"/>
                              <w:spacing w:lineRule="auto" w:line="240"/>
                              <w:rPr>
                                <w:rFonts w:ascii="Times New Roman" w:hAnsi="Times New Roman"/>
                                <w:iCs/>
                                <w:color w:val="00000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Cs/>
                                <w:color w:val="00000A"/>
                                <w:sz w:val="22"/>
                                <w:szCs w:val="22"/>
                              </w:rPr>
                            </w:r>
                          </w:p>
                        </w:tc>
                        <w:tc>
                          <w:tcPr>
                            <w:tcW w:w="4828" w:type="dxa"/>
                            <w:tcBorders/>
                            <w:shd w:fill="auto" w:val="clear"/>
                          </w:tcPr>
                          <w:p>
                            <w:pPr>
                              <w:pStyle w:val="Style18"/>
                              <w:spacing w:lineRule="auto" w:line="240"/>
                              <w:rPr>
                                <w:rFonts w:ascii="Times New Roman" w:hAnsi="Times New Roman"/>
                                <w:iCs/>
                                <w:color w:val="00000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Cs/>
                                <w:color w:val="00000A"/>
                                <w:sz w:val="22"/>
                                <w:szCs w:val="22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Style18"/>
                              <w:spacing w:lineRule="auto" w:line="240"/>
                              <w:rPr>
                                <w:color w:val="00000A"/>
                              </w:rPr>
                            </w:pPr>
                            <w:bookmarkStart w:id="5" w:name="__UnoMark__3634_936806048"/>
                            <w:bookmarkEnd w:id="5"/>
                            <w:r>
                              <w:rPr>
                                <w:rFonts w:ascii="Times New Roman" w:hAnsi="Times New Roman"/>
                                <w:bCs/>
                                <w:iCs/>
                                <w:color w:val="00000A"/>
                                <w:sz w:val="22"/>
                                <w:szCs w:val="22"/>
                              </w:rPr>
                              <w:t>______________________________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iCs/>
                                <w:color w:val="00000A"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>
                            <w:pPr>
                              <w:pStyle w:val="Style18"/>
                              <w:spacing w:lineRule="auto" w:line="240"/>
                              <w:rPr>
                                <w:color w:val="00000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iCs/>
                                <w:color w:val="00000A"/>
                                <w:sz w:val="22"/>
                                <w:szCs w:val="22"/>
                              </w:rPr>
                              <w:t xml:space="preserve">                            </w:t>
                            </w:r>
                            <w:bookmarkStart w:id="6" w:name="__UnoMark__3635_936806048"/>
                            <w:bookmarkEnd w:id="6"/>
                            <w:r>
                              <w:rPr>
                                <w:rFonts w:ascii="Times New Roman" w:hAnsi="Times New Roman"/>
                                <w:bCs/>
                                <w:iCs/>
                                <w:color w:val="00000A"/>
                                <w:sz w:val="22"/>
                                <w:szCs w:val="22"/>
                              </w:rPr>
                              <w:t xml:space="preserve">м.п. </w:t>
                            </w:r>
                          </w:p>
                        </w:tc>
                        <w:tc>
                          <w:tcPr>
                            <w:tcW w:w="4828" w:type="dxa"/>
                            <w:tcBorders/>
                            <w:shd w:fill="auto" w:val="clear"/>
                          </w:tcPr>
                          <w:p>
                            <w:pPr>
                              <w:pStyle w:val="Style18"/>
                              <w:spacing w:lineRule="auto" w:line="240"/>
                              <w:jc w:val="left"/>
                              <w:rPr>
                                <w:color w:val="00000A"/>
                              </w:rPr>
                            </w:pPr>
                            <w:bookmarkStart w:id="7" w:name="__UnoMark__3636_936806048"/>
                            <w:bookmarkEnd w:id="7"/>
                            <w:r>
                              <w:rPr>
                                <w:rFonts w:ascii="Times New Roman" w:hAnsi="Times New Roman"/>
                                <w:iCs/>
                                <w:color w:val="00000A"/>
                                <w:sz w:val="22"/>
                                <w:szCs w:val="22"/>
                              </w:rPr>
                              <w:t>____________________________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iCs/>
                                <w:color w:val="00000A"/>
                                <w:sz w:val="22"/>
                                <w:szCs w:val="22"/>
                              </w:rPr>
                              <w:t xml:space="preserve">                       </w:t>
                            </w:r>
                          </w:p>
                        </w:tc>
                      </w:tr>
                    </w:tbl>
                    <w:p>
                      <w:pPr>
                        <w:pStyle w:val="Style2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18"/>
        <w:spacing w:lineRule="auto" w:line="240"/>
        <w:jc w:val="left"/>
        <w:rPr>
          <w:rFonts w:ascii="Times New Roman" w:hAnsi="Times New Roman"/>
          <w:iCs/>
          <w:sz w:val="20"/>
        </w:rPr>
      </w:pPr>
      <w:r>
        <w:rPr>
          <w:rFonts w:ascii="Times New Roman" w:hAnsi="Times New Roman"/>
          <w:iCs/>
          <w:sz w:val="20"/>
        </w:rPr>
      </w:r>
    </w:p>
    <w:p>
      <w:pPr>
        <w:sectPr>
          <w:footerReference w:type="default" r:id="rId11"/>
          <w:type w:val="nextPage"/>
          <w:pgSz w:w="11906" w:h="16838"/>
          <w:pgMar w:left="993" w:right="850" w:header="0" w:top="709" w:footer="268" w:bottom="1135" w:gutter="0"/>
          <w:pgNumType w:fmt="decimal"/>
          <w:formProt w:val="false"/>
          <w:titlePg/>
          <w:textDirection w:val="lrTb"/>
          <w:docGrid w:type="default" w:linePitch="272" w:charSpace="2047"/>
        </w:sectPr>
        <w:pStyle w:val="Style18"/>
        <w:spacing w:lineRule="auto" w:line="240"/>
        <w:jc w:val="left"/>
        <w:rPr>
          <w:rStyle w:val="Pagenumber"/>
        </w:rPr>
      </w:pPr>
      <w:r>
        <w:rPr/>
      </w:r>
    </w:p>
    <w:p>
      <w:pPr>
        <w:pStyle w:val="Normal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Приложение № 6 </w:t>
      </w:r>
    </w:p>
    <w:p>
      <w:pPr>
        <w:pStyle w:val="Normal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к государственному контракту</w:t>
      </w:r>
    </w:p>
    <w:p>
      <w:pPr>
        <w:pStyle w:val="Normal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теплоснабжения и горячего водоснабжения </w:t>
      </w:r>
    </w:p>
    <w:p>
      <w:pPr>
        <w:pStyle w:val="Normal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№ </w:t>
      </w:r>
      <w:r>
        <w:rPr>
          <w:rFonts w:ascii="Times New Roman" w:hAnsi="Times New Roman"/>
          <w:bCs/>
          <w:color w:val="0000FF"/>
          <w:sz w:val="22"/>
          <w:szCs w:val="22"/>
        </w:rPr>
        <w:t xml:space="preserve">_________ </w:t>
      </w:r>
      <w:r>
        <w:rPr>
          <w:rFonts w:ascii="Times New Roman" w:hAnsi="Times New Roman"/>
          <w:bCs/>
          <w:sz w:val="22"/>
          <w:szCs w:val="22"/>
        </w:rPr>
        <w:t>от _________</w:t>
      </w:r>
    </w:p>
    <w:p>
      <w:pPr>
        <w:pStyle w:val="Normal"/>
        <w:rPr>
          <w:rFonts w:ascii="Times New Roman" w:hAnsi="Times New Roman"/>
          <w:b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FF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Наименование Потребителя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color w:val="0000FF"/>
          <w:sz w:val="22"/>
          <w:szCs w:val="22"/>
        </w:rPr>
        <w:t>_____________________________________________________</w:t>
      </w:r>
    </w:p>
    <w:p>
      <w:pPr>
        <w:pStyle w:val="Normal"/>
        <w:tabs>
          <w:tab w:val="center" w:pos="4153" w:leader="none"/>
          <w:tab w:val="right" w:pos="8306" w:leader="none"/>
        </w:tabs>
        <w:rPr>
          <w:rFonts w:ascii="Times New Roman" w:hAnsi="Times New Roman"/>
          <w:b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</w:r>
    </w:p>
    <w:tbl>
      <w:tblPr>
        <w:tblW w:w="15644" w:type="dxa"/>
        <w:jc w:val="left"/>
        <w:tblInd w:w="109" w:type="dxa"/>
        <w:tblBorders>
          <w:bottom w:val="single" w:sz="4" w:space="0" w:color="00000A"/>
          <w:insideH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51"/>
        <w:gridCol w:w="974"/>
        <w:gridCol w:w="1227"/>
        <w:gridCol w:w="475"/>
        <w:gridCol w:w="1418"/>
        <w:gridCol w:w="1276"/>
        <w:gridCol w:w="1134"/>
        <w:gridCol w:w="1134"/>
        <w:gridCol w:w="1321"/>
        <w:gridCol w:w="1"/>
        <w:gridCol w:w="1796"/>
        <w:gridCol w:w="3"/>
        <w:gridCol w:w="1698"/>
        <w:gridCol w:w="1"/>
        <w:gridCol w:w="2"/>
        <w:gridCol w:w="1165"/>
        <w:gridCol w:w="2"/>
        <w:gridCol w:w="2"/>
        <w:gridCol w:w="1163"/>
      </w:tblGrid>
      <w:tr>
        <w:trPr>
          <w:trHeight w:val="270" w:hRule="atLeast"/>
        </w:trPr>
        <w:tc>
          <w:tcPr>
            <w:tcW w:w="851" w:type="dxa"/>
            <w:tcBorders>
              <w:bottom w:val="single" w:sz="4" w:space="0" w:color="00000A"/>
              <w:insideH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  <w:tc>
          <w:tcPr>
            <w:tcW w:w="2201" w:type="dxa"/>
            <w:gridSpan w:val="2"/>
            <w:tcBorders>
              <w:bottom w:val="single" w:sz="4" w:space="0" w:color="00000A"/>
              <w:insideH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  <w:tc>
          <w:tcPr>
            <w:tcW w:w="475" w:type="dxa"/>
            <w:tcBorders>
              <w:bottom w:val="single" w:sz="4" w:space="0" w:color="00000A"/>
              <w:insideH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  <w:tc>
          <w:tcPr>
            <w:tcW w:w="12116" w:type="dxa"/>
            <w:gridSpan w:val="15"/>
            <w:tcBorders>
              <w:bottom w:val="single" w:sz="4" w:space="0" w:color="00000A"/>
              <w:insideH w:val="single" w:sz="4" w:space="0" w:color="00000A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 </w:t>
            </w:r>
          </w:p>
        </w:tc>
      </w:tr>
      <w:tr>
        <w:trPr>
          <w:trHeight w:val="420" w:hRule="atLeast"/>
        </w:trPr>
        <w:tc>
          <w:tcPr>
            <w:tcW w:w="15643" w:type="dxa"/>
            <w:gridSpan w:val="1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Перечень точек учета и узлов (приборов) учета тепловой энергии (мощности) и (или) теплоносителя, и (или) горячей воды у Потребителя</w:t>
            </w:r>
          </w:p>
        </w:tc>
      </w:tr>
      <w:tr>
        <w:trPr>
          <w:trHeight w:val="360" w:hRule="atLeast"/>
        </w:trPr>
        <w:tc>
          <w:tcPr>
            <w:tcW w:w="851" w:type="dxa"/>
            <w:vMerge w:val="restar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34" w:firstLine="680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ТМ или ЦТП или РТС</w:t>
            </w:r>
          </w:p>
        </w:tc>
        <w:tc>
          <w:tcPr>
            <w:tcW w:w="974" w:type="dxa"/>
            <w:vMerge w:val="restar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firstLine="17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  <w:r>
              <w:rPr>
                <w:rFonts w:ascii="Times New Roman" w:hAnsi="Times New Roman"/>
                <w:b/>
                <w:bCs/>
              </w:rPr>
              <w:t>дог/приложения</w:t>
            </w:r>
          </w:p>
        </w:tc>
        <w:tc>
          <w:tcPr>
            <w:tcW w:w="1702" w:type="dxa"/>
            <w:gridSpan w:val="2"/>
            <w:vMerge w:val="restar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34" w:hanging="0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Адрес строения потребителя</w:t>
            </w:r>
          </w:p>
        </w:tc>
        <w:tc>
          <w:tcPr>
            <w:tcW w:w="628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Вид прибора</w:t>
            </w:r>
          </w:p>
        </w:tc>
        <w:tc>
          <w:tcPr>
            <w:tcW w:w="17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70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169" w:type="dxa"/>
            <w:gridSpan w:val="3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  <w:vAlign w:val="center"/>
          </w:tcPr>
          <w:p>
            <w:pPr>
              <w:pStyle w:val="Normal"/>
              <w:ind w:left="34" w:hanging="0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Дата текущей поверки</w:t>
            </w:r>
          </w:p>
        </w:tc>
        <w:tc>
          <w:tcPr>
            <w:tcW w:w="1163" w:type="dxa"/>
            <w:vMerge w:val="restart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Дата следующ. поверки</w:t>
            </w:r>
          </w:p>
        </w:tc>
      </w:tr>
      <w:tr>
        <w:trPr>
          <w:trHeight w:val="345" w:hRule="atLeast"/>
        </w:trPr>
        <w:tc>
          <w:tcPr>
            <w:tcW w:w="851" w:type="dxa"/>
            <w:vMerge w:val="continue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974" w:type="dxa"/>
            <w:vMerge w:val="continue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702" w:type="dxa"/>
            <w:gridSpan w:val="2"/>
            <w:vMerge w:val="continue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38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Отопление</w:t>
            </w:r>
          </w:p>
        </w:tc>
        <w:tc>
          <w:tcPr>
            <w:tcW w:w="245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ГВС/Водоразбор</w:t>
            </w:r>
          </w:p>
        </w:tc>
        <w:tc>
          <w:tcPr>
            <w:tcW w:w="17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7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169" w:type="dxa"/>
            <w:gridSpan w:val="3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165" w:type="dxa"/>
            <w:gridSpan w:val="2"/>
            <w:vMerge w:val="continue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>
          <w:trHeight w:val="270" w:hRule="atLeast"/>
        </w:trPr>
        <w:tc>
          <w:tcPr>
            <w:tcW w:w="851" w:type="dxa"/>
            <w:vMerge w:val="continue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974" w:type="dxa"/>
            <w:vMerge w:val="continue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702" w:type="dxa"/>
            <w:gridSpan w:val="2"/>
            <w:vMerge w:val="continue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41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  <w:vAlign w:val="center"/>
          </w:tcPr>
          <w:p>
            <w:pPr>
              <w:pStyle w:val="Normal"/>
              <w:ind w:left="34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Вычислитель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  <w:vAlign w:val="center"/>
          </w:tcPr>
          <w:p>
            <w:pPr>
              <w:pStyle w:val="Normal"/>
              <w:ind w:left="34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Водомер подача</w:t>
            </w:r>
          </w:p>
        </w:tc>
        <w:tc>
          <w:tcPr>
            <w:tcW w:w="113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  <w:vAlign w:val="center"/>
          </w:tcPr>
          <w:p>
            <w:pPr>
              <w:pStyle w:val="Normal"/>
              <w:ind w:left="33" w:hanging="3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Водомер обратка</w:t>
            </w:r>
          </w:p>
        </w:tc>
        <w:tc>
          <w:tcPr>
            <w:tcW w:w="113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  <w:vAlign w:val="center"/>
          </w:tcPr>
          <w:p>
            <w:pPr>
              <w:pStyle w:val="Normal"/>
              <w:ind w:left="33" w:hanging="3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Водомер подача</w:t>
            </w:r>
          </w:p>
        </w:tc>
        <w:tc>
          <w:tcPr>
            <w:tcW w:w="132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  <w:vAlign w:val="center"/>
          </w:tcPr>
          <w:p>
            <w:pPr>
              <w:pStyle w:val="Normal"/>
              <w:ind w:left="33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Водомер обратка</w:t>
            </w:r>
          </w:p>
        </w:tc>
        <w:tc>
          <w:tcPr>
            <w:tcW w:w="1797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  <w:vAlign w:val="center"/>
          </w:tcPr>
          <w:p>
            <w:pPr>
              <w:pStyle w:val="Normal"/>
              <w:ind w:left="-12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Термосопротивле-ние подача</w:t>
            </w:r>
          </w:p>
        </w:tc>
        <w:tc>
          <w:tcPr>
            <w:tcW w:w="1702" w:type="dxa"/>
            <w:gridSpan w:val="3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3" w:type="dxa"/>
            </w:tcMar>
            <w:vAlign w:val="center"/>
          </w:tcPr>
          <w:p>
            <w:pPr>
              <w:pStyle w:val="Normal"/>
              <w:ind w:left="34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Термосопротив-ление обратка</w:t>
            </w:r>
          </w:p>
        </w:tc>
        <w:tc>
          <w:tcPr>
            <w:tcW w:w="1169" w:type="dxa"/>
            <w:gridSpan w:val="3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165" w:type="dxa"/>
            <w:gridSpan w:val="2"/>
            <w:vMerge w:val="continue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>
          <w:trHeight w:val="345" w:hRule="atLeast"/>
        </w:trPr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97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702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7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2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97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02" w:type="dxa"/>
            <w:gridSpan w:val="3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69" w:type="dxa"/>
            <w:gridSpan w:val="3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165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>
          <w:trHeight w:val="325" w:hRule="atLeast"/>
        </w:trPr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-15" w:firstLine="15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17" w:hanging="17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0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ind w:left="34" w:hanging="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center"/>
          </w:tcPr>
          <w:p>
            <w:pPr>
              <w:pStyle w:val="Normal"/>
              <w:ind w:left="34" w:hanging="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center"/>
          </w:tcPr>
          <w:p>
            <w:pPr>
              <w:pStyle w:val="Normal"/>
              <w:ind w:left="33" w:hanging="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center"/>
          </w:tcPr>
          <w:p>
            <w:pPr>
              <w:pStyle w:val="Normal"/>
              <w:ind w:left="33" w:hanging="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3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center"/>
          </w:tcPr>
          <w:p>
            <w:pPr>
              <w:pStyle w:val="Normal"/>
              <w:ind w:left="33" w:hanging="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7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17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center"/>
          </w:tcPr>
          <w:p>
            <w:pPr>
              <w:pStyle w:val="Normal"/>
              <w:ind w:firstLine="34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16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center"/>
          </w:tcPr>
          <w:p>
            <w:pPr>
              <w:pStyle w:val="Normal"/>
              <w:ind w:left="34" w:hanging="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1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000000" w:fill="FFFFFF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12</w:t>
            </w:r>
          </w:p>
        </w:tc>
      </w:tr>
      <w:tr>
        <w:trPr>
          <w:trHeight w:val="450" w:hRule="atLeast"/>
        </w:trPr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bottom"/>
          </w:tcPr>
          <w:p>
            <w:pPr>
              <w:pStyle w:val="Normal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70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16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1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</w:tr>
      <w:tr>
        <w:trPr>
          <w:trHeight w:val="255" w:hRule="atLeast"/>
        </w:trPr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bottom"/>
          </w:tcPr>
          <w:p>
            <w:pPr>
              <w:pStyle w:val="Normal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70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16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1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bottom"/>
          </w:tcPr>
          <w:p>
            <w:pPr>
              <w:pStyle w:val="Normal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70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16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1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bottom"/>
          </w:tcPr>
          <w:p>
            <w:pPr>
              <w:pStyle w:val="Normal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70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16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1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bottom"/>
          </w:tcPr>
          <w:p>
            <w:pPr>
              <w:pStyle w:val="Normal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70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16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1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bottom"/>
          </w:tcPr>
          <w:p>
            <w:pPr>
              <w:pStyle w:val="Normal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70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16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1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bottom"/>
          </w:tcPr>
          <w:p>
            <w:pPr>
              <w:pStyle w:val="Normal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70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16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1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3" w:type="dxa"/>
            </w:tcMar>
            <w:vAlign w:val="bottom"/>
          </w:tcPr>
          <w:p>
            <w:pPr>
              <w:pStyle w:val="Normal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bottom"/>
          </w:tcPr>
          <w:p>
            <w:pPr>
              <w:pStyle w:val="Normal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70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  <w:tc>
          <w:tcPr>
            <w:tcW w:w="13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  <w:tc>
          <w:tcPr>
            <w:tcW w:w="179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  <w:tc>
          <w:tcPr>
            <w:tcW w:w="170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16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 </w:t>
            </w:r>
          </w:p>
        </w:tc>
        <w:tc>
          <w:tcPr>
            <w:tcW w:w="11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9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851" w:type="dxa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74" w:type="dxa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02" w:type="dxa"/>
            <w:gridSpan w:val="2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18" w:type="dxa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76" w:type="dxa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21" w:type="dxa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97" w:type="dxa"/>
            <w:gridSpan w:val="2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02" w:type="dxa"/>
            <w:gridSpan w:val="3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169" w:type="dxa"/>
            <w:gridSpan w:val="3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165" w:type="dxa"/>
            <w:gridSpan w:val="2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00" w:hRule="exact"/>
        </w:trPr>
        <w:tc>
          <w:tcPr>
            <w:tcW w:w="3527" w:type="dxa"/>
            <w:gridSpan w:val="4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418" w:type="dxa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76" w:type="dxa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21" w:type="dxa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97" w:type="dxa"/>
            <w:gridSpan w:val="2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02" w:type="dxa"/>
            <w:gridSpan w:val="3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169" w:type="dxa"/>
            <w:gridSpan w:val="3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165" w:type="dxa"/>
            <w:gridSpan w:val="2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6221" w:type="dxa"/>
            <w:gridSpan w:val="6"/>
            <w:vMerge w:val="restart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ind w:firstLine="34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Теплоснабжающая организация</w:t>
            </w:r>
            <w:r>
              <w:rPr>
                <w:rFonts w:ascii="Times New Roman" w:hAnsi="Times New Roman"/>
                <w:sz w:val="22"/>
                <w:szCs w:val="22"/>
              </w:rPr>
              <w:br/>
              <w:br/>
              <w:br/>
              <w:t xml:space="preserve">    _________________________ </w:t>
              <w:br/>
              <w:t xml:space="preserve">                          м.п.</w:t>
            </w:r>
          </w:p>
        </w:tc>
        <w:tc>
          <w:tcPr>
            <w:tcW w:w="7087" w:type="dxa"/>
            <w:gridSpan w:val="7"/>
            <w:vMerge w:val="restart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/>
              <w:jc w:val="center"/>
              <w:rPr>
                <w:rFonts w:ascii="Times New Roman" w:hAnsi="Times New Roman"/>
                <w:b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        </w:t>
            </w:r>
          </w:p>
          <w:p>
            <w:pPr>
              <w:pStyle w:val="Style18"/>
              <w:spacing w:lineRule="auto" w:line="240"/>
              <w:rPr>
                <w:rFonts w:ascii="Times New Roman" w:hAnsi="Times New Roman"/>
                <w:b/>
                <w:b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                                  </w:t>
            </w:r>
            <w:r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Государственный заказчик </w:t>
            </w:r>
          </w:p>
          <w:p>
            <w:pPr>
              <w:pStyle w:val="Normal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sz w:val="22"/>
                <w:szCs w:val="22"/>
              </w:rPr>
              <w:t>(Потребитель)</w:t>
            </w:r>
            <w:r>
              <w:rPr>
                <w:rFonts w:ascii="Times New Roman" w:hAnsi="Times New Roman"/>
                <w:sz w:val="22"/>
                <w:szCs w:val="22"/>
              </w:rPr>
              <w:br/>
              <w:br/>
              <w:t xml:space="preserve">_________________________  </w:t>
            </w:r>
          </w:p>
          <w:p>
            <w:pPr>
              <w:pStyle w:val="Normal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м.п.                    </w:t>
            </w:r>
          </w:p>
        </w:tc>
        <w:tc>
          <w:tcPr>
            <w:tcW w:w="1168" w:type="dxa"/>
            <w:gridSpan w:val="3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167" w:type="dxa"/>
            <w:gridSpan w:val="3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6221" w:type="dxa"/>
            <w:gridSpan w:val="6"/>
            <w:vMerge w:val="continue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7087" w:type="dxa"/>
            <w:gridSpan w:val="7"/>
            <w:vMerge w:val="continue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168" w:type="dxa"/>
            <w:gridSpan w:val="3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167" w:type="dxa"/>
            <w:gridSpan w:val="3"/>
            <w:tcBorders>
              <w:top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</w:tbl>
    <w:p>
      <w:pPr>
        <w:sectPr>
          <w:footerReference w:type="default" r:id="rId12"/>
          <w:type w:val="nextPage"/>
          <w:pgSz w:orient="landscape" w:w="16838" w:h="11906"/>
          <w:pgMar w:left="568" w:right="709" w:header="0" w:top="992" w:footer="126" w:bottom="849" w:gutter="0"/>
          <w:pgNumType w:start="1" w:fmt="decimal"/>
          <w:formProt w:val="false"/>
          <w:textDirection w:val="lrTb"/>
          <w:docGrid w:type="default" w:linePitch="272" w:charSpace="2047"/>
        </w:sectPr>
      </w:pPr>
    </w:p>
    <w:p>
      <w:pPr>
        <w:pStyle w:val="Style18"/>
        <w:spacing w:lineRule="auto" w:line="240"/>
        <w:jc w:val="left"/>
        <w:rPr/>
      </w:pPr>
      <w:r>
        <w:rPr/>
      </w:r>
    </w:p>
    <w:p>
      <w:pPr>
        <w:sectPr>
          <w:type w:val="continuous"/>
          <w:pgSz w:orient="landscape" w:w="16838" w:h="11906"/>
          <w:pgMar w:left="568" w:right="709" w:header="0" w:top="992" w:footer="126" w:bottom="849" w:gutter="0"/>
          <w:formProt w:val="false"/>
          <w:textDirection w:val="lrTb"/>
          <w:docGrid w:type="default" w:linePitch="272" w:charSpace="2047"/>
        </w:sectPr>
      </w:pPr>
    </w:p>
    <w:p>
      <w:pPr>
        <w:pStyle w:val="Normal"/>
        <w:rPr/>
      </w:pPr>
      <w:r>
        <w:rPr/>
      </w:r>
    </w:p>
    <w:p>
      <w:pPr>
        <w:sectPr>
          <w:type w:val="continuous"/>
          <w:pgSz w:orient="landscape" w:w="16838" w:h="11906"/>
          <w:pgMar w:left="568" w:right="709" w:header="0" w:top="992" w:footer="126" w:bottom="849" w:gutter="0"/>
          <w:formProt w:val="false"/>
          <w:textDirection w:val="lrTb"/>
          <w:docGrid w:type="default" w:linePitch="272" w:charSpace="2047"/>
        </w:sectPr>
      </w:pPr>
    </w:p>
    <w:p>
      <w:pPr>
        <w:pStyle w:val="Normal"/>
        <w:rPr/>
      </w:pPr>
      <w:r>
        <w:rPr/>
      </w:r>
    </w:p>
    <w:p>
      <w:pPr>
        <w:sectPr>
          <w:type w:val="continuous"/>
          <w:pgSz w:orient="landscape" w:w="16838" w:h="11906"/>
          <w:pgMar w:left="568" w:right="709" w:header="0" w:top="992" w:footer="126" w:bottom="849" w:gutter="0"/>
          <w:formProt w:val="false"/>
          <w:textDirection w:val="lrTb"/>
          <w:docGrid w:type="default" w:linePitch="272" w:charSpace="2047"/>
        </w:sectPr>
      </w:pPr>
    </w:p>
    <w:sectPr>
      <w:type w:val="continuous"/>
      <w:pgSz w:orient="landscape" w:w="16838" w:h="11906"/>
      <w:pgMar w:left="568" w:right="709" w:header="0" w:top="992" w:footer="126" w:bottom="849" w:gutter="0"/>
      <w:pgNumType w:fmt="decimal"/>
      <w:formProt w:val="false"/>
      <w:textDirection w:val="lrTb"/>
      <w:docGrid w:type="default" w:linePitch="272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Courier New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auto"/>
    <w:pitch w:val="default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2"/>
      <w:jc w:val="center"/>
      <w:rPr>
        <w:rFonts w:ascii="Times New Roman" w:hAnsi="Times New Roman"/>
        <w:i/>
        <w:i/>
        <w:sz w:val="16"/>
        <w:szCs w:val="16"/>
      </w:rPr>
    </w:pPr>
    <w:r>
      <w:rPr>
        <w:rFonts w:ascii="Times New Roman" w:hAnsi="Times New Roman"/>
        <w:i/>
        <w:sz w:val="16"/>
        <w:szCs w:val="16"/>
      </w:rPr>
      <w:t xml:space="preserve">ГОСУДАРСТВЕННЫЙ КОНТРАКТ теплоснабжения и горячего водоснабжения </w:t>
    </w:r>
  </w:p>
  <w:p>
    <w:pPr>
      <w:pStyle w:val="Style22"/>
      <w:tabs>
        <w:tab w:val="left" w:pos="1477" w:leader="none"/>
        <w:tab w:val="center" w:pos="4153" w:leader="none"/>
        <w:tab w:val="center" w:pos="4961" w:leader="none"/>
        <w:tab w:val="right" w:pos="8306" w:leader="none"/>
      </w:tabs>
      <w:spacing w:before="0" w:after="240"/>
      <w:jc w:val="center"/>
      <w:rPr/>
    </w:pPr>
    <w:r>
      <w:rPr>
        <w:rFonts w:ascii="Times New Roman" w:hAnsi="Times New Roman"/>
        <w:i/>
        <w:sz w:val="16"/>
        <w:szCs w:val="16"/>
      </w:rPr>
      <w:t>при открытой и закрытой системах теплоснабжения.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2"/>
      <w:jc w:val="center"/>
      <w:rPr/>
    </w:pPr>
    <w:r>
      <w:rPr>
        <w:rFonts w:ascii="Times New Roman" w:hAnsi="Times New Roman"/>
        <w:i/>
        <w:sz w:val="16"/>
        <w:szCs w:val="16"/>
      </w:rPr>
      <w:t xml:space="preserve">ГОСУДАРСТВЕННЫЙ КОНТРАКТ теплоснабжения и горячего водоснабжения </w:t>
    </w:r>
  </w:p>
  <w:p>
    <w:pPr>
      <w:pStyle w:val="Style22"/>
      <w:tabs>
        <w:tab w:val="left" w:pos="1477" w:leader="none"/>
        <w:tab w:val="center" w:pos="4153" w:leader="none"/>
        <w:tab w:val="center" w:pos="4961" w:leader="none"/>
        <w:tab w:val="right" w:pos="8306" w:leader="none"/>
      </w:tabs>
      <w:spacing w:before="0" w:after="240"/>
      <w:jc w:val="center"/>
      <w:rPr/>
    </w:pPr>
    <w:r>
      <w:rPr>
        <w:rFonts w:ascii="Times New Roman" w:hAnsi="Times New Roman"/>
        <w:i/>
        <w:sz w:val="16"/>
        <w:szCs w:val="16"/>
      </w:rPr>
      <w:t>при открытой и закрытой системах теплоснабжения.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4"/>
      <w:numFmt w:val="decimal"/>
      <w:lvlText w:val="%1."/>
      <w:lvlJc w:val="left"/>
      <w:pPr>
        <w:ind w:left="585" w:hanging="585"/>
      </w:pPr>
      <w:rPr>
        <w:sz w:val="22"/>
        <w:b/>
        <w:rFonts w:ascii="Times New Roman" w:hAnsi="Times New Roman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sz w:val="22"/>
        <w:i w:val="false"/>
        <w:b/>
        <w:rFonts w:ascii="Times New Roman" w:hAnsi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sz w:val="22"/>
        <w:b/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2">
    <w:lvl w:ilvl="0">
      <w:start w:val="2"/>
      <w:numFmt w:val="decimal"/>
      <w:lvlText w:val="%1."/>
      <w:lvlJc w:val="left"/>
      <w:pPr>
        <w:ind w:left="390" w:hanging="390"/>
      </w:pPr>
      <w:rPr>
        <w:sz w:val="22"/>
        <w:i w:val="false"/>
        <w:b/>
        <w:rFonts w:ascii="Times New Roman" w:hAnsi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sz w:val="22"/>
        <w:b/>
        <w:rFonts w:ascii="Times New Roman" w:hAnsi="Times New Roman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rFonts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5">
    <w:lvl w:ilvl="0">
      <w:start w:val="1"/>
      <w:numFmt w:val="bullet"/>
      <w:lvlText w:val=""/>
      <w:lvlJc w:val="left"/>
      <w:pPr>
        <w:ind w:left="585" w:hanging="585"/>
      </w:pPr>
      <w:rPr>
        <w:rFonts w:ascii="Symbol" w:hAnsi="Symbol" w:cs="Symbol" w:hint="default"/>
        <w:sz w:val="22"/>
        <w:b/>
        <w:rFonts w:cs="Symbol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i w:val="false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6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7"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2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2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10">
    <w:lvl w:ilvl="0">
      <w:start w:val="6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sz w:val="22"/>
        <w:b/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1"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2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12"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2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13"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sz w:val="22"/>
        <w:i w:val="false"/>
        <w:b/>
        <w:rFonts w:ascii="Times New Roman" w:hAnsi="Times New Roman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4"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2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15">
    <w:lvl w:ilvl="0">
      <w:start w:val="8"/>
      <w:numFmt w:val="decimal"/>
      <w:lvlText w:val="%1."/>
      <w:lvlJc w:val="left"/>
      <w:pPr>
        <w:ind w:left="360" w:hanging="360"/>
      </w:pPr>
      <w:rPr>
        <w:i w:val="fals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2"/>
        <w:i w:val="false"/>
        <w:b/>
        <w:rFonts w:ascii="Times New Roman" w:hAnsi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i w:val="false"/>
        <w:b w:val="fals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i w:val="fals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i w:val="fals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i w:val="fals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i w:val="fals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i w:val="fals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i w:val="false"/>
      </w:rPr>
    </w:lvl>
  </w:abstractNum>
  <w:abstractNum w:abstractNumId="16"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2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17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lvl w:ilvl="0">
      <w:start w:val="9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sz w:val="22"/>
        <w:b/>
        <w:rFonts w:ascii="Times New Roman" w:hAnsi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9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0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6265e"/>
    <w:pPr>
      <w:widowControl/>
      <w:bidi w:val="0"/>
      <w:jc w:val="left"/>
    </w:pPr>
    <w:rPr>
      <w:rFonts w:ascii="Arial" w:hAnsi="Arial" w:eastAsia="Times New Roman" w:cs="Times New Roman"/>
      <w:color w:val="00000A"/>
      <w:sz w:val="20"/>
      <w:szCs w:val="20"/>
      <w:lang w:val="ru-RU" w:eastAsia="ru-RU" w:bidi="ar-SA"/>
    </w:rPr>
  </w:style>
  <w:style w:type="paragraph" w:styleId="1">
    <w:name w:val="Heading 1"/>
    <w:basedOn w:val="Normal"/>
    <w:qFormat/>
    <w:rsid w:val="00f6265e"/>
    <w:pPr>
      <w:keepNext w:val="true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Normal"/>
    <w:link w:val="20"/>
    <w:qFormat/>
    <w:rsid w:val="00f6265e"/>
    <w:pPr>
      <w:keepNext w:val="true"/>
      <w:outlineLvl w:val="1"/>
    </w:pPr>
    <w:rPr>
      <w:rFonts w:ascii="Times New Roman" w:hAnsi="Times New Roman"/>
      <w:b/>
    </w:rPr>
  </w:style>
  <w:style w:type="paragraph" w:styleId="3">
    <w:name w:val="Heading 3"/>
    <w:basedOn w:val="Normal"/>
    <w:qFormat/>
    <w:rsid w:val="00f6265e"/>
    <w:pPr>
      <w:keepNext w:val="true"/>
      <w:outlineLvl w:val="2"/>
    </w:pPr>
    <w:rPr>
      <w:rFonts w:ascii="Times New Roman" w:hAnsi="Times New Roman"/>
      <w:b/>
      <w:sz w:val="24"/>
    </w:rPr>
  </w:style>
  <w:style w:type="paragraph" w:styleId="4">
    <w:name w:val="Heading 4"/>
    <w:basedOn w:val="Normal"/>
    <w:link w:val="40"/>
    <w:qFormat/>
    <w:rsid w:val="00f6265e"/>
    <w:pPr>
      <w:keepNext w:val="true"/>
      <w:jc w:val="center"/>
      <w:outlineLvl w:val="3"/>
    </w:pPr>
    <w:rPr>
      <w:rFonts w:ascii="Times New Roman" w:hAnsi="Times New Roman"/>
      <w:b/>
      <w:sz w:val="28"/>
    </w:rPr>
  </w:style>
  <w:style w:type="paragraph" w:styleId="5">
    <w:name w:val="Heading 5"/>
    <w:basedOn w:val="Normal"/>
    <w:qFormat/>
    <w:rsid w:val="00f6265e"/>
    <w:pPr>
      <w:keepNext w:val="true"/>
      <w:outlineLvl w:val="4"/>
    </w:pPr>
    <w:rPr>
      <w:rFonts w:ascii="Times New Roman" w:hAnsi="Times New Roman"/>
      <w:b/>
      <w:sz w:val="28"/>
    </w:rPr>
  </w:style>
  <w:style w:type="paragraph" w:styleId="6">
    <w:name w:val="Heading 6"/>
    <w:basedOn w:val="Normal"/>
    <w:qFormat/>
    <w:rsid w:val="00f6265e"/>
    <w:pPr>
      <w:keepNext w:val="true"/>
      <w:ind w:right="164" w:hanging="0"/>
      <w:outlineLvl w:val="5"/>
    </w:pPr>
    <w:rPr>
      <w:rFonts w:ascii="Times New Roman" w:hAnsi="Times New Roman"/>
      <w:b/>
      <w:bCs/>
      <w:sz w:val="24"/>
    </w:rPr>
  </w:style>
  <w:style w:type="paragraph" w:styleId="7">
    <w:name w:val="Heading 7"/>
    <w:basedOn w:val="Normal"/>
    <w:link w:val="70"/>
    <w:qFormat/>
    <w:rsid w:val="00f6265e"/>
    <w:pPr>
      <w:keepNext w:val="true"/>
      <w:ind w:left="360" w:right="254" w:hanging="0"/>
      <w:jc w:val="both"/>
      <w:outlineLvl w:val="6"/>
    </w:pPr>
    <w:rPr>
      <w:rFonts w:ascii="Times New Roman" w:hAnsi="Times New Roman"/>
      <w:bCs/>
      <w:sz w:val="24"/>
    </w:rPr>
  </w:style>
  <w:style w:type="paragraph" w:styleId="8">
    <w:name w:val="Heading 8"/>
    <w:basedOn w:val="Normal"/>
    <w:qFormat/>
    <w:rsid w:val="00f6265e"/>
    <w:pPr>
      <w:keepNext w:val="true"/>
      <w:spacing w:lineRule="atLeast" w:line="240"/>
      <w:ind w:left="360" w:right="226" w:hanging="0"/>
      <w:jc w:val="both"/>
      <w:outlineLvl w:val="7"/>
    </w:pPr>
    <w:rPr>
      <w:rFonts w:ascii="Times New Roman" w:hAnsi="Times New Roman"/>
      <w:i/>
      <w:iCs/>
      <w:sz w:val="26"/>
    </w:rPr>
  </w:style>
  <w:style w:type="paragraph" w:styleId="9">
    <w:name w:val="Heading 9"/>
    <w:basedOn w:val="Normal"/>
    <w:qFormat/>
    <w:rsid w:val="00f6265e"/>
    <w:pPr>
      <w:keepNext w:val="true"/>
      <w:spacing w:lineRule="atLeast" w:line="240"/>
      <w:ind w:left="360" w:right="226" w:hanging="0"/>
      <w:jc w:val="both"/>
      <w:outlineLvl w:val="8"/>
    </w:pPr>
    <w:rPr>
      <w:rFonts w:ascii="Times New Roman" w:hAnsi="Times New Roman"/>
      <w:b/>
      <w:bCs/>
      <w:i/>
      <w:iCs/>
      <w:sz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1" w:customStyle="1">
    <w:name w:val="Заголовок 2 Знак"/>
    <w:link w:val="2"/>
    <w:qFormat/>
    <w:rsid w:val="005c3842"/>
    <w:rPr>
      <w:b/>
    </w:rPr>
  </w:style>
  <w:style w:type="character" w:styleId="41" w:customStyle="1">
    <w:name w:val="Заголовок 4 Знак"/>
    <w:basedOn w:val="DefaultParagraphFont"/>
    <w:link w:val="4"/>
    <w:qFormat/>
    <w:rsid w:val="00e23f08"/>
    <w:rPr>
      <w:b/>
      <w:sz w:val="28"/>
    </w:rPr>
  </w:style>
  <w:style w:type="character" w:styleId="71" w:customStyle="1">
    <w:name w:val="Заголовок 7 Знак"/>
    <w:basedOn w:val="DefaultParagraphFont"/>
    <w:link w:val="7"/>
    <w:qFormat/>
    <w:rsid w:val="00e23f08"/>
    <w:rPr>
      <w:bCs/>
      <w:sz w:val="24"/>
    </w:rPr>
  </w:style>
  <w:style w:type="character" w:styleId="Style5" w:customStyle="1">
    <w:name w:val="Основной текст Знак"/>
    <w:basedOn w:val="DefaultParagraphFont"/>
    <w:link w:val="a3"/>
    <w:qFormat/>
    <w:rsid w:val="00e23f08"/>
    <w:rPr>
      <w:rFonts w:ascii="Arial" w:hAnsi="Arial"/>
      <w:sz w:val="24"/>
    </w:rPr>
  </w:style>
  <w:style w:type="character" w:styleId="Style6" w:customStyle="1">
    <w:name w:val="Нижний колонтитул Знак"/>
    <w:basedOn w:val="DefaultParagraphFont"/>
    <w:link w:val="a5"/>
    <w:uiPriority w:val="99"/>
    <w:qFormat/>
    <w:rsid w:val="00d95316"/>
    <w:rPr>
      <w:rFonts w:ascii="Arial" w:hAnsi="Arial"/>
    </w:rPr>
  </w:style>
  <w:style w:type="character" w:styleId="Pagenumber">
    <w:name w:val="page number"/>
    <w:basedOn w:val="DefaultParagraphFont"/>
    <w:qFormat/>
    <w:rsid w:val="00f6265e"/>
    <w:rPr/>
  </w:style>
  <w:style w:type="character" w:styleId="Style7" w:customStyle="1">
    <w:name w:val="Заголовок Знак"/>
    <w:link w:val="a8"/>
    <w:qFormat/>
    <w:rsid w:val="00b67169"/>
    <w:rPr>
      <w:b/>
      <w:sz w:val="28"/>
    </w:rPr>
  </w:style>
  <w:style w:type="character" w:styleId="Style8" w:customStyle="1">
    <w:name w:val="Верхний колонтитул Знак"/>
    <w:link w:val="ab"/>
    <w:qFormat/>
    <w:rsid w:val="00392288"/>
    <w:rPr/>
  </w:style>
  <w:style w:type="character" w:styleId="Style9" w:customStyle="1">
    <w:name w:val="Основной текст с отступом Знак"/>
    <w:link w:val="ad"/>
    <w:qFormat/>
    <w:rsid w:val="00c92584"/>
    <w:rPr>
      <w:sz w:val="24"/>
    </w:rPr>
  </w:style>
  <w:style w:type="character" w:styleId="Style10">
    <w:name w:val="Интернет-ссылка"/>
    <w:rsid w:val="00f6265e"/>
    <w:rPr>
      <w:color w:val="0000FF"/>
      <w:u w:val="single"/>
    </w:rPr>
  </w:style>
  <w:style w:type="character" w:styleId="Style11" w:customStyle="1">
    <w:name w:val="Текст выноски Знак"/>
    <w:link w:val="af2"/>
    <w:qFormat/>
    <w:rsid w:val="00d468b2"/>
    <w:rPr>
      <w:rFonts w:ascii="Tahoma" w:hAnsi="Tahoma" w:cs="Tahoma"/>
      <w:sz w:val="16"/>
      <w:szCs w:val="16"/>
    </w:rPr>
  </w:style>
  <w:style w:type="character" w:styleId="Style12" w:customStyle="1">
    <w:name w:val="Заголовок сообщения (текст)"/>
    <w:qFormat/>
    <w:rsid w:val="00b67169"/>
    <w:rPr>
      <w:rFonts w:ascii="Arial" w:hAnsi="Arial" w:cs="Arial"/>
      <w:b/>
      <w:bCs w:val="false"/>
      <w:spacing w:val="-4"/>
      <w:position w:val="0"/>
      <w:sz w:val="18"/>
      <w:sz w:val="18"/>
      <w:vertAlign w:val="baseline"/>
    </w:rPr>
  </w:style>
  <w:style w:type="character" w:styleId="13" w:customStyle="1">
    <w:name w:val="ТР_13_обычный Знак"/>
    <w:link w:val="13"/>
    <w:qFormat/>
    <w:rsid w:val="00e7692c"/>
    <w:rPr>
      <w:b w:val="false"/>
      <w:color w:val="421CE2"/>
      <w:sz w:val="26"/>
      <w:szCs w:val="26"/>
    </w:rPr>
  </w:style>
  <w:style w:type="character" w:styleId="131" w:customStyle="1">
    <w:name w:val="ТР_13_жирный Знак"/>
    <w:link w:val="131"/>
    <w:qFormat/>
    <w:rsid w:val="004e44ae"/>
    <w:rPr>
      <w:b/>
      <w:color w:val="421CE2"/>
      <w:sz w:val="26"/>
    </w:rPr>
  </w:style>
  <w:style w:type="character" w:styleId="12" w:customStyle="1">
    <w:name w:val="ТР_12_жир Знак"/>
    <w:link w:val="12"/>
    <w:qFormat/>
    <w:rsid w:val="004277ca"/>
    <w:rPr>
      <w:b/>
      <w:color w:val="421CE2"/>
      <w:sz w:val="24"/>
      <w:szCs w:val="24"/>
      <w:lang w:val="en-US"/>
    </w:rPr>
  </w:style>
  <w:style w:type="character" w:styleId="115" w:customStyle="1">
    <w:name w:val="Тр115_обычн Знак"/>
    <w:link w:val="115"/>
    <w:qFormat/>
    <w:rsid w:val="00c92584"/>
    <w:rPr>
      <w:color w:val="421CE2"/>
      <w:sz w:val="24"/>
    </w:rPr>
  </w:style>
  <w:style w:type="character" w:styleId="125" w:customStyle="1">
    <w:name w:val="Обычный125Жир Знак"/>
    <w:link w:val="125"/>
    <w:qFormat/>
    <w:rsid w:val="00571ab0"/>
    <w:rPr>
      <w:b/>
      <w:bCs/>
      <w:color w:val="0000FF"/>
      <w:sz w:val="25"/>
      <w:szCs w:val="25"/>
    </w:rPr>
  </w:style>
  <w:style w:type="character" w:styleId="121" w:customStyle="1">
    <w:name w:val="Об12жир Знак"/>
    <w:link w:val="122"/>
    <w:qFormat/>
    <w:locked/>
    <w:rsid w:val="001656a5"/>
    <w:rPr>
      <w:b/>
      <w:bCs/>
      <w:color w:val="0000FF"/>
      <w:sz w:val="24"/>
      <w:szCs w:val="24"/>
    </w:rPr>
  </w:style>
  <w:style w:type="character" w:styleId="132" w:customStyle="1">
    <w:name w:val="Об_13_Жир Знак"/>
    <w:link w:val="133"/>
    <w:qFormat/>
    <w:rsid w:val="00603da1"/>
    <w:rPr>
      <w:b/>
      <w:color w:val="0000FF"/>
      <w:sz w:val="26"/>
      <w:szCs w:val="26"/>
    </w:rPr>
  </w:style>
  <w:style w:type="character" w:styleId="22" w:customStyle="1">
    <w:name w:val="Основной текст с отступом 2 Знак"/>
    <w:basedOn w:val="DefaultParagraphFont"/>
    <w:link w:val="22"/>
    <w:qFormat/>
    <w:rsid w:val="005c3842"/>
    <w:rPr>
      <w:rFonts w:ascii="Arial" w:hAnsi="Arial"/>
    </w:rPr>
  </w:style>
  <w:style w:type="character" w:styleId="Style13" w:customStyle="1">
    <w:name w:val="Текст Знак"/>
    <w:basedOn w:val="DefaultParagraphFont"/>
    <w:link w:val="afa"/>
    <w:qFormat/>
    <w:rsid w:val="005c3842"/>
    <w:rPr>
      <w:rFonts w:ascii="Courier New" w:hAnsi="Courier New" w:cs="Courier New"/>
    </w:rPr>
  </w:style>
  <w:style w:type="character" w:styleId="11" w:customStyle="1">
    <w:name w:val="Стиль1_св-ва документа Знак"/>
    <w:link w:val="1-"/>
    <w:qFormat/>
    <w:rsid w:val="005c3842"/>
    <w:rPr>
      <w:b/>
      <w:bCs/>
      <w:sz w:val="25"/>
      <w:szCs w:val="25"/>
      <w:lang w:val="en-US"/>
    </w:rPr>
  </w:style>
  <w:style w:type="character" w:styleId="10" w:customStyle="1">
    <w:name w:val="ТР_10_Жир Знак"/>
    <w:link w:val="10"/>
    <w:qFormat/>
    <w:rsid w:val="005c3842"/>
    <w:rPr>
      <w:b/>
      <w:color w:val="0000FF"/>
    </w:rPr>
  </w:style>
  <w:style w:type="character" w:styleId="101" w:customStyle="1">
    <w:name w:val="ТР_10 Знак"/>
    <w:link w:val="101"/>
    <w:qFormat/>
    <w:rsid w:val="005c3842"/>
    <w:rPr>
      <w:color w:val="0000FF"/>
    </w:rPr>
  </w:style>
  <w:style w:type="character" w:styleId="102" w:customStyle="1">
    <w:name w:val="Тр_10_Жир Знак"/>
    <w:link w:val="103"/>
    <w:qFormat/>
    <w:rsid w:val="005c3842"/>
    <w:rPr>
      <w:b/>
      <w:color w:val="3333FF"/>
    </w:rPr>
  </w:style>
  <w:style w:type="character" w:styleId="Annotationreference">
    <w:name w:val="annotation reference"/>
    <w:qFormat/>
    <w:rsid w:val="005c3842"/>
    <w:rPr>
      <w:sz w:val="16"/>
      <w:szCs w:val="16"/>
    </w:rPr>
  </w:style>
  <w:style w:type="character" w:styleId="Style14" w:customStyle="1">
    <w:name w:val="Текст примечания Знак"/>
    <w:basedOn w:val="DefaultParagraphFont"/>
    <w:link w:val="afd"/>
    <w:qFormat/>
    <w:rsid w:val="005c3842"/>
    <w:rPr/>
  </w:style>
  <w:style w:type="character" w:styleId="Style15" w:customStyle="1">
    <w:name w:val="Тема примечания Знак"/>
    <w:basedOn w:val="Style14"/>
    <w:link w:val="aff"/>
    <w:qFormat/>
    <w:rsid w:val="005c3842"/>
    <w:rPr>
      <w:b/>
      <w:bCs/>
    </w:rPr>
  </w:style>
  <w:style w:type="character" w:styleId="Style16" w:customStyle="1">
    <w:name w:val="Основной текст_"/>
    <w:basedOn w:val="DefaultParagraphFont"/>
    <w:link w:val="14"/>
    <w:qFormat/>
    <w:rsid w:val="005c3842"/>
    <w:rPr>
      <w:spacing w:val="-2"/>
      <w:sz w:val="18"/>
      <w:szCs w:val="18"/>
      <w:shd w:fill="FFFFFF" w:val="clear"/>
    </w:rPr>
  </w:style>
  <w:style w:type="character" w:styleId="FollowedHyperlink">
    <w:name w:val="FollowedHyperlink"/>
    <w:basedOn w:val="DefaultParagraphFont"/>
    <w:semiHidden/>
    <w:unhideWhenUsed/>
    <w:qFormat/>
    <w:rsid w:val="00253125"/>
    <w:rPr>
      <w:color w:val="800080" w:themeColor="followedHyperlink"/>
      <w:u w:val="single"/>
    </w:rPr>
  </w:style>
  <w:style w:type="character" w:styleId="ListLabel1">
    <w:name w:val="ListLabel 1"/>
    <w:qFormat/>
    <w:rPr>
      <w:rFonts w:ascii="Times New Roman" w:hAnsi="Times New Roman"/>
      <w:b/>
      <w:sz w:val="22"/>
    </w:rPr>
  </w:style>
  <w:style w:type="character" w:styleId="ListLabel2">
    <w:name w:val="ListLabel 2"/>
    <w:qFormat/>
    <w:rPr>
      <w:rFonts w:ascii="Times New Roman" w:hAnsi="Times New Roman"/>
      <w:b/>
      <w:i w:val="false"/>
      <w:sz w:val="22"/>
    </w:rPr>
  </w:style>
  <w:style w:type="character" w:styleId="ListLabel3">
    <w:name w:val="ListLabel 3"/>
    <w:qFormat/>
    <w:rPr>
      <w:rFonts w:ascii="Times New Roman" w:hAnsi="Times New Roman"/>
      <w:b/>
      <w:sz w:val="22"/>
    </w:rPr>
  </w:style>
  <w:style w:type="character" w:styleId="ListLabel4">
    <w:name w:val="ListLabel 4"/>
    <w:qFormat/>
    <w:rPr>
      <w:rFonts w:ascii="Times New Roman" w:hAnsi="Times New Roman"/>
      <w:b/>
      <w:i w:val="false"/>
      <w:sz w:val="22"/>
    </w:rPr>
  </w:style>
  <w:style w:type="character" w:styleId="ListLabel5">
    <w:name w:val="ListLabel 5"/>
    <w:qFormat/>
    <w:rPr>
      <w:rFonts w:ascii="Times New Roman" w:hAnsi="Times New Roman"/>
      <w:b/>
      <w:sz w:val="22"/>
    </w:rPr>
  </w:style>
  <w:style w:type="character" w:styleId="ListLabel6">
    <w:name w:val="ListLabel 6"/>
    <w:qFormat/>
    <w:rPr>
      <w:b/>
    </w:rPr>
  </w:style>
  <w:style w:type="character" w:styleId="ListLabel7">
    <w:name w:val="ListLabel 7"/>
    <w:qFormat/>
    <w:rPr>
      <w:rFonts w:ascii="Times New Roman" w:hAnsi="Times New Roman" w:eastAsia="Times New Roman" w:cs="Times New Roman"/>
      <w:sz w:val="22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ascii="Times New Roman" w:hAnsi="Times New Roman"/>
      <w:b/>
      <w:sz w:val="22"/>
    </w:rPr>
  </w:style>
  <w:style w:type="character" w:styleId="ListLabel12">
    <w:name w:val="ListLabel 12"/>
    <w:qFormat/>
    <w:rPr>
      <w:b/>
      <w:i w:val="false"/>
    </w:rPr>
  </w:style>
  <w:style w:type="character" w:styleId="ListLabel13">
    <w:name w:val="ListLabel 13"/>
    <w:qFormat/>
    <w:rPr>
      <w:b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ascii="Times New Roman" w:hAnsi="Times New Roman"/>
      <w:b/>
      <w:sz w:val="22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ascii="Times New Roman" w:hAnsi="Times New Roman"/>
      <w:b/>
      <w:i w:val="false"/>
      <w:sz w:val="22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i w:val="false"/>
    </w:rPr>
  </w:style>
  <w:style w:type="character" w:styleId="ListLabel35">
    <w:name w:val="ListLabel 35"/>
    <w:qFormat/>
    <w:rPr>
      <w:rFonts w:ascii="Times New Roman" w:hAnsi="Times New Roman"/>
      <w:b/>
      <w:i w:val="false"/>
      <w:sz w:val="22"/>
    </w:rPr>
  </w:style>
  <w:style w:type="character" w:styleId="ListLabel36">
    <w:name w:val="ListLabel 36"/>
    <w:qFormat/>
    <w:rPr>
      <w:b w:val="false"/>
      <w:i w:val="false"/>
    </w:rPr>
  </w:style>
  <w:style w:type="character" w:styleId="ListLabel37">
    <w:name w:val="ListLabel 37"/>
    <w:qFormat/>
    <w:rPr>
      <w:i w:val="false"/>
    </w:rPr>
  </w:style>
  <w:style w:type="character" w:styleId="ListLabel38">
    <w:name w:val="ListLabel 38"/>
    <w:qFormat/>
    <w:rPr>
      <w:i w:val="false"/>
    </w:rPr>
  </w:style>
  <w:style w:type="character" w:styleId="ListLabel39">
    <w:name w:val="ListLabel 39"/>
    <w:qFormat/>
    <w:rPr>
      <w:i w:val="false"/>
    </w:rPr>
  </w:style>
  <w:style w:type="character" w:styleId="ListLabel40">
    <w:name w:val="ListLabel 40"/>
    <w:qFormat/>
    <w:rPr>
      <w:i w:val="false"/>
    </w:rPr>
  </w:style>
  <w:style w:type="character" w:styleId="ListLabel41">
    <w:name w:val="ListLabel 41"/>
    <w:qFormat/>
    <w:rPr>
      <w:i w:val="false"/>
    </w:rPr>
  </w:style>
  <w:style w:type="character" w:styleId="ListLabel42">
    <w:name w:val="ListLabel 42"/>
    <w:qFormat/>
    <w:rPr>
      <w:i w:val="false"/>
    </w:rPr>
  </w:style>
  <w:style w:type="character" w:styleId="ListLabel43">
    <w:name w:val="ListLabel 43"/>
    <w:qFormat/>
    <w:rPr>
      <w:rFonts w:cs="Courier New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Courier New"/>
    </w:rPr>
  </w:style>
  <w:style w:type="character" w:styleId="ListLabel46">
    <w:name w:val="ListLabel 46"/>
    <w:qFormat/>
    <w:rPr>
      <w:rFonts w:ascii="Times New Roman" w:hAnsi="Times New Roman"/>
      <w:b/>
      <w:sz w:val="22"/>
    </w:rPr>
  </w:style>
  <w:style w:type="character" w:styleId="ListLabel47">
    <w:name w:val="ListLabel 47"/>
    <w:qFormat/>
    <w:rPr>
      <w:b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Courier New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Courier New"/>
    </w:rPr>
  </w:style>
  <w:style w:type="character" w:styleId="ListLabel52">
    <w:name w:val="ListLabel 52"/>
    <w:qFormat/>
    <w:rPr>
      <w:rFonts w:cs="Courier New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ascii="Times New Roman" w:hAnsi="Times New Roman"/>
      <w:b/>
      <w:sz w:val="22"/>
    </w:rPr>
  </w:style>
  <w:style w:type="character" w:styleId="ListLabel55">
    <w:name w:val="ListLabel 55"/>
    <w:qFormat/>
    <w:rPr>
      <w:rFonts w:ascii="Times New Roman" w:hAnsi="Times New Roman"/>
      <w:b/>
      <w:i w:val="false"/>
      <w:sz w:val="22"/>
    </w:rPr>
  </w:style>
  <w:style w:type="character" w:styleId="ListLabel56">
    <w:name w:val="ListLabel 56"/>
    <w:qFormat/>
    <w:rPr>
      <w:rFonts w:ascii="Times New Roman" w:hAnsi="Times New Roman"/>
      <w:b/>
      <w:sz w:val="22"/>
    </w:rPr>
  </w:style>
  <w:style w:type="character" w:styleId="ListLabel57">
    <w:name w:val="ListLabel 57"/>
    <w:qFormat/>
    <w:rPr>
      <w:rFonts w:ascii="Times New Roman" w:hAnsi="Times New Roman"/>
      <w:b/>
      <w:i w:val="false"/>
      <w:sz w:val="22"/>
    </w:rPr>
  </w:style>
  <w:style w:type="character" w:styleId="ListLabel58">
    <w:name w:val="ListLabel 58"/>
    <w:qFormat/>
    <w:rPr>
      <w:rFonts w:ascii="Times New Roman" w:hAnsi="Times New Roman"/>
      <w:b/>
      <w:sz w:val="22"/>
    </w:rPr>
  </w:style>
  <w:style w:type="character" w:styleId="ListLabel59">
    <w:name w:val="ListLabel 59"/>
    <w:qFormat/>
    <w:rPr>
      <w:b/>
    </w:rPr>
  </w:style>
  <w:style w:type="character" w:styleId="ListLabel60">
    <w:name w:val="ListLabel 60"/>
    <w:qFormat/>
    <w:rPr>
      <w:rFonts w:ascii="Times New Roman" w:hAnsi="Times New Roman" w:cs="Times New Roman"/>
      <w:sz w:val="22"/>
    </w:rPr>
  </w:style>
  <w:style w:type="character" w:styleId="ListLabel61">
    <w:name w:val="ListLabel 61"/>
    <w:qFormat/>
    <w:rPr>
      <w:rFonts w:cs="Courier New"/>
    </w:rPr>
  </w:style>
  <w:style w:type="character" w:styleId="ListLabel62">
    <w:name w:val="ListLabel 62"/>
    <w:qFormat/>
    <w:rPr>
      <w:rFonts w:cs="Wingdings"/>
    </w:rPr>
  </w:style>
  <w:style w:type="character" w:styleId="ListLabel63">
    <w:name w:val="ListLabel 63"/>
    <w:qFormat/>
    <w:rPr>
      <w:rFonts w:cs="Symbol"/>
    </w:rPr>
  </w:style>
  <w:style w:type="character" w:styleId="ListLabel64">
    <w:name w:val="ListLabel 64"/>
    <w:qFormat/>
    <w:rPr>
      <w:rFonts w:cs="Courier New"/>
    </w:rPr>
  </w:style>
  <w:style w:type="character" w:styleId="ListLabel65">
    <w:name w:val="ListLabel 65"/>
    <w:qFormat/>
    <w:rPr>
      <w:rFonts w:cs="Wingdings"/>
    </w:rPr>
  </w:style>
  <w:style w:type="character" w:styleId="ListLabel66">
    <w:name w:val="ListLabel 66"/>
    <w:qFormat/>
    <w:rPr>
      <w:rFonts w:cs="Symbol"/>
    </w:rPr>
  </w:style>
  <w:style w:type="character" w:styleId="ListLabel67">
    <w:name w:val="ListLabel 67"/>
    <w:qFormat/>
    <w:rPr>
      <w:rFonts w:cs="Courier New"/>
    </w:rPr>
  </w:style>
  <w:style w:type="character" w:styleId="ListLabel68">
    <w:name w:val="ListLabel 68"/>
    <w:qFormat/>
    <w:rPr>
      <w:rFonts w:cs="Wingdings"/>
    </w:rPr>
  </w:style>
  <w:style w:type="character" w:styleId="ListLabel69">
    <w:name w:val="ListLabel 69"/>
    <w:qFormat/>
    <w:rPr>
      <w:rFonts w:ascii="Times New Roman" w:hAnsi="Times New Roman" w:cs="Symbol"/>
      <w:b/>
      <w:sz w:val="22"/>
    </w:rPr>
  </w:style>
  <w:style w:type="character" w:styleId="ListLabel70">
    <w:name w:val="ListLabel 70"/>
    <w:qFormat/>
    <w:rPr>
      <w:b/>
      <w:i w:val="false"/>
    </w:rPr>
  </w:style>
  <w:style w:type="character" w:styleId="ListLabel71">
    <w:name w:val="ListLabel 71"/>
    <w:qFormat/>
    <w:rPr>
      <w:b/>
    </w:rPr>
  </w:style>
  <w:style w:type="character" w:styleId="ListLabel72">
    <w:name w:val="ListLabel 72"/>
    <w:qFormat/>
    <w:rPr>
      <w:rFonts w:ascii="Times New Roman" w:hAnsi="Times New Roman" w:cs="Symbol"/>
      <w:sz w:val="22"/>
    </w:rPr>
  </w:style>
  <w:style w:type="character" w:styleId="ListLabel73">
    <w:name w:val="ListLabel 73"/>
    <w:qFormat/>
    <w:rPr>
      <w:rFonts w:cs="Courier New"/>
    </w:rPr>
  </w:style>
  <w:style w:type="character" w:styleId="ListLabel74">
    <w:name w:val="ListLabel 74"/>
    <w:qFormat/>
    <w:rPr>
      <w:rFonts w:cs="Wingdings"/>
    </w:rPr>
  </w:style>
  <w:style w:type="character" w:styleId="ListLabel75">
    <w:name w:val="ListLabel 75"/>
    <w:qFormat/>
    <w:rPr>
      <w:rFonts w:cs="Symbol"/>
    </w:rPr>
  </w:style>
  <w:style w:type="character" w:styleId="ListLabel76">
    <w:name w:val="ListLabel 76"/>
    <w:qFormat/>
    <w:rPr>
      <w:rFonts w:cs="Courier New"/>
    </w:rPr>
  </w:style>
  <w:style w:type="character" w:styleId="ListLabel77">
    <w:name w:val="ListLabel 77"/>
    <w:qFormat/>
    <w:rPr>
      <w:rFonts w:cs="Wingdings"/>
    </w:rPr>
  </w:style>
  <w:style w:type="character" w:styleId="ListLabel78">
    <w:name w:val="ListLabel 78"/>
    <w:qFormat/>
    <w:rPr>
      <w:rFonts w:cs="Symbol"/>
    </w:rPr>
  </w:style>
  <w:style w:type="character" w:styleId="ListLabel79">
    <w:name w:val="ListLabel 79"/>
    <w:qFormat/>
    <w:rPr>
      <w:rFonts w:cs="Courier New"/>
    </w:rPr>
  </w:style>
  <w:style w:type="character" w:styleId="ListLabel80">
    <w:name w:val="ListLabel 80"/>
    <w:qFormat/>
    <w:rPr>
      <w:rFonts w:cs="Wingdings"/>
    </w:rPr>
  </w:style>
  <w:style w:type="character" w:styleId="ListLabel81">
    <w:name w:val="ListLabel 81"/>
    <w:qFormat/>
    <w:rPr>
      <w:rFonts w:ascii="Times New Roman" w:hAnsi="Times New Roman" w:cs="Symbol"/>
      <w:sz w:val="22"/>
    </w:rPr>
  </w:style>
  <w:style w:type="character" w:styleId="ListLabel82">
    <w:name w:val="ListLabel 82"/>
    <w:qFormat/>
    <w:rPr>
      <w:rFonts w:cs="Courier New"/>
    </w:rPr>
  </w:style>
  <w:style w:type="character" w:styleId="ListLabel83">
    <w:name w:val="ListLabel 83"/>
    <w:qFormat/>
    <w:rPr>
      <w:rFonts w:cs="Wingdings"/>
    </w:rPr>
  </w:style>
  <w:style w:type="character" w:styleId="ListLabel84">
    <w:name w:val="ListLabel 84"/>
    <w:qFormat/>
    <w:rPr>
      <w:rFonts w:cs="Symbol"/>
    </w:rPr>
  </w:style>
  <w:style w:type="character" w:styleId="ListLabel85">
    <w:name w:val="ListLabel 85"/>
    <w:qFormat/>
    <w:rPr>
      <w:rFonts w:cs="Courier New"/>
    </w:rPr>
  </w:style>
  <w:style w:type="character" w:styleId="ListLabel86">
    <w:name w:val="ListLabel 86"/>
    <w:qFormat/>
    <w:rPr>
      <w:rFonts w:cs="Wingdings"/>
    </w:rPr>
  </w:style>
  <w:style w:type="character" w:styleId="ListLabel87">
    <w:name w:val="ListLabel 87"/>
    <w:qFormat/>
    <w:rPr>
      <w:rFonts w:cs="Symbol"/>
    </w:rPr>
  </w:style>
  <w:style w:type="character" w:styleId="ListLabel88">
    <w:name w:val="ListLabel 88"/>
    <w:qFormat/>
    <w:rPr>
      <w:rFonts w:cs="Courier New"/>
    </w:rPr>
  </w:style>
  <w:style w:type="character" w:styleId="ListLabel89">
    <w:name w:val="ListLabel 89"/>
    <w:qFormat/>
    <w:rPr>
      <w:rFonts w:cs="Wingdings"/>
    </w:rPr>
  </w:style>
  <w:style w:type="character" w:styleId="ListLabel90">
    <w:name w:val="ListLabel 90"/>
    <w:qFormat/>
    <w:rPr>
      <w:rFonts w:ascii="Times New Roman" w:hAnsi="Times New Roman" w:cs="Symbol"/>
      <w:sz w:val="22"/>
    </w:rPr>
  </w:style>
  <w:style w:type="character" w:styleId="ListLabel91">
    <w:name w:val="ListLabel 91"/>
    <w:qFormat/>
    <w:rPr>
      <w:rFonts w:cs="Courier New"/>
    </w:rPr>
  </w:style>
  <w:style w:type="character" w:styleId="ListLabel92">
    <w:name w:val="ListLabel 92"/>
    <w:qFormat/>
    <w:rPr>
      <w:rFonts w:cs="Wingdings"/>
    </w:rPr>
  </w:style>
  <w:style w:type="character" w:styleId="ListLabel93">
    <w:name w:val="ListLabel 93"/>
    <w:qFormat/>
    <w:rPr>
      <w:rFonts w:cs="Symbol"/>
    </w:rPr>
  </w:style>
  <w:style w:type="character" w:styleId="ListLabel94">
    <w:name w:val="ListLabel 94"/>
    <w:qFormat/>
    <w:rPr>
      <w:rFonts w:cs="Courier New"/>
    </w:rPr>
  </w:style>
  <w:style w:type="character" w:styleId="ListLabel95">
    <w:name w:val="ListLabel 95"/>
    <w:qFormat/>
    <w:rPr>
      <w:rFonts w:cs="Wingdings"/>
    </w:rPr>
  </w:style>
  <w:style w:type="character" w:styleId="ListLabel96">
    <w:name w:val="ListLabel 96"/>
    <w:qFormat/>
    <w:rPr>
      <w:rFonts w:cs="Symbol"/>
    </w:rPr>
  </w:style>
  <w:style w:type="character" w:styleId="ListLabel97">
    <w:name w:val="ListLabel 97"/>
    <w:qFormat/>
    <w:rPr>
      <w:rFonts w:cs="Courier New"/>
    </w:rPr>
  </w:style>
  <w:style w:type="character" w:styleId="ListLabel98">
    <w:name w:val="ListLabel 98"/>
    <w:qFormat/>
    <w:rPr>
      <w:rFonts w:cs="Wingdings"/>
    </w:rPr>
  </w:style>
  <w:style w:type="character" w:styleId="ListLabel99">
    <w:name w:val="ListLabel 99"/>
    <w:qFormat/>
    <w:rPr>
      <w:rFonts w:ascii="Times New Roman" w:hAnsi="Times New Roman"/>
      <w:b/>
      <w:sz w:val="22"/>
    </w:rPr>
  </w:style>
  <w:style w:type="character" w:styleId="ListLabel100">
    <w:name w:val="ListLabel 100"/>
    <w:qFormat/>
    <w:rPr>
      <w:rFonts w:ascii="Times New Roman" w:hAnsi="Times New Roman" w:cs="Symbol"/>
      <w:sz w:val="22"/>
    </w:rPr>
  </w:style>
  <w:style w:type="character" w:styleId="ListLabel101">
    <w:name w:val="ListLabel 101"/>
    <w:qFormat/>
    <w:rPr>
      <w:rFonts w:cs="Courier New"/>
    </w:rPr>
  </w:style>
  <w:style w:type="character" w:styleId="ListLabel102">
    <w:name w:val="ListLabel 102"/>
    <w:qFormat/>
    <w:rPr>
      <w:rFonts w:cs="Wingdings"/>
    </w:rPr>
  </w:style>
  <w:style w:type="character" w:styleId="ListLabel103">
    <w:name w:val="ListLabel 103"/>
    <w:qFormat/>
    <w:rPr>
      <w:rFonts w:cs="Symbol"/>
    </w:rPr>
  </w:style>
  <w:style w:type="character" w:styleId="ListLabel104">
    <w:name w:val="ListLabel 104"/>
    <w:qFormat/>
    <w:rPr>
      <w:rFonts w:cs="Courier New"/>
    </w:rPr>
  </w:style>
  <w:style w:type="character" w:styleId="ListLabel105">
    <w:name w:val="ListLabel 105"/>
    <w:qFormat/>
    <w:rPr>
      <w:rFonts w:cs="Wingdings"/>
    </w:rPr>
  </w:style>
  <w:style w:type="character" w:styleId="ListLabel106">
    <w:name w:val="ListLabel 106"/>
    <w:qFormat/>
    <w:rPr>
      <w:rFonts w:cs="Symbol"/>
    </w:rPr>
  </w:style>
  <w:style w:type="character" w:styleId="ListLabel107">
    <w:name w:val="ListLabel 107"/>
    <w:qFormat/>
    <w:rPr>
      <w:rFonts w:cs="Courier New"/>
    </w:rPr>
  </w:style>
  <w:style w:type="character" w:styleId="ListLabel108">
    <w:name w:val="ListLabel 108"/>
    <w:qFormat/>
    <w:rPr>
      <w:rFonts w:cs="Wingdings"/>
    </w:rPr>
  </w:style>
  <w:style w:type="character" w:styleId="ListLabel109">
    <w:name w:val="ListLabel 109"/>
    <w:qFormat/>
    <w:rPr>
      <w:rFonts w:ascii="Times New Roman" w:hAnsi="Times New Roman" w:cs="Symbol"/>
      <w:sz w:val="22"/>
    </w:rPr>
  </w:style>
  <w:style w:type="character" w:styleId="ListLabel110">
    <w:name w:val="ListLabel 110"/>
    <w:qFormat/>
    <w:rPr>
      <w:rFonts w:cs="Courier New"/>
    </w:rPr>
  </w:style>
  <w:style w:type="character" w:styleId="ListLabel111">
    <w:name w:val="ListLabel 111"/>
    <w:qFormat/>
    <w:rPr>
      <w:rFonts w:cs="Wingdings"/>
    </w:rPr>
  </w:style>
  <w:style w:type="character" w:styleId="ListLabel112">
    <w:name w:val="ListLabel 112"/>
    <w:qFormat/>
    <w:rPr>
      <w:rFonts w:cs="Symbol"/>
    </w:rPr>
  </w:style>
  <w:style w:type="character" w:styleId="ListLabel113">
    <w:name w:val="ListLabel 113"/>
    <w:qFormat/>
    <w:rPr>
      <w:rFonts w:cs="Courier New"/>
    </w:rPr>
  </w:style>
  <w:style w:type="character" w:styleId="ListLabel114">
    <w:name w:val="ListLabel 114"/>
    <w:qFormat/>
    <w:rPr>
      <w:rFonts w:cs="Wingdings"/>
    </w:rPr>
  </w:style>
  <w:style w:type="character" w:styleId="ListLabel115">
    <w:name w:val="ListLabel 115"/>
    <w:qFormat/>
    <w:rPr>
      <w:rFonts w:cs="Symbol"/>
    </w:rPr>
  </w:style>
  <w:style w:type="character" w:styleId="ListLabel116">
    <w:name w:val="ListLabel 116"/>
    <w:qFormat/>
    <w:rPr>
      <w:rFonts w:cs="Courier New"/>
    </w:rPr>
  </w:style>
  <w:style w:type="character" w:styleId="ListLabel117">
    <w:name w:val="ListLabel 117"/>
    <w:qFormat/>
    <w:rPr>
      <w:rFonts w:cs="Wingdings"/>
    </w:rPr>
  </w:style>
  <w:style w:type="character" w:styleId="ListLabel118">
    <w:name w:val="ListLabel 118"/>
    <w:qFormat/>
    <w:rPr>
      <w:rFonts w:ascii="Times New Roman" w:hAnsi="Times New Roman"/>
      <w:b/>
      <w:i w:val="false"/>
      <w:sz w:val="22"/>
    </w:rPr>
  </w:style>
  <w:style w:type="character" w:styleId="ListLabel119">
    <w:name w:val="ListLabel 119"/>
    <w:qFormat/>
    <w:rPr>
      <w:rFonts w:ascii="Times New Roman" w:hAnsi="Times New Roman" w:cs="Symbol"/>
      <w:sz w:val="22"/>
    </w:rPr>
  </w:style>
  <w:style w:type="character" w:styleId="ListLabel120">
    <w:name w:val="ListLabel 120"/>
    <w:qFormat/>
    <w:rPr>
      <w:rFonts w:cs="Courier New"/>
    </w:rPr>
  </w:style>
  <w:style w:type="character" w:styleId="ListLabel121">
    <w:name w:val="ListLabel 121"/>
    <w:qFormat/>
    <w:rPr>
      <w:rFonts w:cs="Wingdings"/>
    </w:rPr>
  </w:style>
  <w:style w:type="character" w:styleId="ListLabel122">
    <w:name w:val="ListLabel 122"/>
    <w:qFormat/>
    <w:rPr>
      <w:rFonts w:cs="Symbol"/>
    </w:rPr>
  </w:style>
  <w:style w:type="character" w:styleId="ListLabel123">
    <w:name w:val="ListLabel 123"/>
    <w:qFormat/>
    <w:rPr>
      <w:rFonts w:cs="Courier New"/>
    </w:rPr>
  </w:style>
  <w:style w:type="character" w:styleId="ListLabel124">
    <w:name w:val="ListLabel 124"/>
    <w:qFormat/>
    <w:rPr>
      <w:rFonts w:cs="Wingdings"/>
    </w:rPr>
  </w:style>
  <w:style w:type="character" w:styleId="ListLabel125">
    <w:name w:val="ListLabel 125"/>
    <w:qFormat/>
    <w:rPr>
      <w:rFonts w:cs="Symbol"/>
    </w:rPr>
  </w:style>
  <w:style w:type="character" w:styleId="ListLabel126">
    <w:name w:val="ListLabel 126"/>
    <w:qFormat/>
    <w:rPr>
      <w:rFonts w:cs="Courier New"/>
    </w:rPr>
  </w:style>
  <w:style w:type="character" w:styleId="ListLabel127">
    <w:name w:val="ListLabel 127"/>
    <w:qFormat/>
    <w:rPr>
      <w:rFonts w:cs="Wingdings"/>
    </w:rPr>
  </w:style>
  <w:style w:type="character" w:styleId="ListLabel128">
    <w:name w:val="ListLabel 128"/>
    <w:qFormat/>
    <w:rPr>
      <w:i w:val="false"/>
    </w:rPr>
  </w:style>
  <w:style w:type="character" w:styleId="ListLabel129">
    <w:name w:val="ListLabel 129"/>
    <w:qFormat/>
    <w:rPr>
      <w:rFonts w:ascii="Times New Roman" w:hAnsi="Times New Roman"/>
      <w:b/>
      <w:i w:val="false"/>
      <w:sz w:val="22"/>
    </w:rPr>
  </w:style>
  <w:style w:type="character" w:styleId="ListLabel130">
    <w:name w:val="ListLabel 130"/>
    <w:qFormat/>
    <w:rPr>
      <w:b w:val="false"/>
      <w:i w:val="false"/>
    </w:rPr>
  </w:style>
  <w:style w:type="character" w:styleId="ListLabel131">
    <w:name w:val="ListLabel 131"/>
    <w:qFormat/>
    <w:rPr>
      <w:i w:val="false"/>
    </w:rPr>
  </w:style>
  <w:style w:type="character" w:styleId="ListLabel132">
    <w:name w:val="ListLabel 132"/>
    <w:qFormat/>
    <w:rPr>
      <w:i w:val="false"/>
    </w:rPr>
  </w:style>
  <w:style w:type="character" w:styleId="ListLabel133">
    <w:name w:val="ListLabel 133"/>
    <w:qFormat/>
    <w:rPr>
      <w:i w:val="false"/>
    </w:rPr>
  </w:style>
  <w:style w:type="character" w:styleId="ListLabel134">
    <w:name w:val="ListLabel 134"/>
    <w:qFormat/>
    <w:rPr>
      <w:i w:val="false"/>
    </w:rPr>
  </w:style>
  <w:style w:type="character" w:styleId="ListLabel135">
    <w:name w:val="ListLabel 135"/>
    <w:qFormat/>
    <w:rPr>
      <w:i w:val="false"/>
    </w:rPr>
  </w:style>
  <w:style w:type="character" w:styleId="ListLabel136">
    <w:name w:val="ListLabel 136"/>
    <w:qFormat/>
    <w:rPr>
      <w:i w:val="false"/>
    </w:rPr>
  </w:style>
  <w:style w:type="character" w:styleId="ListLabel137">
    <w:name w:val="ListLabel 137"/>
    <w:qFormat/>
    <w:rPr>
      <w:rFonts w:ascii="Times New Roman" w:hAnsi="Times New Roman" w:cs="Symbol"/>
      <w:sz w:val="22"/>
    </w:rPr>
  </w:style>
  <w:style w:type="character" w:styleId="ListLabel138">
    <w:name w:val="ListLabel 138"/>
    <w:qFormat/>
    <w:rPr>
      <w:rFonts w:cs="Courier New"/>
    </w:rPr>
  </w:style>
  <w:style w:type="character" w:styleId="ListLabel139">
    <w:name w:val="ListLabel 139"/>
    <w:qFormat/>
    <w:rPr>
      <w:rFonts w:cs="Wingdings"/>
    </w:rPr>
  </w:style>
  <w:style w:type="character" w:styleId="ListLabel140">
    <w:name w:val="ListLabel 140"/>
    <w:qFormat/>
    <w:rPr>
      <w:rFonts w:cs="Symbol"/>
    </w:rPr>
  </w:style>
  <w:style w:type="character" w:styleId="ListLabel141">
    <w:name w:val="ListLabel 141"/>
    <w:qFormat/>
    <w:rPr>
      <w:rFonts w:cs="Courier New"/>
    </w:rPr>
  </w:style>
  <w:style w:type="character" w:styleId="ListLabel142">
    <w:name w:val="ListLabel 142"/>
    <w:qFormat/>
    <w:rPr>
      <w:rFonts w:cs="Wingdings"/>
    </w:rPr>
  </w:style>
  <w:style w:type="character" w:styleId="ListLabel143">
    <w:name w:val="ListLabel 143"/>
    <w:qFormat/>
    <w:rPr>
      <w:rFonts w:cs="Symbol"/>
    </w:rPr>
  </w:style>
  <w:style w:type="character" w:styleId="ListLabel144">
    <w:name w:val="ListLabel 144"/>
    <w:qFormat/>
    <w:rPr>
      <w:rFonts w:cs="Courier New"/>
    </w:rPr>
  </w:style>
  <w:style w:type="character" w:styleId="ListLabel145">
    <w:name w:val="ListLabel 145"/>
    <w:qFormat/>
    <w:rPr>
      <w:rFonts w:cs="Wingdings"/>
    </w:rPr>
  </w:style>
  <w:style w:type="character" w:styleId="ListLabel146">
    <w:name w:val="ListLabel 146"/>
    <w:qFormat/>
    <w:rPr>
      <w:rFonts w:ascii="Times New Roman" w:hAnsi="Times New Roman"/>
      <w:b/>
      <w:sz w:val="22"/>
    </w:rPr>
  </w:style>
  <w:style w:type="character" w:styleId="ListLabel147">
    <w:name w:val="ListLabel 147"/>
    <w:qFormat/>
    <w:rPr>
      <w:b/>
    </w:rPr>
  </w:style>
  <w:style w:type="character" w:styleId="ListLabel148">
    <w:name w:val="ListLabel 148"/>
    <w:qFormat/>
    <w:rPr>
      <w:rFonts w:ascii="Times New Roman" w:hAnsi="Times New Roman" w:cs="Symbol"/>
      <w:sz w:val="22"/>
    </w:rPr>
  </w:style>
  <w:style w:type="character" w:styleId="ListLabel149">
    <w:name w:val="ListLabel 149"/>
    <w:qFormat/>
    <w:rPr>
      <w:rFonts w:cs="Courier New"/>
    </w:rPr>
  </w:style>
  <w:style w:type="character" w:styleId="ListLabel150">
    <w:name w:val="ListLabel 150"/>
    <w:qFormat/>
    <w:rPr>
      <w:rFonts w:cs="Wingdings"/>
    </w:rPr>
  </w:style>
  <w:style w:type="character" w:styleId="ListLabel151">
    <w:name w:val="ListLabel 151"/>
    <w:qFormat/>
    <w:rPr>
      <w:rFonts w:cs="Symbol"/>
    </w:rPr>
  </w:style>
  <w:style w:type="character" w:styleId="ListLabel152">
    <w:name w:val="ListLabel 152"/>
    <w:qFormat/>
    <w:rPr>
      <w:rFonts w:cs="Courier New"/>
    </w:rPr>
  </w:style>
  <w:style w:type="character" w:styleId="ListLabel153">
    <w:name w:val="ListLabel 153"/>
    <w:qFormat/>
    <w:rPr>
      <w:rFonts w:cs="Wingdings"/>
    </w:rPr>
  </w:style>
  <w:style w:type="character" w:styleId="ListLabel154">
    <w:name w:val="ListLabel 154"/>
    <w:qFormat/>
    <w:rPr>
      <w:rFonts w:cs="Symbol"/>
    </w:rPr>
  </w:style>
  <w:style w:type="character" w:styleId="ListLabel155">
    <w:name w:val="ListLabel 155"/>
    <w:qFormat/>
    <w:rPr>
      <w:rFonts w:cs="Courier New"/>
    </w:rPr>
  </w:style>
  <w:style w:type="character" w:styleId="ListLabel156">
    <w:name w:val="ListLabel 156"/>
    <w:qFormat/>
    <w:rPr>
      <w:rFonts w:cs="Wingdings"/>
    </w:rPr>
  </w:style>
  <w:style w:type="character" w:styleId="ListLabel157">
    <w:name w:val="ListLabel 157"/>
    <w:qFormat/>
    <w:rPr>
      <w:rFonts w:ascii="Times New Roman" w:hAnsi="Times New Roman" w:cs="Symbol"/>
      <w:sz w:val="22"/>
    </w:rPr>
  </w:style>
  <w:style w:type="character" w:styleId="ListLabel158">
    <w:name w:val="ListLabel 158"/>
    <w:qFormat/>
    <w:rPr>
      <w:rFonts w:cs="Courier New"/>
    </w:rPr>
  </w:style>
  <w:style w:type="character" w:styleId="ListLabel159">
    <w:name w:val="ListLabel 159"/>
    <w:qFormat/>
    <w:rPr>
      <w:rFonts w:cs="Wingdings"/>
    </w:rPr>
  </w:style>
  <w:style w:type="character" w:styleId="ListLabel160">
    <w:name w:val="ListLabel 160"/>
    <w:qFormat/>
    <w:rPr>
      <w:rFonts w:cs="Symbol"/>
    </w:rPr>
  </w:style>
  <w:style w:type="character" w:styleId="ListLabel161">
    <w:name w:val="ListLabel 161"/>
    <w:qFormat/>
    <w:rPr>
      <w:rFonts w:cs="Courier New"/>
    </w:rPr>
  </w:style>
  <w:style w:type="character" w:styleId="ListLabel162">
    <w:name w:val="ListLabel 162"/>
    <w:qFormat/>
    <w:rPr>
      <w:rFonts w:cs="Wingdings"/>
    </w:rPr>
  </w:style>
  <w:style w:type="character" w:styleId="ListLabel163">
    <w:name w:val="ListLabel 163"/>
    <w:qFormat/>
    <w:rPr>
      <w:rFonts w:cs="Symbol"/>
    </w:rPr>
  </w:style>
  <w:style w:type="character" w:styleId="ListLabel164">
    <w:name w:val="ListLabel 164"/>
    <w:qFormat/>
    <w:rPr>
      <w:rFonts w:cs="Courier New"/>
    </w:rPr>
  </w:style>
  <w:style w:type="character" w:styleId="ListLabel165">
    <w:name w:val="ListLabel 165"/>
    <w:qFormat/>
    <w:rPr>
      <w:rFonts w:cs="Wingdings"/>
    </w:rPr>
  </w:style>
  <w:style w:type="character" w:styleId="ListLabel166">
    <w:name w:val="ListLabel 166"/>
    <w:qFormat/>
    <w:rPr>
      <w:rFonts w:ascii="Times New Roman" w:hAnsi="Times New Roman"/>
      <w:b/>
      <w:sz w:val="22"/>
    </w:rPr>
  </w:style>
  <w:style w:type="character" w:styleId="ListLabel167">
    <w:name w:val="ListLabel 167"/>
    <w:qFormat/>
    <w:rPr>
      <w:rFonts w:ascii="Times New Roman" w:hAnsi="Times New Roman"/>
      <w:b/>
      <w:i w:val="false"/>
      <w:sz w:val="22"/>
    </w:rPr>
  </w:style>
  <w:style w:type="character" w:styleId="ListLabel168">
    <w:name w:val="ListLabel 168"/>
    <w:qFormat/>
    <w:rPr>
      <w:rFonts w:ascii="Times New Roman" w:hAnsi="Times New Roman"/>
      <w:b/>
      <w:sz w:val="22"/>
    </w:rPr>
  </w:style>
  <w:style w:type="character" w:styleId="ListLabel169">
    <w:name w:val="ListLabel 169"/>
    <w:qFormat/>
    <w:rPr>
      <w:rFonts w:ascii="Times New Roman" w:hAnsi="Times New Roman"/>
      <w:b/>
      <w:i w:val="false"/>
      <w:sz w:val="22"/>
    </w:rPr>
  </w:style>
  <w:style w:type="character" w:styleId="ListLabel170">
    <w:name w:val="ListLabel 170"/>
    <w:qFormat/>
    <w:rPr>
      <w:rFonts w:ascii="Times New Roman" w:hAnsi="Times New Roman"/>
      <w:b/>
      <w:sz w:val="22"/>
    </w:rPr>
  </w:style>
  <w:style w:type="character" w:styleId="ListLabel171">
    <w:name w:val="ListLabel 171"/>
    <w:qFormat/>
    <w:rPr>
      <w:b/>
    </w:rPr>
  </w:style>
  <w:style w:type="character" w:styleId="ListLabel172">
    <w:name w:val="ListLabel 172"/>
    <w:qFormat/>
    <w:rPr>
      <w:rFonts w:ascii="Times New Roman" w:hAnsi="Times New Roman" w:cs="Times New Roman"/>
      <w:sz w:val="22"/>
    </w:rPr>
  </w:style>
  <w:style w:type="character" w:styleId="ListLabel173">
    <w:name w:val="ListLabel 173"/>
    <w:qFormat/>
    <w:rPr>
      <w:rFonts w:cs="Courier New"/>
    </w:rPr>
  </w:style>
  <w:style w:type="character" w:styleId="ListLabel174">
    <w:name w:val="ListLabel 174"/>
    <w:qFormat/>
    <w:rPr>
      <w:rFonts w:cs="Wingdings"/>
    </w:rPr>
  </w:style>
  <w:style w:type="character" w:styleId="ListLabel175">
    <w:name w:val="ListLabel 175"/>
    <w:qFormat/>
    <w:rPr>
      <w:rFonts w:cs="Symbol"/>
    </w:rPr>
  </w:style>
  <w:style w:type="character" w:styleId="ListLabel176">
    <w:name w:val="ListLabel 176"/>
    <w:qFormat/>
    <w:rPr>
      <w:rFonts w:cs="Courier New"/>
    </w:rPr>
  </w:style>
  <w:style w:type="character" w:styleId="ListLabel177">
    <w:name w:val="ListLabel 177"/>
    <w:qFormat/>
    <w:rPr>
      <w:rFonts w:cs="Wingdings"/>
    </w:rPr>
  </w:style>
  <w:style w:type="character" w:styleId="ListLabel178">
    <w:name w:val="ListLabel 178"/>
    <w:qFormat/>
    <w:rPr>
      <w:rFonts w:cs="Symbol"/>
    </w:rPr>
  </w:style>
  <w:style w:type="character" w:styleId="ListLabel179">
    <w:name w:val="ListLabel 179"/>
    <w:qFormat/>
    <w:rPr>
      <w:rFonts w:cs="Courier New"/>
    </w:rPr>
  </w:style>
  <w:style w:type="character" w:styleId="ListLabel180">
    <w:name w:val="ListLabel 180"/>
    <w:qFormat/>
    <w:rPr>
      <w:rFonts w:cs="Wingdings"/>
    </w:rPr>
  </w:style>
  <w:style w:type="character" w:styleId="ListLabel181">
    <w:name w:val="ListLabel 181"/>
    <w:qFormat/>
    <w:rPr>
      <w:rFonts w:ascii="Times New Roman" w:hAnsi="Times New Roman" w:cs="Symbol"/>
      <w:b/>
      <w:sz w:val="22"/>
    </w:rPr>
  </w:style>
  <w:style w:type="character" w:styleId="ListLabel182">
    <w:name w:val="ListLabel 182"/>
    <w:qFormat/>
    <w:rPr>
      <w:b/>
      <w:i w:val="false"/>
    </w:rPr>
  </w:style>
  <w:style w:type="character" w:styleId="ListLabel183">
    <w:name w:val="ListLabel 183"/>
    <w:qFormat/>
    <w:rPr>
      <w:b/>
    </w:rPr>
  </w:style>
  <w:style w:type="character" w:styleId="ListLabel184">
    <w:name w:val="ListLabel 184"/>
    <w:qFormat/>
    <w:rPr>
      <w:rFonts w:ascii="Times New Roman" w:hAnsi="Times New Roman" w:cs="Symbol"/>
      <w:sz w:val="22"/>
    </w:rPr>
  </w:style>
  <w:style w:type="character" w:styleId="ListLabel185">
    <w:name w:val="ListLabel 185"/>
    <w:qFormat/>
    <w:rPr>
      <w:rFonts w:cs="Courier New"/>
    </w:rPr>
  </w:style>
  <w:style w:type="character" w:styleId="ListLabel186">
    <w:name w:val="ListLabel 186"/>
    <w:qFormat/>
    <w:rPr>
      <w:rFonts w:cs="Wingdings"/>
    </w:rPr>
  </w:style>
  <w:style w:type="character" w:styleId="ListLabel187">
    <w:name w:val="ListLabel 187"/>
    <w:qFormat/>
    <w:rPr>
      <w:rFonts w:cs="Symbol"/>
    </w:rPr>
  </w:style>
  <w:style w:type="character" w:styleId="ListLabel188">
    <w:name w:val="ListLabel 188"/>
    <w:qFormat/>
    <w:rPr>
      <w:rFonts w:cs="Courier New"/>
    </w:rPr>
  </w:style>
  <w:style w:type="character" w:styleId="ListLabel189">
    <w:name w:val="ListLabel 189"/>
    <w:qFormat/>
    <w:rPr>
      <w:rFonts w:cs="Wingdings"/>
    </w:rPr>
  </w:style>
  <w:style w:type="character" w:styleId="ListLabel190">
    <w:name w:val="ListLabel 190"/>
    <w:qFormat/>
    <w:rPr>
      <w:rFonts w:cs="Symbol"/>
    </w:rPr>
  </w:style>
  <w:style w:type="character" w:styleId="ListLabel191">
    <w:name w:val="ListLabel 191"/>
    <w:qFormat/>
    <w:rPr>
      <w:rFonts w:cs="Courier New"/>
    </w:rPr>
  </w:style>
  <w:style w:type="character" w:styleId="ListLabel192">
    <w:name w:val="ListLabel 192"/>
    <w:qFormat/>
    <w:rPr>
      <w:rFonts w:cs="Wingdings"/>
    </w:rPr>
  </w:style>
  <w:style w:type="character" w:styleId="ListLabel193">
    <w:name w:val="ListLabel 193"/>
    <w:qFormat/>
    <w:rPr>
      <w:rFonts w:ascii="Times New Roman" w:hAnsi="Times New Roman" w:cs="Symbol"/>
      <w:sz w:val="22"/>
    </w:rPr>
  </w:style>
  <w:style w:type="character" w:styleId="ListLabel194">
    <w:name w:val="ListLabel 194"/>
    <w:qFormat/>
    <w:rPr>
      <w:rFonts w:cs="Courier New"/>
    </w:rPr>
  </w:style>
  <w:style w:type="character" w:styleId="ListLabel195">
    <w:name w:val="ListLabel 195"/>
    <w:qFormat/>
    <w:rPr>
      <w:rFonts w:cs="Wingdings"/>
    </w:rPr>
  </w:style>
  <w:style w:type="character" w:styleId="ListLabel196">
    <w:name w:val="ListLabel 196"/>
    <w:qFormat/>
    <w:rPr>
      <w:rFonts w:cs="Symbol"/>
    </w:rPr>
  </w:style>
  <w:style w:type="character" w:styleId="ListLabel197">
    <w:name w:val="ListLabel 197"/>
    <w:qFormat/>
    <w:rPr>
      <w:rFonts w:cs="Courier New"/>
    </w:rPr>
  </w:style>
  <w:style w:type="character" w:styleId="ListLabel198">
    <w:name w:val="ListLabel 198"/>
    <w:qFormat/>
    <w:rPr>
      <w:rFonts w:cs="Wingdings"/>
    </w:rPr>
  </w:style>
  <w:style w:type="character" w:styleId="ListLabel199">
    <w:name w:val="ListLabel 199"/>
    <w:qFormat/>
    <w:rPr>
      <w:rFonts w:cs="Symbol"/>
    </w:rPr>
  </w:style>
  <w:style w:type="character" w:styleId="ListLabel200">
    <w:name w:val="ListLabel 200"/>
    <w:qFormat/>
    <w:rPr>
      <w:rFonts w:cs="Courier New"/>
    </w:rPr>
  </w:style>
  <w:style w:type="character" w:styleId="ListLabel201">
    <w:name w:val="ListLabel 201"/>
    <w:qFormat/>
    <w:rPr>
      <w:rFonts w:cs="Wingdings"/>
    </w:rPr>
  </w:style>
  <w:style w:type="character" w:styleId="ListLabel202">
    <w:name w:val="ListLabel 202"/>
    <w:qFormat/>
    <w:rPr>
      <w:rFonts w:ascii="Times New Roman" w:hAnsi="Times New Roman" w:cs="Symbol"/>
      <w:sz w:val="22"/>
    </w:rPr>
  </w:style>
  <w:style w:type="character" w:styleId="ListLabel203">
    <w:name w:val="ListLabel 203"/>
    <w:qFormat/>
    <w:rPr>
      <w:rFonts w:cs="Courier New"/>
    </w:rPr>
  </w:style>
  <w:style w:type="character" w:styleId="ListLabel204">
    <w:name w:val="ListLabel 204"/>
    <w:qFormat/>
    <w:rPr>
      <w:rFonts w:cs="Wingdings"/>
    </w:rPr>
  </w:style>
  <w:style w:type="character" w:styleId="ListLabel205">
    <w:name w:val="ListLabel 205"/>
    <w:qFormat/>
    <w:rPr>
      <w:rFonts w:cs="Symbol"/>
    </w:rPr>
  </w:style>
  <w:style w:type="character" w:styleId="ListLabel206">
    <w:name w:val="ListLabel 206"/>
    <w:qFormat/>
    <w:rPr>
      <w:rFonts w:cs="Courier New"/>
    </w:rPr>
  </w:style>
  <w:style w:type="character" w:styleId="ListLabel207">
    <w:name w:val="ListLabel 207"/>
    <w:qFormat/>
    <w:rPr>
      <w:rFonts w:cs="Wingdings"/>
    </w:rPr>
  </w:style>
  <w:style w:type="character" w:styleId="ListLabel208">
    <w:name w:val="ListLabel 208"/>
    <w:qFormat/>
    <w:rPr>
      <w:rFonts w:cs="Symbol"/>
    </w:rPr>
  </w:style>
  <w:style w:type="character" w:styleId="ListLabel209">
    <w:name w:val="ListLabel 209"/>
    <w:qFormat/>
    <w:rPr>
      <w:rFonts w:cs="Courier New"/>
    </w:rPr>
  </w:style>
  <w:style w:type="character" w:styleId="ListLabel210">
    <w:name w:val="ListLabel 210"/>
    <w:qFormat/>
    <w:rPr>
      <w:rFonts w:cs="Wingdings"/>
    </w:rPr>
  </w:style>
  <w:style w:type="character" w:styleId="ListLabel211">
    <w:name w:val="ListLabel 211"/>
    <w:qFormat/>
    <w:rPr>
      <w:rFonts w:ascii="Times New Roman" w:hAnsi="Times New Roman"/>
      <w:b/>
      <w:sz w:val="22"/>
    </w:rPr>
  </w:style>
  <w:style w:type="character" w:styleId="ListLabel212">
    <w:name w:val="ListLabel 212"/>
    <w:qFormat/>
    <w:rPr>
      <w:rFonts w:ascii="Times New Roman" w:hAnsi="Times New Roman" w:cs="Symbol"/>
      <w:sz w:val="22"/>
    </w:rPr>
  </w:style>
  <w:style w:type="character" w:styleId="ListLabel213">
    <w:name w:val="ListLabel 213"/>
    <w:qFormat/>
    <w:rPr>
      <w:rFonts w:cs="Courier New"/>
    </w:rPr>
  </w:style>
  <w:style w:type="character" w:styleId="ListLabel214">
    <w:name w:val="ListLabel 214"/>
    <w:qFormat/>
    <w:rPr>
      <w:rFonts w:cs="Wingdings"/>
    </w:rPr>
  </w:style>
  <w:style w:type="character" w:styleId="ListLabel215">
    <w:name w:val="ListLabel 215"/>
    <w:qFormat/>
    <w:rPr>
      <w:rFonts w:cs="Symbol"/>
    </w:rPr>
  </w:style>
  <w:style w:type="character" w:styleId="ListLabel216">
    <w:name w:val="ListLabel 216"/>
    <w:qFormat/>
    <w:rPr>
      <w:rFonts w:cs="Courier New"/>
    </w:rPr>
  </w:style>
  <w:style w:type="character" w:styleId="ListLabel217">
    <w:name w:val="ListLabel 217"/>
    <w:qFormat/>
    <w:rPr>
      <w:rFonts w:cs="Wingdings"/>
    </w:rPr>
  </w:style>
  <w:style w:type="character" w:styleId="ListLabel218">
    <w:name w:val="ListLabel 218"/>
    <w:qFormat/>
    <w:rPr>
      <w:rFonts w:cs="Symbol"/>
    </w:rPr>
  </w:style>
  <w:style w:type="character" w:styleId="ListLabel219">
    <w:name w:val="ListLabel 219"/>
    <w:qFormat/>
    <w:rPr>
      <w:rFonts w:cs="Courier New"/>
    </w:rPr>
  </w:style>
  <w:style w:type="character" w:styleId="ListLabel220">
    <w:name w:val="ListLabel 220"/>
    <w:qFormat/>
    <w:rPr>
      <w:rFonts w:cs="Wingdings"/>
    </w:rPr>
  </w:style>
  <w:style w:type="character" w:styleId="ListLabel221">
    <w:name w:val="ListLabel 221"/>
    <w:qFormat/>
    <w:rPr>
      <w:rFonts w:ascii="Times New Roman" w:hAnsi="Times New Roman" w:cs="Symbol"/>
      <w:sz w:val="22"/>
    </w:rPr>
  </w:style>
  <w:style w:type="character" w:styleId="ListLabel222">
    <w:name w:val="ListLabel 222"/>
    <w:qFormat/>
    <w:rPr>
      <w:rFonts w:cs="Courier New"/>
    </w:rPr>
  </w:style>
  <w:style w:type="character" w:styleId="ListLabel223">
    <w:name w:val="ListLabel 223"/>
    <w:qFormat/>
    <w:rPr>
      <w:rFonts w:cs="Wingdings"/>
    </w:rPr>
  </w:style>
  <w:style w:type="character" w:styleId="ListLabel224">
    <w:name w:val="ListLabel 224"/>
    <w:qFormat/>
    <w:rPr>
      <w:rFonts w:cs="Symbol"/>
    </w:rPr>
  </w:style>
  <w:style w:type="character" w:styleId="ListLabel225">
    <w:name w:val="ListLabel 225"/>
    <w:qFormat/>
    <w:rPr>
      <w:rFonts w:cs="Courier New"/>
    </w:rPr>
  </w:style>
  <w:style w:type="character" w:styleId="ListLabel226">
    <w:name w:val="ListLabel 226"/>
    <w:qFormat/>
    <w:rPr>
      <w:rFonts w:cs="Wingdings"/>
    </w:rPr>
  </w:style>
  <w:style w:type="character" w:styleId="ListLabel227">
    <w:name w:val="ListLabel 227"/>
    <w:qFormat/>
    <w:rPr>
      <w:rFonts w:cs="Symbol"/>
    </w:rPr>
  </w:style>
  <w:style w:type="character" w:styleId="ListLabel228">
    <w:name w:val="ListLabel 228"/>
    <w:qFormat/>
    <w:rPr>
      <w:rFonts w:cs="Courier New"/>
    </w:rPr>
  </w:style>
  <w:style w:type="character" w:styleId="ListLabel229">
    <w:name w:val="ListLabel 229"/>
    <w:qFormat/>
    <w:rPr>
      <w:rFonts w:cs="Wingdings"/>
    </w:rPr>
  </w:style>
  <w:style w:type="character" w:styleId="ListLabel230">
    <w:name w:val="ListLabel 230"/>
    <w:qFormat/>
    <w:rPr>
      <w:rFonts w:ascii="Times New Roman" w:hAnsi="Times New Roman"/>
      <w:b/>
      <w:i w:val="false"/>
      <w:sz w:val="22"/>
    </w:rPr>
  </w:style>
  <w:style w:type="character" w:styleId="ListLabel231">
    <w:name w:val="ListLabel 231"/>
    <w:qFormat/>
    <w:rPr>
      <w:rFonts w:ascii="Times New Roman" w:hAnsi="Times New Roman" w:cs="Symbol"/>
      <w:sz w:val="22"/>
    </w:rPr>
  </w:style>
  <w:style w:type="character" w:styleId="ListLabel232">
    <w:name w:val="ListLabel 232"/>
    <w:qFormat/>
    <w:rPr>
      <w:rFonts w:cs="Courier New"/>
    </w:rPr>
  </w:style>
  <w:style w:type="character" w:styleId="ListLabel233">
    <w:name w:val="ListLabel 233"/>
    <w:qFormat/>
    <w:rPr>
      <w:rFonts w:cs="Wingdings"/>
    </w:rPr>
  </w:style>
  <w:style w:type="character" w:styleId="ListLabel234">
    <w:name w:val="ListLabel 234"/>
    <w:qFormat/>
    <w:rPr>
      <w:rFonts w:cs="Symbol"/>
    </w:rPr>
  </w:style>
  <w:style w:type="character" w:styleId="ListLabel235">
    <w:name w:val="ListLabel 235"/>
    <w:qFormat/>
    <w:rPr>
      <w:rFonts w:cs="Courier New"/>
    </w:rPr>
  </w:style>
  <w:style w:type="character" w:styleId="ListLabel236">
    <w:name w:val="ListLabel 236"/>
    <w:qFormat/>
    <w:rPr>
      <w:rFonts w:cs="Wingdings"/>
    </w:rPr>
  </w:style>
  <w:style w:type="character" w:styleId="ListLabel237">
    <w:name w:val="ListLabel 237"/>
    <w:qFormat/>
    <w:rPr>
      <w:rFonts w:cs="Symbol"/>
    </w:rPr>
  </w:style>
  <w:style w:type="character" w:styleId="ListLabel238">
    <w:name w:val="ListLabel 238"/>
    <w:qFormat/>
    <w:rPr>
      <w:rFonts w:cs="Courier New"/>
    </w:rPr>
  </w:style>
  <w:style w:type="character" w:styleId="ListLabel239">
    <w:name w:val="ListLabel 239"/>
    <w:qFormat/>
    <w:rPr>
      <w:rFonts w:cs="Wingdings"/>
    </w:rPr>
  </w:style>
  <w:style w:type="character" w:styleId="ListLabel240">
    <w:name w:val="ListLabel 240"/>
    <w:qFormat/>
    <w:rPr>
      <w:i w:val="false"/>
    </w:rPr>
  </w:style>
  <w:style w:type="character" w:styleId="ListLabel241">
    <w:name w:val="ListLabel 241"/>
    <w:qFormat/>
    <w:rPr>
      <w:rFonts w:ascii="Times New Roman" w:hAnsi="Times New Roman"/>
      <w:b/>
      <w:i w:val="false"/>
      <w:sz w:val="22"/>
    </w:rPr>
  </w:style>
  <w:style w:type="character" w:styleId="ListLabel242">
    <w:name w:val="ListLabel 242"/>
    <w:qFormat/>
    <w:rPr>
      <w:b w:val="false"/>
      <w:i w:val="false"/>
    </w:rPr>
  </w:style>
  <w:style w:type="character" w:styleId="ListLabel243">
    <w:name w:val="ListLabel 243"/>
    <w:qFormat/>
    <w:rPr>
      <w:i w:val="false"/>
    </w:rPr>
  </w:style>
  <w:style w:type="character" w:styleId="ListLabel244">
    <w:name w:val="ListLabel 244"/>
    <w:qFormat/>
    <w:rPr>
      <w:i w:val="false"/>
    </w:rPr>
  </w:style>
  <w:style w:type="character" w:styleId="ListLabel245">
    <w:name w:val="ListLabel 245"/>
    <w:qFormat/>
    <w:rPr>
      <w:i w:val="false"/>
    </w:rPr>
  </w:style>
  <w:style w:type="character" w:styleId="ListLabel246">
    <w:name w:val="ListLabel 246"/>
    <w:qFormat/>
    <w:rPr>
      <w:i w:val="false"/>
    </w:rPr>
  </w:style>
  <w:style w:type="character" w:styleId="ListLabel247">
    <w:name w:val="ListLabel 247"/>
    <w:qFormat/>
    <w:rPr>
      <w:i w:val="false"/>
    </w:rPr>
  </w:style>
  <w:style w:type="character" w:styleId="ListLabel248">
    <w:name w:val="ListLabel 248"/>
    <w:qFormat/>
    <w:rPr>
      <w:i w:val="false"/>
    </w:rPr>
  </w:style>
  <w:style w:type="character" w:styleId="ListLabel249">
    <w:name w:val="ListLabel 249"/>
    <w:qFormat/>
    <w:rPr>
      <w:rFonts w:ascii="Times New Roman" w:hAnsi="Times New Roman" w:cs="Symbol"/>
      <w:sz w:val="22"/>
    </w:rPr>
  </w:style>
  <w:style w:type="character" w:styleId="ListLabel250">
    <w:name w:val="ListLabel 250"/>
    <w:qFormat/>
    <w:rPr>
      <w:rFonts w:cs="Courier New"/>
    </w:rPr>
  </w:style>
  <w:style w:type="character" w:styleId="ListLabel251">
    <w:name w:val="ListLabel 251"/>
    <w:qFormat/>
    <w:rPr>
      <w:rFonts w:cs="Wingdings"/>
    </w:rPr>
  </w:style>
  <w:style w:type="character" w:styleId="ListLabel252">
    <w:name w:val="ListLabel 252"/>
    <w:qFormat/>
    <w:rPr>
      <w:rFonts w:cs="Symbol"/>
    </w:rPr>
  </w:style>
  <w:style w:type="character" w:styleId="ListLabel253">
    <w:name w:val="ListLabel 253"/>
    <w:qFormat/>
    <w:rPr>
      <w:rFonts w:cs="Courier New"/>
    </w:rPr>
  </w:style>
  <w:style w:type="character" w:styleId="ListLabel254">
    <w:name w:val="ListLabel 254"/>
    <w:qFormat/>
    <w:rPr>
      <w:rFonts w:cs="Wingdings"/>
    </w:rPr>
  </w:style>
  <w:style w:type="character" w:styleId="ListLabel255">
    <w:name w:val="ListLabel 255"/>
    <w:qFormat/>
    <w:rPr>
      <w:rFonts w:cs="Symbol"/>
    </w:rPr>
  </w:style>
  <w:style w:type="character" w:styleId="ListLabel256">
    <w:name w:val="ListLabel 256"/>
    <w:qFormat/>
    <w:rPr>
      <w:rFonts w:cs="Courier New"/>
    </w:rPr>
  </w:style>
  <w:style w:type="character" w:styleId="ListLabel257">
    <w:name w:val="ListLabel 257"/>
    <w:qFormat/>
    <w:rPr>
      <w:rFonts w:cs="Wingdings"/>
    </w:rPr>
  </w:style>
  <w:style w:type="character" w:styleId="ListLabel258">
    <w:name w:val="ListLabel 258"/>
    <w:qFormat/>
    <w:rPr>
      <w:rFonts w:ascii="Times New Roman" w:hAnsi="Times New Roman"/>
      <w:b/>
      <w:sz w:val="22"/>
    </w:rPr>
  </w:style>
  <w:style w:type="character" w:styleId="ListLabel259">
    <w:name w:val="ListLabel 259"/>
    <w:qFormat/>
    <w:rPr>
      <w:b/>
    </w:rPr>
  </w:style>
  <w:style w:type="character" w:styleId="ListLabel260">
    <w:name w:val="ListLabel 260"/>
    <w:qFormat/>
    <w:rPr>
      <w:rFonts w:ascii="Times New Roman" w:hAnsi="Times New Roman" w:cs="Symbol"/>
      <w:sz w:val="22"/>
    </w:rPr>
  </w:style>
  <w:style w:type="character" w:styleId="ListLabel261">
    <w:name w:val="ListLabel 261"/>
    <w:qFormat/>
    <w:rPr>
      <w:rFonts w:cs="Courier New"/>
    </w:rPr>
  </w:style>
  <w:style w:type="character" w:styleId="ListLabel262">
    <w:name w:val="ListLabel 262"/>
    <w:qFormat/>
    <w:rPr>
      <w:rFonts w:cs="Wingdings"/>
    </w:rPr>
  </w:style>
  <w:style w:type="character" w:styleId="ListLabel263">
    <w:name w:val="ListLabel 263"/>
    <w:qFormat/>
    <w:rPr>
      <w:rFonts w:cs="Symbol"/>
    </w:rPr>
  </w:style>
  <w:style w:type="character" w:styleId="ListLabel264">
    <w:name w:val="ListLabel 264"/>
    <w:qFormat/>
    <w:rPr>
      <w:rFonts w:cs="Courier New"/>
    </w:rPr>
  </w:style>
  <w:style w:type="character" w:styleId="ListLabel265">
    <w:name w:val="ListLabel 265"/>
    <w:qFormat/>
    <w:rPr>
      <w:rFonts w:cs="Wingdings"/>
    </w:rPr>
  </w:style>
  <w:style w:type="character" w:styleId="ListLabel266">
    <w:name w:val="ListLabel 266"/>
    <w:qFormat/>
    <w:rPr>
      <w:rFonts w:cs="Symbol"/>
    </w:rPr>
  </w:style>
  <w:style w:type="character" w:styleId="ListLabel267">
    <w:name w:val="ListLabel 267"/>
    <w:qFormat/>
    <w:rPr>
      <w:rFonts w:cs="Courier New"/>
    </w:rPr>
  </w:style>
  <w:style w:type="character" w:styleId="ListLabel268">
    <w:name w:val="ListLabel 268"/>
    <w:qFormat/>
    <w:rPr>
      <w:rFonts w:cs="Wingdings"/>
    </w:rPr>
  </w:style>
  <w:style w:type="character" w:styleId="ListLabel269">
    <w:name w:val="ListLabel 269"/>
    <w:qFormat/>
    <w:rPr>
      <w:rFonts w:ascii="Times New Roman" w:hAnsi="Times New Roman" w:cs="Symbol"/>
      <w:sz w:val="22"/>
    </w:rPr>
  </w:style>
  <w:style w:type="character" w:styleId="ListLabel270">
    <w:name w:val="ListLabel 270"/>
    <w:qFormat/>
    <w:rPr>
      <w:rFonts w:cs="Courier New"/>
    </w:rPr>
  </w:style>
  <w:style w:type="character" w:styleId="ListLabel271">
    <w:name w:val="ListLabel 271"/>
    <w:qFormat/>
    <w:rPr>
      <w:rFonts w:cs="Wingdings"/>
    </w:rPr>
  </w:style>
  <w:style w:type="character" w:styleId="ListLabel272">
    <w:name w:val="ListLabel 272"/>
    <w:qFormat/>
    <w:rPr>
      <w:rFonts w:cs="Symbol"/>
    </w:rPr>
  </w:style>
  <w:style w:type="character" w:styleId="ListLabel273">
    <w:name w:val="ListLabel 273"/>
    <w:qFormat/>
    <w:rPr>
      <w:rFonts w:cs="Courier New"/>
    </w:rPr>
  </w:style>
  <w:style w:type="character" w:styleId="ListLabel274">
    <w:name w:val="ListLabel 274"/>
    <w:qFormat/>
    <w:rPr>
      <w:rFonts w:cs="Wingdings"/>
    </w:rPr>
  </w:style>
  <w:style w:type="character" w:styleId="ListLabel275">
    <w:name w:val="ListLabel 275"/>
    <w:qFormat/>
    <w:rPr>
      <w:rFonts w:cs="Symbol"/>
    </w:rPr>
  </w:style>
  <w:style w:type="character" w:styleId="ListLabel276">
    <w:name w:val="ListLabel 276"/>
    <w:qFormat/>
    <w:rPr>
      <w:rFonts w:cs="Courier New"/>
    </w:rPr>
  </w:style>
  <w:style w:type="character" w:styleId="ListLabel277">
    <w:name w:val="ListLabel 277"/>
    <w:qFormat/>
    <w:rPr>
      <w:rFonts w:cs="Wingdings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8">
    <w:name w:val="Body Text"/>
    <w:basedOn w:val="Normal"/>
    <w:link w:val="a4"/>
    <w:rsid w:val="00f6265e"/>
    <w:pPr>
      <w:spacing w:lineRule="auto" w:line="360"/>
      <w:jc w:val="both"/>
    </w:pPr>
    <w:rPr>
      <w:sz w:val="24"/>
    </w:rPr>
  </w:style>
  <w:style w:type="paragraph" w:styleId="Style19">
    <w:name w:val="List"/>
    <w:basedOn w:val="Style18"/>
    <w:pPr/>
    <w:rPr>
      <w:rFonts w:cs="Lohit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Lohit Devanagari"/>
    </w:rPr>
  </w:style>
  <w:style w:type="paragraph" w:styleId="BodyText2">
    <w:name w:val="Body Text 2"/>
    <w:basedOn w:val="Normal"/>
    <w:qFormat/>
    <w:rsid w:val="00f6265e"/>
    <w:pPr/>
    <w:rPr>
      <w:rFonts w:ascii="Times New Roman" w:hAnsi="Times New Roman"/>
      <w:sz w:val="22"/>
    </w:rPr>
  </w:style>
  <w:style w:type="paragraph" w:styleId="Style22">
    <w:name w:val="Footer"/>
    <w:basedOn w:val="Normal"/>
    <w:link w:val="a6"/>
    <w:uiPriority w:val="99"/>
    <w:rsid w:val="00f6265e"/>
    <w:pPr>
      <w:tabs>
        <w:tab w:val="center" w:pos="4153" w:leader="none"/>
        <w:tab w:val="right" w:pos="8306" w:leader="none"/>
      </w:tabs>
    </w:pPr>
    <w:rPr/>
  </w:style>
  <w:style w:type="paragraph" w:styleId="BodyText3">
    <w:name w:val="Body Text 3"/>
    <w:basedOn w:val="Normal"/>
    <w:qFormat/>
    <w:rsid w:val="00f6265e"/>
    <w:pPr/>
    <w:rPr>
      <w:b/>
      <w:sz w:val="24"/>
    </w:rPr>
  </w:style>
  <w:style w:type="paragraph" w:styleId="Style23">
    <w:name w:val="Title"/>
    <w:basedOn w:val="Normal"/>
    <w:link w:val="a9"/>
    <w:qFormat/>
    <w:rsid w:val="00f6265e"/>
    <w:pPr>
      <w:jc w:val="center"/>
    </w:pPr>
    <w:rPr>
      <w:rFonts w:ascii="Times New Roman" w:hAnsi="Times New Roman"/>
      <w:b/>
      <w:sz w:val="28"/>
    </w:rPr>
  </w:style>
  <w:style w:type="paragraph" w:styleId="BlockText">
    <w:name w:val="Block Text"/>
    <w:basedOn w:val="Normal"/>
    <w:qFormat/>
    <w:rsid w:val="00f6265e"/>
    <w:pPr>
      <w:ind w:left="284" w:right="254" w:firstLine="567"/>
      <w:jc w:val="both"/>
    </w:pPr>
    <w:rPr>
      <w:rFonts w:ascii="Times New Roman" w:hAnsi="Times New Roman"/>
      <w:sz w:val="24"/>
    </w:rPr>
  </w:style>
  <w:style w:type="paragraph" w:styleId="Style24">
    <w:name w:val="Header"/>
    <w:basedOn w:val="Normal"/>
    <w:link w:val="ac"/>
    <w:rsid w:val="00f6265e"/>
    <w:pPr>
      <w:tabs>
        <w:tab w:val="center" w:pos="4153" w:leader="none"/>
        <w:tab w:val="right" w:pos="8306" w:leader="none"/>
      </w:tabs>
    </w:pPr>
    <w:rPr>
      <w:rFonts w:ascii="Times New Roman" w:hAnsi="Times New Roman"/>
    </w:rPr>
  </w:style>
  <w:style w:type="paragraph" w:styleId="Style25">
    <w:name w:val="Body Text Indent"/>
    <w:basedOn w:val="Normal"/>
    <w:link w:val="ae"/>
    <w:rsid w:val="00f6265e"/>
    <w:pPr>
      <w:spacing w:lineRule="auto" w:line="360"/>
      <w:ind w:firstLine="1134"/>
      <w:jc w:val="both"/>
    </w:pPr>
    <w:rPr>
      <w:rFonts w:ascii="Times New Roman" w:hAnsi="Times New Roman"/>
      <w:sz w:val="24"/>
    </w:rPr>
  </w:style>
  <w:style w:type="paragraph" w:styleId="MessageHeader">
    <w:name w:val="Message Header"/>
    <w:basedOn w:val="Style18"/>
    <w:qFormat/>
    <w:rsid w:val="002e0b7e"/>
    <w:pPr>
      <w:keepLines/>
      <w:spacing w:lineRule="atLeast" w:line="415"/>
      <w:ind w:left="1985" w:right="-360" w:hanging="1145"/>
      <w:jc w:val="left"/>
    </w:pPr>
    <w:rPr>
      <w:rFonts w:ascii="Times New Roman" w:hAnsi="Times New Roman"/>
      <w:sz w:val="20"/>
    </w:rPr>
  </w:style>
  <w:style w:type="paragraph" w:styleId="BalloonText">
    <w:name w:val="Balloon Text"/>
    <w:basedOn w:val="Normal"/>
    <w:link w:val="af3"/>
    <w:qFormat/>
    <w:rsid w:val="00d468b2"/>
    <w:pPr/>
    <w:rPr>
      <w:rFonts w:ascii="Tahoma" w:hAnsi="Tahoma"/>
      <w:sz w:val="16"/>
      <w:szCs w:val="16"/>
    </w:rPr>
  </w:style>
  <w:style w:type="paragraph" w:styleId="Style26" w:customStyle="1">
    <w:name w:val="Название документа"/>
    <w:qFormat/>
    <w:rsid w:val="00b67169"/>
    <w:pPr>
      <w:widowControl/>
      <w:bidi w:val="0"/>
      <w:spacing w:lineRule="atLeast" w:line="600" w:before="140" w:after="540"/>
      <w:ind w:left="840" w:hanging="0"/>
      <w:jc w:val="left"/>
    </w:pPr>
    <w:rPr>
      <w:rFonts w:ascii="Times New Roman" w:hAnsi="Times New Roman" w:eastAsia="Times New Roman" w:cs="Times New Roman"/>
      <w:color w:val="00000A"/>
      <w:spacing w:val="-38"/>
      <w:sz w:val="60"/>
      <w:szCs w:val="20"/>
      <w:lang w:val="ru-RU" w:eastAsia="ru-RU" w:bidi="ar-SA"/>
    </w:rPr>
  </w:style>
  <w:style w:type="paragraph" w:styleId="Style27" w:customStyle="1">
    <w:name w:val="Заголовок сообщения (первый)"/>
    <w:qFormat/>
    <w:rsid w:val="00b67169"/>
    <w:pPr>
      <w:keepLines/>
      <w:widowControl/>
      <w:bidi w:val="0"/>
      <w:spacing w:lineRule="atLeast" w:line="415"/>
      <w:ind w:left="1985" w:right="-360" w:hanging="1145"/>
      <w:jc w:val="left"/>
    </w:pPr>
    <w:rPr>
      <w:rFonts w:ascii="Times New Roman" w:hAnsi="Times New Roman" w:eastAsia="Times New Roman" w:cs="Times New Roman"/>
      <w:color w:val="00000A"/>
      <w:sz w:val="20"/>
      <w:szCs w:val="20"/>
      <w:lang w:val="ru-RU" w:eastAsia="ru-RU" w:bidi="ar-SA"/>
    </w:rPr>
  </w:style>
  <w:style w:type="paragraph" w:styleId="133" w:customStyle="1">
    <w:name w:val="ТР_13_обычный"/>
    <w:basedOn w:val="Style23"/>
    <w:link w:val="130"/>
    <w:qFormat/>
    <w:rsid w:val="00e7692c"/>
    <w:pPr>
      <w:ind w:left="33" w:hanging="0"/>
      <w:jc w:val="left"/>
    </w:pPr>
    <w:rPr>
      <w:b w:val="false"/>
      <w:color w:val="421CE2"/>
      <w:sz w:val="26"/>
      <w:szCs w:val="26"/>
    </w:rPr>
  </w:style>
  <w:style w:type="paragraph" w:styleId="134" w:customStyle="1">
    <w:name w:val="ТР_13_жирный"/>
    <w:basedOn w:val="Style23"/>
    <w:link w:val="132"/>
    <w:qFormat/>
    <w:rsid w:val="004e44ae"/>
    <w:pPr/>
    <w:rPr>
      <w:color w:val="421CE2"/>
      <w:sz w:val="26"/>
    </w:rPr>
  </w:style>
  <w:style w:type="paragraph" w:styleId="122" w:customStyle="1">
    <w:name w:val="ТР_12_жир"/>
    <w:basedOn w:val="Normal"/>
    <w:link w:val="120"/>
    <w:qFormat/>
    <w:rsid w:val="004277ca"/>
    <w:pPr>
      <w:jc w:val="center"/>
    </w:pPr>
    <w:rPr>
      <w:rFonts w:ascii="Times New Roman" w:hAnsi="Times New Roman"/>
      <w:b/>
      <w:color w:val="421CE2"/>
      <w:sz w:val="24"/>
      <w:szCs w:val="24"/>
      <w:lang w:val="en-US"/>
    </w:rPr>
  </w:style>
  <w:style w:type="paragraph" w:styleId="1151" w:customStyle="1">
    <w:name w:val="Тр115_обычн"/>
    <w:basedOn w:val="Style25"/>
    <w:link w:val="1150"/>
    <w:qFormat/>
    <w:rsid w:val="00c92584"/>
    <w:pPr>
      <w:spacing w:lineRule="exact" w:line="240"/>
      <w:ind w:firstLine="1080"/>
    </w:pPr>
    <w:rPr>
      <w:color w:val="421CE2"/>
    </w:rPr>
  </w:style>
  <w:style w:type="paragraph" w:styleId="ListParagraph">
    <w:name w:val="List Paragraph"/>
    <w:basedOn w:val="Normal"/>
    <w:uiPriority w:val="34"/>
    <w:qFormat/>
    <w:rsid w:val="004b0a10"/>
    <w:pPr>
      <w:spacing w:before="0" w:after="0"/>
      <w:ind w:left="720" w:hanging="0"/>
      <w:contextualSpacing/>
    </w:pPr>
    <w:rPr/>
  </w:style>
  <w:style w:type="paragraph" w:styleId="NoSpacing">
    <w:name w:val="No Spacing"/>
    <w:uiPriority w:val="1"/>
    <w:qFormat/>
    <w:rsid w:val="00eb4e2f"/>
    <w:pPr>
      <w:widowControl/>
      <w:bidi w:val="0"/>
      <w:jc w:val="left"/>
    </w:pPr>
    <w:rPr>
      <w:rFonts w:ascii="Calibri" w:hAnsi="Calibri" w:eastAsia="Calibri" w:cs="Times New Roman"/>
      <w:color w:val="00000A"/>
      <w:sz w:val="22"/>
      <w:szCs w:val="22"/>
      <w:lang w:val="ru-RU" w:eastAsia="en-US" w:bidi="ar-SA"/>
    </w:rPr>
  </w:style>
  <w:style w:type="paragraph" w:styleId="1251" w:customStyle="1">
    <w:name w:val="Обычный125Жир"/>
    <w:basedOn w:val="Normal"/>
    <w:link w:val="1250"/>
    <w:qFormat/>
    <w:rsid w:val="00571ab0"/>
    <w:pPr>
      <w:keepNext w:val="true"/>
      <w:ind w:left="-13" w:hanging="0"/>
      <w:outlineLvl w:val="3"/>
    </w:pPr>
    <w:rPr>
      <w:rFonts w:ascii="Times New Roman" w:hAnsi="Times New Roman"/>
      <w:b/>
      <w:bCs/>
      <w:color w:val="0000FF"/>
      <w:sz w:val="25"/>
      <w:szCs w:val="25"/>
    </w:rPr>
  </w:style>
  <w:style w:type="paragraph" w:styleId="123" w:customStyle="1">
    <w:name w:val="Об12жир"/>
    <w:basedOn w:val="Normal"/>
    <w:link w:val="121"/>
    <w:qFormat/>
    <w:rsid w:val="001656a5"/>
    <w:pPr>
      <w:jc w:val="both"/>
    </w:pPr>
    <w:rPr>
      <w:rFonts w:ascii="Times New Roman" w:hAnsi="Times New Roman"/>
      <w:b/>
      <w:bCs/>
      <w:color w:val="0000FF"/>
      <w:sz w:val="24"/>
      <w:szCs w:val="24"/>
    </w:rPr>
  </w:style>
  <w:style w:type="paragraph" w:styleId="135" w:customStyle="1">
    <w:name w:val="Об_13_Жир"/>
    <w:basedOn w:val="Normal"/>
    <w:link w:val="134"/>
    <w:qFormat/>
    <w:rsid w:val="00603da1"/>
    <w:pPr>
      <w:spacing w:before="120" w:after="120"/>
      <w:ind w:firstLine="357"/>
      <w:jc w:val="both"/>
    </w:pPr>
    <w:rPr>
      <w:rFonts w:ascii="Times New Roman" w:hAnsi="Times New Roman"/>
      <w:b/>
      <w:color w:val="0000FF"/>
      <w:sz w:val="26"/>
      <w:szCs w:val="26"/>
    </w:rPr>
  </w:style>
  <w:style w:type="paragraph" w:styleId="ConsPlusTitle" w:customStyle="1">
    <w:name w:val="ConsPlusTitle"/>
    <w:uiPriority w:val="99"/>
    <w:qFormat/>
    <w:rsid w:val="00392288"/>
    <w:pPr>
      <w:widowControl w:val="false"/>
      <w:bidi w:val="0"/>
      <w:jc w:val="left"/>
    </w:pPr>
    <w:rPr>
      <w:rFonts w:ascii="Calibri" w:hAnsi="Calibri" w:eastAsia="" w:cs="Calibri" w:eastAsiaTheme="minorEastAsia"/>
      <w:b/>
      <w:bCs/>
      <w:color w:val="00000A"/>
      <w:sz w:val="22"/>
      <w:szCs w:val="22"/>
      <w:lang w:val="ru-RU" w:eastAsia="ru-RU" w:bidi="ar-SA"/>
    </w:rPr>
  </w:style>
  <w:style w:type="paragraph" w:styleId="BodyTextIndent2">
    <w:name w:val="Body Text Indent 2"/>
    <w:basedOn w:val="Normal"/>
    <w:link w:val="23"/>
    <w:unhideWhenUsed/>
    <w:qFormat/>
    <w:rsid w:val="005c3842"/>
    <w:pPr>
      <w:spacing w:lineRule="auto" w:line="480" w:before="0" w:after="120"/>
      <w:ind w:left="283" w:hanging="0"/>
    </w:pPr>
    <w:rPr/>
  </w:style>
  <w:style w:type="paragraph" w:styleId="Caption">
    <w:name w:val="caption"/>
    <w:basedOn w:val="Normal"/>
    <w:qFormat/>
    <w:rsid w:val="005c3842"/>
    <w:pPr>
      <w:ind w:left="357" w:firstLine="357"/>
      <w:jc w:val="both"/>
    </w:pPr>
    <w:rPr>
      <w:rFonts w:ascii="Times New Roman" w:hAnsi="Times New Roman"/>
      <w:b/>
      <w:bCs/>
    </w:rPr>
  </w:style>
  <w:style w:type="paragraph" w:styleId="PlainText">
    <w:name w:val="Plain Text"/>
    <w:basedOn w:val="Normal"/>
    <w:link w:val="afb"/>
    <w:qFormat/>
    <w:rsid w:val="005c3842"/>
    <w:pPr>
      <w:ind w:left="357" w:firstLine="357"/>
      <w:jc w:val="both"/>
    </w:pPr>
    <w:rPr>
      <w:rFonts w:ascii="Courier New" w:hAnsi="Courier New" w:cs="Courier New"/>
    </w:rPr>
  </w:style>
  <w:style w:type="paragraph" w:styleId="14" w:customStyle="1">
    <w:name w:val="Стиль1_св-ва документа"/>
    <w:basedOn w:val="4"/>
    <w:link w:val="1-0"/>
    <w:qFormat/>
    <w:rsid w:val="005c3842"/>
    <w:pPr>
      <w:ind w:left="-13" w:hanging="0"/>
      <w:jc w:val="both"/>
    </w:pPr>
    <w:rPr>
      <w:bCs/>
      <w:sz w:val="25"/>
      <w:szCs w:val="25"/>
      <w:lang w:val="en-US"/>
    </w:rPr>
  </w:style>
  <w:style w:type="paragraph" w:styleId="103" w:customStyle="1">
    <w:name w:val="ТР_10_Жир"/>
    <w:basedOn w:val="Normal"/>
    <w:link w:val="100"/>
    <w:qFormat/>
    <w:rsid w:val="005c3842"/>
    <w:pPr/>
    <w:rPr>
      <w:rFonts w:ascii="Times New Roman" w:hAnsi="Times New Roman"/>
      <w:b/>
      <w:color w:val="0000FF"/>
    </w:rPr>
  </w:style>
  <w:style w:type="paragraph" w:styleId="104" w:customStyle="1">
    <w:name w:val="ТР_10"/>
    <w:basedOn w:val="Normal"/>
    <w:link w:val="102"/>
    <w:qFormat/>
    <w:rsid w:val="005c3842"/>
    <w:pPr/>
    <w:rPr>
      <w:rFonts w:ascii="Times New Roman" w:hAnsi="Times New Roman"/>
      <w:color w:val="0000FF"/>
    </w:rPr>
  </w:style>
  <w:style w:type="paragraph" w:styleId="105" w:customStyle="1">
    <w:name w:val="Тр_10_Жир"/>
    <w:basedOn w:val="BodyTextIndent2"/>
    <w:link w:val="104"/>
    <w:qFormat/>
    <w:rsid w:val="005c3842"/>
    <w:pPr>
      <w:spacing w:lineRule="auto" w:line="240" w:before="120" w:after="120"/>
      <w:ind w:left="0" w:hanging="0"/>
      <w:jc w:val="center"/>
    </w:pPr>
    <w:rPr>
      <w:rFonts w:ascii="Times New Roman" w:hAnsi="Times New Roman"/>
      <w:b/>
      <w:color w:val="3333FF"/>
    </w:rPr>
  </w:style>
  <w:style w:type="paragraph" w:styleId="Annotationtext">
    <w:name w:val="annotation text"/>
    <w:basedOn w:val="Normal"/>
    <w:link w:val="afe"/>
    <w:qFormat/>
    <w:rsid w:val="005c3842"/>
    <w:pPr>
      <w:ind w:left="357" w:firstLine="357"/>
      <w:jc w:val="both"/>
    </w:pPr>
    <w:rPr>
      <w:rFonts w:ascii="Times New Roman" w:hAnsi="Times New Roman"/>
    </w:rPr>
  </w:style>
  <w:style w:type="paragraph" w:styleId="Annotationsubject">
    <w:name w:val="annotation subject"/>
    <w:basedOn w:val="Annotationtext"/>
    <w:link w:val="aff0"/>
    <w:qFormat/>
    <w:rsid w:val="005c3842"/>
    <w:pPr/>
    <w:rPr>
      <w:b/>
      <w:bCs/>
    </w:rPr>
  </w:style>
  <w:style w:type="paragraph" w:styleId="15" w:customStyle="1">
    <w:name w:val="Стиль1"/>
    <w:basedOn w:val="Normal"/>
    <w:qFormat/>
    <w:rsid w:val="005c3842"/>
    <w:pPr>
      <w:widowControl w:val="false"/>
      <w:suppressAutoHyphens w:val="true"/>
      <w:ind w:firstLine="709"/>
      <w:jc w:val="both"/>
    </w:pPr>
    <w:rPr>
      <w:rFonts w:ascii="Times New Roman" w:hAnsi="Times New Roman"/>
      <w:sz w:val="28"/>
      <w:szCs w:val="28"/>
    </w:rPr>
  </w:style>
  <w:style w:type="paragraph" w:styleId="16" w:customStyle="1">
    <w:name w:val="Основной текст1"/>
    <w:basedOn w:val="Normal"/>
    <w:link w:val="aff1"/>
    <w:qFormat/>
    <w:rsid w:val="005c3842"/>
    <w:pPr>
      <w:widowControl w:val="false"/>
      <w:shd w:val="clear" w:color="auto" w:fill="FFFFFF"/>
      <w:spacing w:lineRule="auto" w:line="240" w:before="0" w:after="120"/>
    </w:pPr>
    <w:rPr>
      <w:rFonts w:ascii="Times New Roman" w:hAnsi="Times New Roman"/>
      <w:spacing w:val="-2"/>
      <w:sz w:val="18"/>
      <w:szCs w:val="18"/>
    </w:rPr>
  </w:style>
  <w:style w:type="paragraph" w:styleId="Style28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basedOn w:val="a1"/>
    <w:rsid w:val="008a1d2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://docs.cntd.ru/document/420231391" TargetMode="External"/><Relationship Id="rId4" Type="http://schemas.openxmlformats.org/officeDocument/2006/relationships/image" Target="media/image2.wmf"/><Relationship Id="rId5" Type="http://schemas.openxmlformats.org/officeDocument/2006/relationships/image" Target="media/image3.wmf"/><Relationship Id="rId6" Type="http://schemas.openxmlformats.org/officeDocument/2006/relationships/image" Target="media/image4.wmf"/><Relationship Id="rId7" Type="http://schemas.openxmlformats.org/officeDocument/2006/relationships/hyperlink" Target="http://www.kamenergo.ru/" TargetMode="External"/><Relationship Id="rId8" Type="http://schemas.openxmlformats.org/officeDocument/2006/relationships/hyperlink" Target="mailto:Drogaytseva_N&#1040;@kamch.dvec.ru" TargetMode="External"/><Relationship Id="rId9" Type="http://schemas.openxmlformats.org/officeDocument/2006/relationships/hyperlink" Target="mailto:Mokhova_NV@kamch.dvec.ru" TargetMode="External"/><Relationship Id="rId10" Type="http://schemas.openxmlformats.org/officeDocument/2006/relationships/hyperlink" Target="mailto:Balan_EV@kamch.dvec.ru" TargetMode="Externa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ГОСКОНТРАКТ 2020</Template>
  <TotalTime>24</TotalTime>
  <Application>LibreOffice/5.3.6.1$Linux_X86_64 LibreOffice_project/30$Build-1</Application>
  <Pages>15</Pages>
  <Words>6916</Words>
  <Characters>50873</Characters>
  <CharactersWithSpaces>57655</CharactersWithSpaces>
  <Paragraphs>401</Paragraphs>
  <Company>Elcom Ltd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2022-02-17T03:28:00Z</dcterms:created>
  <dc:creator>Тимошенко Анастасия Александровна</dc:creator>
  <dc:description/>
  <dc:language>ru-RU</dc:language>
  <cp:lastModifiedBy/>
  <cp:lastPrinted>2017-02-21T05:29:00Z</cp:lastPrinted>
  <dcterms:modified xsi:type="dcterms:W3CDTF">2025-07-11T10:35:37Z</dcterms:modified>
  <cp:revision>7</cp:revision>
  <dc:subject/>
  <dc:title>РАО ЕЭС РОССИИ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ountName">
    <vt:lpwstr>@@AccountName</vt:lpwstr>
  </property>
  <property fmtid="{D5CDD505-2E9C-101B-9397-08002B2CF9AE}" pid="3" name="AccountNum">
    <vt:lpwstr>@@AccountNum</vt:lpwstr>
  </property>
  <property fmtid="{D5CDD505-2E9C-101B-9397-08002B2CF9AE}" pid="4" name="AdressAbonent">
    <vt:lpwstr>@@AdressAbonent</vt:lpwstr>
  </property>
  <property fmtid="{D5CDD505-2E9C-101B-9397-08002B2CF9AE}" pid="5" name="AppVersion">
    <vt:lpwstr>16.0000</vt:lpwstr>
  </property>
  <property fmtid="{D5CDD505-2E9C-101B-9397-08002B2CF9AE}" pid="6" name="Company">
    <vt:lpwstr>Elcom Ltd</vt:lpwstr>
  </property>
  <property fmtid="{D5CDD505-2E9C-101B-9397-08002B2CF9AE}" pid="7" name="DateContact">
    <vt:lpwstr>@@DateContact</vt:lpwstr>
  </property>
  <property fmtid="{D5CDD505-2E9C-101B-9397-08002B2CF9AE}" pid="8" name="DateContract">
    <vt:lpwstr>@@DateContract</vt:lpwstr>
  </property>
  <property fmtid="{D5CDD505-2E9C-101B-9397-08002B2CF9AE}" pid="9" name="DirectNameRP">
    <vt:lpwstr>@@DirectNameRP</vt:lpwstr>
  </property>
  <property fmtid="{D5CDD505-2E9C-101B-9397-08002B2CF9AE}" pid="10" name="DocSecurity">
    <vt:i4>0</vt:i4>
  </property>
  <property fmtid="{D5CDD505-2E9C-101B-9397-08002B2CF9AE}" pid="11" name="Email">
    <vt:lpwstr>@@Email</vt:lpwstr>
  </property>
  <property fmtid="{D5CDD505-2E9C-101B-9397-08002B2CF9AE}" pid="12" name="GroupId">
    <vt:lpwstr>@@GroupId</vt:lpwstr>
  </property>
  <property fmtid="{D5CDD505-2E9C-101B-9397-08002B2CF9AE}" pid="13" name="HyperlinksChanged">
    <vt:bool>0</vt:bool>
  </property>
  <property fmtid="{D5CDD505-2E9C-101B-9397-08002B2CF9AE}" pid="14" name="INN">
    <vt:lpwstr>@@INN</vt:lpwstr>
  </property>
  <property fmtid="{D5CDD505-2E9C-101B-9397-08002B2CF9AE}" pid="15" name="KPP">
    <vt:lpwstr>@@KPP</vt:lpwstr>
  </property>
  <property fmtid="{D5CDD505-2E9C-101B-9397-08002B2CF9AE}" pid="16" name="LinksUpToDate">
    <vt:bool>0</vt:bool>
  </property>
  <property fmtid="{D5CDD505-2E9C-101B-9397-08002B2CF9AE}" pid="17" name="NContact">
    <vt:lpwstr>@@NContact</vt:lpwstr>
  </property>
  <property fmtid="{D5CDD505-2E9C-101B-9397-08002B2CF9AE}" pid="18" name="NContract">
    <vt:lpwstr>@@NContract</vt:lpwstr>
  </property>
  <property fmtid="{D5CDD505-2E9C-101B-9397-08002B2CF9AE}" pid="19" name="NContractNumOnly">
    <vt:lpwstr>@@NContractNumOnly</vt:lpwstr>
  </property>
  <property fmtid="{D5CDD505-2E9C-101B-9397-08002B2CF9AE}" pid="20" name="NDS">
    <vt:lpwstr>@@NDS</vt:lpwstr>
  </property>
  <property fmtid="{D5CDD505-2E9C-101B-9397-08002B2CF9AE}" pid="21" name="NameAbonent">
    <vt:lpwstr>@@NameAbonent</vt:lpwstr>
  </property>
  <property fmtid="{D5CDD505-2E9C-101B-9397-08002B2CF9AE}" pid="22" name="NameDirectAbonent">
    <vt:lpwstr>@@NameDirectAbonent</vt:lpwstr>
  </property>
  <property fmtid="{D5CDD505-2E9C-101B-9397-08002B2CF9AE}" pid="23" name="OGRN">
    <vt:lpwstr>@@OGRN</vt:lpwstr>
  </property>
  <property fmtid="{D5CDD505-2E9C-101B-9397-08002B2CF9AE}" pid="24" name="OKPO">
    <vt:lpwstr>@@OKPO</vt:lpwstr>
  </property>
  <property fmtid="{D5CDD505-2E9C-101B-9397-08002B2CF9AE}" pid="25" name="OKVED">
    <vt:lpwstr>@@OKVED</vt:lpwstr>
  </property>
  <property fmtid="{D5CDD505-2E9C-101B-9397-08002B2CF9AE}" pid="26" name="Phone">
    <vt:lpwstr>@@Phone</vt:lpwstr>
  </property>
  <property fmtid="{D5CDD505-2E9C-101B-9397-08002B2CF9AE}" pid="27" name="PostRP">
    <vt:lpwstr>@@PostRP</vt:lpwstr>
  </property>
  <property fmtid="{D5CDD505-2E9C-101B-9397-08002B2CF9AE}" pid="28" name="ScaleCrop">
    <vt:bool>0</vt:bool>
  </property>
  <property fmtid="{D5CDD505-2E9C-101B-9397-08002B2CF9AE}" pid="29" name="ShareDoc">
    <vt:bool>0</vt:bool>
  </property>
  <property fmtid="{D5CDD505-2E9C-101B-9397-08002B2CF9AE}" pid="30" name="Telephone">
    <vt:lpwstr>@@Telephone</vt:lpwstr>
  </property>
  <property fmtid="{D5CDD505-2E9C-101B-9397-08002B2CF9AE}" pid="31" name="displayContractAddressClaim">
    <vt:lpwstr>@@displayContractAddressClaim</vt:lpwstr>
  </property>
</Properties>
</file>