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numPr>
          <w:ilvl w:val="0"/>
          <w:numId w:val="0"/>
        </w:numPr>
        <w:ind w:left="360" w:firstLine="0"/>
        <w:jc w:val="right"/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Приложение 2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360" w:firstLine="0"/>
        <w:jc w:val="right"/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к Приказу ПАО «Камчатскэнерго»</w:t>
      </w:r>
      <w:r>
        <w:rPr>
          <w:highlight w:val="none"/>
          <w:shd w:val="clear" w:color="auto" w:fill="auto"/>
        </w:rPr>
      </w: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360" w:firstLine="0"/>
        <w:jc w:val="right"/>
        <w:rPr>
          <w:highlight w:val="none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от 10.03.2025 № 121А</w:t>
      </w:r>
      <w:r>
        <w:rPr>
          <w:highlight w:val="none"/>
          <w:shd w:val="clear" w:color="auto" w:fill="auto"/>
        </w:rPr>
      </w:r>
      <w:r>
        <w:rPr>
          <w:highlight w:val="none"/>
        </w:rPr>
      </w:r>
    </w:p>
    <w:p>
      <w:pPr>
        <w:pStyle w:val="870"/>
        <w:numPr>
          <w:ilvl w:val="0"/>
          <w:numId w:val="0"/>
        </w:numPr>
        <w:ind w:left="360" w:firstLine="0"/>
        <w:jc w:val="both"/>
        <w:rPr>
          <w:rFonts w:ascii="Times New Roman" w:hAnsi="Times New Roman" w:cs="Times New Roman"/>
          <w:b/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b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360" w:firstLine="0"/>
        <w:jc w:val="both"/>
        <w:rPr>
          <w:rFonts w:ascii="Times New Roman" w:hAnsi="Times New Roman" w:cs="Times New Roman"/>
          <w:b/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b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360" w:firstLine="0"/>
        <w:jc w:val="center"/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b/>
          <w:sz w:val="24"/>
          <w:szCs w:val="24"/>
          <w:shd w:val="clear" w:color="auto" w:fill="auto"/>
        </w:rPr>
        <w:t xml:space="preserve">Перечень инсайдерской информации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360" w:firstLine="0"/>
        <w:jc w:val="center"/>
        <w:rPr>
          <w:highlight w:val="none"/>
          <w:shd w:val="clear" w:color="auto" w:fill="auto"/>
        </w:rPr>
        <w:outlineLvl w:val="0"/>
      </w:pPr>
      <w:r/>
      <w:bookmarkStart w:id="0" w:name="_GoBack"/>
      <w:r>
        <w:rPr>
          <w:rFonts w:ascii="Times New Roman" w:hAnsi="Times New Roman" w:cs="Times New Roman"/>
          <w:b/>
          <w:sz w:val="24"/>
          <w:szCs w:val="24"/>
          <w:shd w:val="clear" w:color="auto" w:fill="auto"/>
        </w:rPr>
        <w:t xml:space="preserve">ПАО «Камчатскэнерго»</w:t>
      </w:r>
      <w:bookmarkEnd w:id="0"/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center"/>
        <w:spacing w:line="440" w:lineRule="exact"/>
        <w:tabs>
          <w:tab w:val="clear" w:pos="708" w:leader="none"/>
          <w:tab w:val="left" w:pos="851" w:leader="none"/>
        </w:tabs>
        <w:rPr>
          <w:highlight w:val="none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(новая редакция)</w:t>
      </w:r>
      <w:r>
        <w:rPr>
          <w:highlight w:val="none"/>
        </w:rPr>
      </w:r>
      <w:r>
        <w:rPr>
          <w:highlight w:val="none"/>
        </w:rPr>
      </w:r>
    </w:p>
    <w:p>
      <w:pPr>
        <w:pStyle w:val="870"/>
        <w:numPr>
          <w:ilvl w:val="0"/>
          <w:numId w:val="0"/>
        </w:numPr>
        <w:ind w:left="360" w:firstLine="0"/>
        <w:jc w:val="center"/>
        <w:rPr>
          <w:rFonts w:ascii="Times New Roman" w:hAnsi="Times New Roman" w:cs="Times New Roman"/>
          <w:b/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b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  <w:r>
        <w:rPr>
          <w:rFonts w:ascii="Times New Roman" w:hAnsi="Times New Roman" w:cs="Times New Roman"/>
          <w:b/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К инсайдерской информации ПАО «Камчатскэнерго» (далее именуемого Общество, эмитент) относится следующая информация: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center"/>
        <w:spacing w:line="440" w:lineRule="exact"/>
        <w:tabs>
          <w:tab w:val="clear" w:pos="708" w:leader="none"/>
          <w:tab w:val="left" w:pos="851" w:leader="none"/>
        </w:tabs>
        <w:rPr>
          <w:rFonts w:ascii="Times New Roman" w:hAnsi="Times New Roman" w:cs="Times New Roman"/>
          <w:sz w:val="24"/>
          <w:szCs w:val="24"/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auto"/>
        </w:rPr>
      </w:r>
    </w:p>
    <w:p>
      <w:pPr>
        <w:pStyle w:val="870"/>
        <w:numPr>
          <w:ilvl w:val="0"/>
          <w:numId w:val="1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созыве и проведении общего собрания акционеров Общества, об объявлении общего собрания акционеров Общества несостоявшимся, а также о решениях, принятых общим собранием акционеров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1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проведении заседания совета директоров Общества и его повестке дня, а также об отдельных решениях, принятых советом директоров Общества: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предложении общему собранию акционеров Общества, установить в решении о выплате (об объявлении) дивидендов определенную дату, на которую определяются лица, имеющие право на получение дивидендов;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размещении или реализации ценных бумаг Общества;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об определении или о порядке определения цены размещения акций или ценных бумаг, конвертируемых в акции Общества;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об образовании исполнительного органа Общества и о досрочном прекращении (приостановлении) его полномочий, в том числе полномочий управляющей организации или управляющего;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включении кандидатов в список кандидатур для голосования на годовом общем собрании акционеров Общества по вопросу об избрании членов совета директоров Общества;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рекомендациях в отношении размера дивидендов по акциям Общества, и порядка их выплаты;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об утверждении внутренних документов Общества;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согласии на совершение или о последующем одобрении сделки (нескольких взаимосвязанных сделок) Общества, признаваем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ой в соответствии с законодательством РФ крупной сделкой и (или) сделкой, в совершении которой имеется заинтересованность, а также иной сделки (нескольких взаимосвязанных сделок), размер которой составляет 10 и более процентов балансовой стоимости активов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определяемой по данным консолидированной финансовой отчетности </w:t>
      </w:r>
      <w:r>
        <w:rPr>
          <w:rFonts w:ascii="Times New Roman" w:hAnsi="Times New Roman" w:cs="Times New Roman" w:eastAsiaTheme="minorEastAsia"/>
          <w:b w:val="0"/>
          <w:color w:val="342a06"/>
          <w:sz w:val="24"/>
          <w:szCs w:val="24"/>
          <w:shd w:val="clear" w:color="auto" w:fill="auto"/>
        </w:rPr>
        <w:t xml:space="preserve">(финансовой отчетности) Общес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тва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на последнюю отчетную дату (дату окончания последнего завершенного отчетного периода, предшествующего дате принятия решения о согласии на совершение сделки или дате совершения сделки, если принимается решение о ее последующем одобрении);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 передаче полномочий единоличного исполнительного органа Общества управляющей организации или управляющему, об утверждении управляющей организации или управляющего и условий договора, заключаемого Обществом с управляющей организацией или управляющим;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2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об утверждении регистратора, осуществляющего ведение реестра владельцев ценных бумаг Общества, условий договора с ним в части ведения реестра владельцев ценных бумаг Общества, а также о расторжении договора с ним.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3.</w:t>
        <w:tab/>
        <w:t xml:space="preserve">О принятии решения о реорганизации или ликвидации лица, предоставившего обеспечение по облигациям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4.</w:t>
        <w:tab/>
        <w:t xml:space="preserve">О появлении у Общества или лица, предоставившего обеспечение по облигациям эмитента, признаков банкротства, предусмотренных Федеральным законом от 26 октября 2002 года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127-ФЗ «О несостоятельности (банкротстве)» (Собрание законодательства РФ, 2002, N 43, ст. 4190; 2021,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27, ст. 5181).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5.</w:t>
        <w:tab/>
        <w:t xml:space="preserve">О принятии арбитражным судом заявления о признании Общест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ва несостоятельным (банкротом), а также о принятии арбитражным судом решения о признании Общества несостоятельным (банкротом), введении в отношении Общества одной из процедур банкротства, прекращении в отношении Общества производства по делу о банкротстве.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6.</w:t>
        <w:tab/>
        <w:t xml:space="preserve">О дате, на которую определяются (фиксируются) лица, имеющие право на осуществление прав по ценным бумагам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7.</w:t>
        <w:tab/>
        <w:t xml:space="preserve">Об этапах процедуры эмиссии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8. </w:t>
        <w:tab/>
        <w:t xml:space="preserve">О приостановлении и возобновлении эмиссии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9. </w:t>
        <w:tab/>
        <w:t xml:space="preserve">О признании программы облигаций несостоявшейся, о признании выпуска (дополнительного выпуска) ценных бумаг Общества несостоявшимся или недействительным.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10.</w:t>
        <w:tab/>
        <w:t xml:space="preserve">О погашении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709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11. </w:t>
        <w:tab/>
        <w:t xml:space="preserve">О регистрации изменений в решение о выпуске ценных бумаг в части изменения объема прав по ценным бумагам и (или) номинальной стоимости ценных бумаг, в том числе при их консолидации или дроблении.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709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12. </w:t>
        <w:tab/>
        <w:t xml:space="preserve">О принятии решения о приобретении (наступлении оснований для приобретения) Обществом размещенных им ценных бумаг.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709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13.</w:t>
        <w:tab/>
        <w:t xml:space="preserve">О начисленных (объявленных) и (или) выплаченных доходах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по ценным бумагам Общества, об иных выплатах, причитающихся владельцам ценных бумаг Общества, а также о намерении исполнить обязанность по осуществлению выплат по облигациям Общества, права на которые учитываются в реестре владельцев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14.</w:t>
        <w:tab/>
        <w:t xml:space="preserve">О включении ценных бумаг Общества российским организатором торговли в список ценных бумаг, допущенных к организованным торгам для заключения договоров купли-продажи, в том числе о включении ценных бумаг Общества российской бирж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ей в котировальный список, или об исключении ценных бумаг Общества российским организатором торговли из списка ценных бумаг, допущенных к организованным торгам для заключения договоров купли-продажи, в том числе об исключении ценных бумаг Общества российск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ой биржей из котировального списка, а также о переводе ценных бумаг Общества из одного котировального списка в другой котировальный список (об исключении ценных бумаг Общества из одного котировального списка и о включении их в другой котировальный список).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15.</w:t>
        <w:tab/>
        <w:t xml:space="preserve">О включении ценных бумаг Общества (ценных бумаг иностранной организации, удостоверяющих права в отношении ценных бумаг российск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их эмитентов (далее - депозитарные ценные бумаги) в список ценных бумаг, допущенных к торгам на иностранном организованном (регулируемом) финансовом рынке, в том числе о включении указанных ценных бумаг иностранной биржей в котировальный список, и об исклю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чении ценных бумаг Общества (депозитарных ценных бумаг) из списка ценных бумаг, допущенных к торгам на иностранном организованном (регулируемом) финансовом рынке, в том числе об исключении указанных ценных бумаг иностранной биржей из котировального списка.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16. </w:t>
        <w:tab/>
        <w:t xml:space="preserve">О неисполнении обязательств Общества перед владельцами его ценных бумаг,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а также об изменении общего количества облигаций, обязательства по досрочному погашению которых не исполнены.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17.</w:t>
        <w:tab/>
        <w:t xml:space="preserve">О приобрет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ении лицом или прекращении у лица права прямо или косвенно (через подконтрольных ему лиц) самостоятельно или совместно с иными лицами, связанными с ним договором доверительного управления имуществом, и (или) простого товарищества, и (или) поручения, и (или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) акционерным соглашением, и (или) иным соглашением, предметом которого является осуществление прав, удостоверенных акциями (долями) Общества, распоряжаться определенным количеством голосов, приходящихся на голосующие акции (доли), составляющие уставный ка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питал Общества, если указанное количество голосов составляет 5 процентов либо стало больше или меньше 5, 10, 15, 20, 25, 30, 50, 75 или 95 процентов общего количества голосов, приходящихся на голосующие акции (доли), составляющие уставный капитал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18.</w:t>
        <w:tab/>
        <w:t xml:space="preserve">О поступившем Обществу в соответствии с главой XI.1 ФЗ от 26 декабря 1995 года « 208-ФЗ «Об акционерных обществах» (Собрание законодательства РФ, 1996,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1, ст. 1; 2006,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2, ст. 172; 2016,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27, ст. 4276) (далее - ФЗ «Об акционерных обществах») добровольном, в том числе конкурирующем, или обязательном предложении о приобретении его ценных бумаг, а также об изменениях, внесенных в указанные предложения.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19.</w:t>
        <w:tab/>
        <w:t xml:space="preserve">О поступившем Обществу в соответствии с главой XI ФЗ «Об акционерных обществах» уведомлении о праве требовать выкупа ценных бумаг Общества или требовании о выкупе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20.</w:t>
        <w:tab/>
        <w:t xml:space="preserve">О выявлении ошибок в ранее раскрытой отчетности Общества (бухгалтерской (финансовой) отчетности, консолидированной финансовой отчетности, финансовой отчетности).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21. </w:t>
        <w:tab/>
        <w:t xml:space="preserve">О совершении Обществом или подконтрольной Обществу организацией, имеющей для него существенное значение, определяемой в соответствии с пунктом 1.14 Положения Банка России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714-П (далее - подконтрольная эмитенту организация, имеющая для него существенное значение), сделки, размер которой составляет 10 и более процентов стоимости активов,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определенной по данным консолидированной финансовой отчетности Общества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на последнюю отчетную дату (дату окончания последнего завершенного отчетного периода, предшествующего дате совершения сделки).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22.</w:t>
        <w:tab/>
        <w:t xml:space="preserve">О совершении Обществом или подконтрольной Обществу организацией, имеющей для него существенное значение, сделки, в совершении которой имеется заинтересованность, соответствующей признакам, указанным в пункте 35.1 Положения Банка России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714-П.       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993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23.</w:t>
        <w:tab/>
        <w:t xml:space="preserve">Об изменении состава и (и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ли) размера предмета залога по облигациям Общества с залоговым обеспечением, а в случае изменения состава и (или) размера предмета залога по облигациям Общества с ипотечным покрытием - сведения об указанных изменениях, если они вызваны заменой любого обесп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еченного залогом требования, составляющего ипотечное покрытие облигаций, или заменой иного имущества, составляющего ипотечное покрытие облигаций, стоимость (денежная оценка) которого составляет 10 и более процентов от размера ипотечного покрытия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24.</w:t>
        <w:tab/>
        <w:t xml:space="preserve">О получении Обществом или прекращении у Общества права прямо или косвенно (через подкон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трольных ему лиц) самостоятельно или совместно с иными лицами, связанными с Обществом договором доверительного управления имуществом, и (или) простого товарищества, и (или) поручения, и (или) акционерным соглашением, и (или) иным соглашением, предметом кот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орого является осуществление прав, удостоверенных акциями (долями) организации, ценные бумаги которой допущены к организованным торгам, распоряжаться определенным количеством голосов, приходящихся на голосующие акции (доли), составляющие ее уставный капита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л, если указанное количество голосов составляет 5 процентов либо стало больше или меньше 5, 10, 15, 20, 25, 30, 50, 75 или 95 процентов общего количества голосов, приходящихся на голосующие акции (доли), составляющие уставный капитал указанной организации.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25.</w:t>
        <w:tab/>
        <w:t xml:space="preserve">О заключении контролирующим Общество лицом или подконтрольной Обществу организацией договора, предусматривающего обязанность приобретать ценные бумаги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26.</w:t>
        <w:tab/>
        <w:t xml:space="preserve">О возникновении и (или) прекращении у владельцев облигаций Общества права требовать от Общества досрочного погашения принадлежащих им облигаций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27.</w:t>
        <w:tab/>
        <w:t xml:space="preserve">О присвоении рейтинга Обществу и (или) его ценным бумагам, а также об изменении рейтинга кредитным рейтинговым агентством или иной организацией на основании заключенного с Обществом договора.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28.</w:t>
        <w:tab/>
        <w:t xml:space="preserve">О возбужде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нии производства по делу в суде по спору, связанному с созданием Общества, управлением им или участием в нем (далее - корпоративный спор), или иному спору, истцом или ответчиком по которому является Общество и размер требований по которому составляет 10 и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более процентов балансовой стоимости активов, определенной по данным бухгалтерской (финансовой) отчетности Общества на последнюю отчетную дату (дату окончания последнего завершенного отчетного периода, предшествующего дате принятия судом искового заявления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к производству) (далее - существенный спор), а также о принятии судебного акта, которым заканчивается рассмотрение дела по существу по корпоративному спору или существенному спору, за исключением информации, указанной в пункте 41.6 Положения Банка России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714-П.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29.</w:t>
        <w:tab/>
        <w:t xml:space="preserve">О размещении за пределами Российской Федерации облигаций или иных финансовых инструментов, удостоверяющих заемные обязательства, исполнение которых осуществляется за счет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30.</w:t>
        <w:tab/>
        <w:t xml:space="preserve">О решении Банка России об освобождении Общества от обязанности осуществлять раскрытие информации в соответствии со статьей 30 ФЗ «О рынке ценных бумаг» (Собрание законодательства РФ, 1996,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17, ст. 1918; 2018,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№ 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53, ст. 8440).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31.</w:t>
        <w:tab/>
        <w:t xml:space="preserve">О приобретении (отчуждении) голосующих акций (долей) Общества или депозитарных ценных бумаг, удостоверяющих права в отношении голосующих акций Общества, Обществ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ом или подконтрольной Обществу организацией, за исключением случаев приобретения голосующих акций Общества (депозитарных ценных бумаг, удостоверяющих права в отношении голосующих акций Общества) в процессе размещения голосующих акций Общества или приобрете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ния (отчуждения) голосующих акций Общества (депозитарных ценных бумаг, удостоверяющих права в отношении голосующих акций Общества) брокером и (или) доверительным управляющим, действующими от своего имени, но за счет клиента во исполнение поручения клиента.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32.</w:t>
        <w:tab/>
        <w:t xml:space="preserve">О проведении и повестке дня общего собрания владельцев облигаций Общества, о решениях, принятых общим собранием владельцев облигаций Общества, а также об объявлении общего собрания владельцев облигаций Общества несостоявшимся.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33.</w:t>
        <w:tab/>
        <w:t xml:space="preserve">Об определении Обществом облигаций представителя владельцев облигаций после регистрации выпуска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34.</w:t>
        <w:tab/>
        <w:t xml:space="preserve">О дате, с которой представитель владельцев облигаций осуществляет свои полномочия.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35.</w:t>
        <w:tab/>
        <w:t xml:space="preserve">О заключении Обществом соглашения о новации или предоставлении отступного, влекущего прекращение обязательств по облигациям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36.</w:t>
        <w:tab/>
        <w:t xml:space="preserve">О возникновении у владельцев конвертируемых ценных бумаг Общества права требовать от Общества конвертации принадлежащих им конвертируемых ценных бумаг Общества.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36.1.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Информация об отобранном Обществом проекте (проектах), для финансирования и (или) рефинансирования которого (которых) используются (будут использоваться) денежные средства, полученные от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размещения облигаций, выпуск (программа) которых дополнительно идентифицирован (идентифицирована) с использованием слов "зеленые облигации", "социальные облигации", "облигации устойчивого развития", "адаптационные облигации" (далее соответственно - зеленые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 облигации, социальные облигации, облигации устойчивого развития, адаптационные облигации), в случае если такой проект (проекты) не указан в решении о выпуске зеленых облигаций, социальных облигаций, облигаций устойчивого развития, адаптационных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36.2.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Информация о пр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оведении и результатах независимой внешней оценки соответствия выпуска (программы) зеленых облигаций, социальных облигаций, облигаций устойчивого развития, облигаций, выпуск (программа) которых дополнительно идентифицирован (идентифицирована) с использован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ием слов "облигации, связанные с целями устойчивого развития" (далее - облигации, связанные с целями устойчивого развития), адаптационных облигаций либо политики эмитента по использованию денежных средств, полученных от размещения указанных облигаций, или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проекта (проектов), на финансирование (рефинансирование) которого (которых) будут использованы денежные средства, полученные от размещения указанных облигаций, принципам и стандартам финансовых инструментов, указанным в решении о выпуске таких облигаций.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36.3. Информа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ция о проведении и результатах независимой внешней оценки изменений, внесенных в политику Общества по использованию денежных средств, полученных от размещения зеленых облигаций, социальных облигаций, облигаций устойчивого развития, адаптационных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36.4. Информация о проведении и результатах независимой внешней оценки изменений, внесенных в стратегию климатического перехода (если изменения касаются целевых показателей деятельности эмитента и их промежуточных и конеч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ных значений, международно признанного сценария изменения климата, являющегося основой для разработки стратегии климатического перехода эмитента, а также влияют на достижимость промежуточных и конечных значений целевых показателей деятельности эмитента пут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ем реализации стратегии климатического перехода эмитента) эмитента облигаций, выпуск (программа) которых дополнительно идентифицирован (идентифицирована) с использованием слов "облигации климатического перехода" (далее - облигации климатического перехода).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36.5. Информация о нецелевом использовании денежных средств, полученных от размещения зеленых облигаций, облигаций, выпуск (программа) которых дополнительно идентифицирован (идентифицирована) с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 использованием слов "инфраструктурные облигации", социальных облигаций, облигаций устойчивого развития, адаптационных облигаций, и о наступлении последствий нецелевого использования указанных денежных средств, предусмотренных решением о выпуске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36.6. Информация о нарушении принципов и стандартов финансовых инструментов, указанных в решении о выпуске облигац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ий, при реализации проекта (проектов), для финансирования и (или) рефинансирования которого (которых) используются денежные средства, полученные от размещения зеленых облигаций, социальных облигаций, облигаций устойчивого развития, адаптационных облигаций.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36.7. Информация о включении зеленых облигаций, социальных облигаций, облигаций устойчивого развития, адаптационных облигаци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й в перечень финансовых инструментов устойчивого развития, публикуемый на специализированной странице методологического центра Государственной корпорации развития "ВЭБ.РФ" в информационно-телекоммуникационной сети "Интернет", или в перечень финансовых инст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рументов устойчивого развития, ведение которого осуществляется Международной ассоциацией рынков капитала (ICMA) или Международной некоммерческой организацией "Инициатива климатических облигаций" (CBI), и об исключении таких облигаций из указанного перечня.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36.8. Информ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ация о достижении или недостижении промежуточных (при наличии) или конечного целевых значений ключевого показателя (показателей) деятельности эмитента облигаций, указанного (указанных) в решении о выпуске облигаций, связанных с целями устойчивого развития.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outlineLvl w:val="0"/>
      </w:pP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36.9. Информация о достижении или недостижении промежуточных или конечных значений целевых показателей деятел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ьности эмитента облигаций климатического перехода, указанных в стратегии эмитента по изменению его деятельности в целях перехода к низкоуглеродной экономике (энергоперехода), предотвращения изменений климата и достижения иных целей, установленных Парижским</w:t>
      </w:r>
      <w:r>
        <w:rPr>
          <w:rFonts w:ascii="Times New Roman" w:hAnsi="Times New Roman" w:cs="Times New Roman" w:eastAsiaTheme="minorEastAsia"/>
          <w:b w:val="0"/>
          <w:color w:val="000000"/>
          <w:sz w:val="24"/>
          <w:szCs w:val="24"/>
          <w:shd w:val="clear" w:color="auto" w:fill="auto"/>
          <w:lang w:val="ru-RU" w:eastAsia="ru-RU" w:bidi="ar-SA"/>
        </w:rPr>
        <w:t xml:space="preserve"> соглашением от 12 декабря 2015 года, принятым постановлением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 Правительства Российской Федерации от 21 сентября 2019 года 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№</w:t>
      </w:r>
      <w:r>
        <w:rPr>
          <w:rFonts w:ascii="Times New Roman" w:hAnsi="Times New Roman" w:cs="Times New Roman" w:eastAsiaTheme="minorEastAsia"/>
          <w:b w:val="0"/>
          <w:sz w:val="24"/>
          <w:szCs w:val="24"/>
          <w:shd w:val="clear" w:color="auto" w:fill="auto"/>
        </w:rPr>
        <w:t xml:space="preserve">1228 «О принятии Парижского соглашения» (вступило в силу для Российской Федерации 6 ноября 2019 года).</w:t>
      </w:r>
      <w:r/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37.</w:t>
        <w:tab/>
        <w:t xml:space="preserve">Информация, составляющая годовую консоли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дированную финансовую отчетность (финансовую отчетность) Общества, промежуточную консолидированную финансовую отчетность (финансовую отчетность) Общества за отчетный период, состоящий из 6 месяцев отчетного года, а также информация, содержащаяся в аудиторс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ких заключениях, подготовленных в отношении указанной отчетности, или ином документе, составляемом по результатам проверки промежуточной консолидированной финансовой отчетности (финансовой отчетности) в соответствии со стандартами аудиторской деятельности.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38.</w:t>
        <w:tab/>
        <w:t xml:space="preserve">Информация, содержащаяся в годовых отчетах Общества, за исключением информации, которая ранее уже была раскрыта.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39.</w:t>
        <w:tab/>
        <w:t xml:space="preserve">Информация, составляющая промежуточную бухгалтерскую (финансовую) отчетность Общества за отчетный период, состоящий из 3, 6 или 9 месяцев отчетного года, вместе с информацией, содержащейся в аудиторских заключениях, подготовленных в отно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шении указанной отчетности, в случае если в отношении указанной отчетности проведен аудит, а также информация, составляющая годовую бухгалтерскую (финансовую) отчетность Общества, вместе с аудиторским заключением о ней, если в отношении нее проведен аудит.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40.</w:t>
        <w:tab/>
        <w:t xml:space="preserve">Информация, содержащаяся в отчетах эмитентов эмиссионных ценных бумаг, составленных за отчетные периоды, состоящие из 6 месяцев и 12 месяцев, за исключением информации, которая ранее уже была раскрыта.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41.</w:t>
        <w:tab/>
        <w:t xml:space="preserve">Информация, содержащаяся в проспекте ценных бумаг Общества, за исключением информации, которая ранее уже была раскрыта.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42.</w:t>
        <w:tab/>
        <w:t xml:space="preserve">Информация, со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ставляющая условия размещения ценных бумаг, определенные Обществом в отдельном документе, за исключением информации, которая ранее уже была раскрыта (в случае отсутствия проспекта ценных бумаг или отсутствия в проспекте ценных бумаг условий их размещения).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43.</w:t>
        <w:tab/>
        <w:t xml:space="preserve">О заключении Обществом договора о стратегическом партнерстве или иного договора (сделки), за исключением договоров (сделок), предусмотренных пунктами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shd w:val="clear" w:color="auto" w:fill="auto"/>
          <w:lang w:val="ru-RU" w:eastAsia="ru-RU" w:bidi="ar-SA"/>
        </w:rPr>
        <w:t xml:space="preserve"> 21, 22 и 27 настоящего Перечня, если заключение такого договора (сделки) может оказать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существенное влияние на цену ценных бумаг эмитента, допущенных к организованным торгам (в отношении которых подана заявка о допуске к организованным торгам).</w:t>
      </w:r>
      <w:r/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44.</w:t>
        <w:tab/>
        <w:t xml:space="preserve">О принятии судом, арбитражным судом, Федеральной службой судебных приставов обеспечительных мер (в том числе налож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ения ареста) в отношении денежных средств или иного имущества, принадлежащего Обществу, контролирующей его организации, подконтрольной Обществу организации, имеющей для него существенное значение, либо предоставившему обеспечение по допущенным к организова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нным торгам (в отношении которых подана заявка о допуске к организованным торгам) облигациям Общества лицу, не являющемуся РФ, предоставившей государственную гарантию Российской Федерации, субъектом РФ, предоставившим государственную гарантию субъекта РФ,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или муниципальным образованием, предоставившим муниципальную гарантию, составляющих 10 или более процентов балансовой стоимости активов указанных лиц на день окончания последнего завершенного отчетного периода, предшествующего принятию обеспечительных мер.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45.</w:t>
        <w:tab/>
        <w:t xml:space="preserve">О приобретении лицом или прекращении у лица права прямо или косвенно (через подконтрольных ему лиц) самостоятельно или совместно с иными лицами, связанными с ним договором доверительного управления имуществом, и (или) простого тов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арищества, и (или) поручения, и (или) акционерным соглашением, и (или) иным соглашением, предметом которого является осуществление прав, удостоверенных акциями (долями) организации, предоставившей поручительство, гарантию или залог по облигациям Общества, 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допущенным к организованным торгам (в отношении которых подана заявка о допуске к организованным торгам), если лицо, предоставившее такое поручительство, гарантию или залог по таким облигациям, не является РФ, предоставившей государственную гарантию РФ, су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бъектом РФ, предоставившим государственную гарантию субъекта РФ, или муниципальным образованием, предоставившим муниципальную гарантию, распоряжаться определенным количеством голосов, приходящихся на голосующие акции (доли), составляющие ее уставный капита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л, если указанное количество голосов составляет 5 процентов либо стало больше или меньше 5, 10, 15, 20, 25, 30, 50, 75 или 95 процентов общего количества голосов, приходящихся на голосующие акции (доли), составляющие уставный капитал указанной организации.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46.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ab/>
        <w:t xml:space="preserve">О возбуждении уголовного дела (поступившая Обществу от органов предварительного следствия или органов дознания) в отношении лица, входящего в состав органов управления Общества, организации, контролирующей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Общество, подконтрольной Обществу организации, имеющей для него существенное значение, либо лица, предоставившего обеспечение по облигациям Общества, допущенным к организованным торгам (в отношении которых подана заявка о допуске к организованным торгам).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47.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ab/>
        <w:t xml:space="preserve">Информация, содержащаяся в материалах, на основании которых органами управления Общества, за исключением общего собрания акционеров, прин</w:t>
      </w: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имаются решения, которые могут оказать существенное влияние на цену ценных бумаг Общества, допущенных к организованным торгам (в отношении которых подана заявка о допуске к организованным торгам), за исключением информации, которая ранее уже была раскрыта.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65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outlineLvl w:val="0"/>
      </w:pPr>
      <w:r>
        <w:rPr>
          <w:rFonts w:ascii="Times New Roman" w:hAnsi="Times New Roman" w:cs="Times New Roman"/>
          <w:b w:val="0"/>
          <w:sz w:val="24"/>
          <w:szCs w:val="24"/>
          <w:shd w:val="clear" w:color="auto" w:fill="auto"/>
        </w:rPr>
        <w:t xml:space="preserve">48. Информация о произошедшей на эксплуатируемых Обществом опасных производственных объектах, определяемых в соответствии с Федеральным</w:t>
      </w:r>
      <w:r>
        <w:rPr>
          <w:rFonts w:ascii="Times New Roman" w:hAnsi="Times New Roman" w:eastAsia="Calibri" w:cs="Times New Roman"/>
          <w:b w:val="0"/>
          <w:color w:val="000000"/>
          <w:sz w:val="24"/>
          <w:szCs w:val="24"/>
          <w:shd w:val="clear" w:color="auto" w:fill="auto"/>
          <w:lang w:val="ru-RU" w:eastAsia="en-US" w:bidi="ar-SA"/>
        </w:rPr>
        <w:t xml:space="preserve"> законом от 21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auto"/>
        </w:rPr>
        <w:t xml:space="preserve"> июля 1997 года 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auto"/>
        </w:rPr>
        <w:t xml:space="preserve">№ 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auto"/>
        </w:rPr>
        <w:t xml:space="preserve">116-ФЗ «О промышл</w:t>
      </w:r>
      <w:r>
        <w:rPr>
          <w:rFonts w:ascii="Times New Roman" w:hAnsi="Times New Roman" w:cs="Times New Roman"/>
          <w:b w:val="0"/>
          <w:sz w:val="24"/>
          <w:szCs w:val="24"/>
          <w:shd w:val="clear" w:color="auto" w:fill="auto"/>
        </w:rPr>
        <w:t xml:space="preserve">енной безопасности опасных производственных объектов», аварии, если такая информация может оказать существенное влияние на цену ценных бумаг эмитента, допущенных к организованным торгам (в отношении которых подана заявка о допуске к организованным торгам).</w:t>
      </w:r>
      <w:r/>
    </w:p>
    <w:p>
      <w:pPr>
        <w:pStyle w:val="870"/>
        <w:numPr>
          <w:ilvl w:val="0"/>
          <w:numId w:val="0"/>
        </w:numPr>
        <w:ind w:left="0" w:firstLine="851"/>
        <w:jc w:val="both"/>
        <w:spacing w:line="440" w:lineRule="exact"/>
        <w:tabs>
          <w:tab w:val="clear" w:pos="708" w:leader="none"/>
          <w:tab w:val="left" w:pos="851" w:leader="none"/>
        </w:tabs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49.</w:t>
        <w:tab/>
        <w:t xml:space="preserve">Об иных событиях (действиях), оказывающих, по мнению Общества, существенное влияние на стоимость или котировки его ценных бумаг.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0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Noto Sans Devanagari">
    <w:panose1 w:val="020B0502040504020204"/>
  </w:font>
  <w:font w:name="Segoe UI">
    <w:panose1 w:val="020B050204050402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18954408"/>
      <w:docPartObj>
        <w:docPartGallery w:val="Page Numbers (Bottom of Page)"/>
        <w:docPartUnique w:val="true"/>
      </w:docPartObj>
      <w:rPr/>
    </w:sdtPr>
    <w:sdtContent>
      <w:p>
        <w:pPr>
          <w:pStyle w:val="87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11</w:t>
        </w:r>
        <w:r>
          <w:fldChar w:fldCharType="end"/>
        </w:r>
        <w:r/>
      </w:p>
    </w:sdtContent>
  </w:sdt>
  <w:p>
    <w:pPr>
      <w:pStyle w:val="8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16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88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860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9325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1004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1076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1485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1220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2925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59"/>
    <w:next w:val="859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basedOn w:val="860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59"/>
    <w:next w:val="859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basedOn w:val="860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59"/>
    <w:next w:val="859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basedOn w:val="860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59"/>
    <w:next w:val="859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basedOn w:val="860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59"/>
    <w:next w:val="859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basedOn w:val="860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59"/>
    <w:next w:val="859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basedOn w:val="860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59"/>
    <w:next w:val="859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basedOn w:val="860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59"/>
    <w:next w:val="859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basedOn w:val="86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59"/>
    <w:next w:val="859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basedOn w:val="860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59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59"/>
    <w:next w:val="859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basedOn w:val="860"/>
    <w:link w:val="704"/>
    <w:uiPriority w:val="10"/>
    <w:rPr>
      <w:sz w:val="48"/>
      <w:szCs w:val="48"/>
    </w:rPr>
  </w:style>
  <w:style w:type="paragraph" w:styleId="706">
    <w:name w:val="Subtitle"/>
    <w:basedOn w:val="859"/>
    <w:next w:val="859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basedOn w:val="860"/>
    <w:link w:val="706"/>
    <w:uiPriority w:val="11"/>
    <w:rPr>
      <w:sz w:val="24"/>
      <w:szCs w:val="24"/>
    </w:rPr>
  </w:style>
  <w:style w:type="paragraph" w:styleId="708">
    <w:name w:val="Quote"/>
    <w:basedOn w:val="859"/>
    <w:next w:val="859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59"/>
    <w:next w:val="859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character" w:styleId="712">
    <w:name w:val="Header Char"/>
    <w:basedOn w:val="860"/>
    <w:link w:val="873"/>
    <w:uiPriority w:val="99"/>
  </w:style>
  <w:style w:type="character" w:styleId="713">
    <w:name w:val="Footer Char"/>
    <w:basedOn w:val="860"/>
    <w:link w:val="874"/>
    <w:uiPriority w:val="99"/>
  </w:style>
  <w:style w:type="character" w:styleId="714">
    <w:name w:val="Caption Char"/>
    <w:basedOn w:val="867"/>
    <w:link w:val="874"/>
    <w:uiPriority w:val="99"/>
  </w:style>
  <w:style w:type="table" w:styleId="715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5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6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7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8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9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0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pPr>
      <w:jc w:val="left"/>
      <w:spacing w:before="0" w:after="160" w:line="259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60" w:default="1">
    <w:name w:val="Default Paragraph Font"/>
    <w:uiPriority w:val="1"/>
    <w:semiHidden/>
    <w:unhideWhenUsed/>
    <w:qFormat/>
  </w:style>
  <w:style w:type="character" w:styleId="861" w:customStyle="1">
    <w:name w:val="Текст выноски Знак"/>
    <w:basedOn w:val="860"/>
    <w:link w:val="871"/>
    <w:uiPriority w:val="99"/>
    <w:semiHidden/>
    <w:qFormat/>
    <w:rPr>
      <w:rFonts w:ascii="Segoe UI" w:hAnsi="Segoe UI" w:cs="Segoe UI"/>
      <w:sz w:val="18"/>
      <w:szCs w:val="18"/>
    </w:rPr>
  </w:style>
  <w:style w:type="character" w:styleId="862" w:customStyle="1">
    <w:name w:val="Верхний колонтитул Знак"/>
    <w:basedOn w:val="860"/>
    <w:uiPriority w:val="99"/>
    <w:qFormat/>
  </w:style>
  <w:style w:type="character" w:styleId="863" w:customStyle="1">
    <w:name w:val="Нижний колонтитул Знак"/>
    <w:basedOn w:val="860"/>
    <w:uiPriority w:val="99"/>
    <w:qFormat/>
  </w:style>
  <w:style w:type="paragraph" w:styleId="864">
    <w:name w:val="Заголовок"/>
    <w:basedOn w:val="859"/>
    <w:next w:val="86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5">
    <w:name w:val="Body Text"/>
    <w:basedOn w:val="859"/>
    <w:pPr>
      <w:spacing w:before="0" w:after="140" w:line="276" w:lineRule="auto"/>
    </w:pPr>
  </w:style>
  <w:style w:type="paragraph" w:styleId="866">
    <w:name w:val="List"/>
    <w:basedOn w:val="865"/>
    <w:rPr>
      <w:rFonts w:ascii="PT Astra Serif" w:hAnsi="PT Astra Serif" w:cs="Noto Sans Devanagari"/>
    </w:rPr>
  </w:style>
  <w:style w:type="paragraph" w:styleId="867">
    <w:name w:val="Caption"/>
    <w:basedOn w:val="859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68">
    <w:name w:val="Указатель"/>
    <w:basedOn w:val="859"/>
    <w:qFormat/>
    <w:pPr>
      <w:suppressLineNumbers/>
    </w:pPr>
    <w:rPr>
      <w:rFonts w:ascii="PT Astra Serif" w:hAnsi="PT Astra Serif" w:cs="Noto Sans Devanagari"/>
    </w:rPr>
  </w:style>
  <w:style w:type="paragraph" w:styleId="869" w:customStyle="1">
    <w:name w:val="ConsPlusTitle"/>
    <w:qFormat/>
    <w:pPr>
      <w:jc w:val="left"/>
      <w:spacing w:before="0" w:after="0" w:line="240" w:lineRule="auto"/>
      <w:widowControl w:val="off"/>
    </w:pPr>
    <w:rPr>
      <w:rFonts w:ascii="Calibri" w:hAnsi="Calibri" w:cs="Calibri" w:eastAsiaTheme="minorEastAsia"/>
      <w:b/>
      <w:color w:val="auto"/>
      <w:sz w:val="22"/>
      <w:szCs w:val="22"/>
      <w:lang w:val="ru-RU" w:eastAsia="ru-RU" w:bidi="ar-SA"/>
    </w:rPr>
  </w:style>
  <w:style w:type="paragraph" w:styleId="870" w:customStyle="1">
    <w:name w:val="ConsPlusNormal"/>
    <w:qFormat/>
    <w:pPr>
      <w:jc w:val="left"/>
      <w:spacing w:before="0" w:after="0" w:line="240" w:lineRule="auto"/>
      <w:widowControl w:val="off"/>
    </w:pPr>
    <w:rPr>
      <w:rFonts w:ascii="Calibri" w:hAnsi="Calibri" w:cs="Calibri" w:eastAsiaTheme="minorEastAsia"/>
      <w:color w:val="auto"/>
      <w:sz w:val="22"/>
      <w:szCs w:val="22"/>
      <w:lang w:val="ru-RU" w:eastAsia="ru-RU" w:bidi="ar-SA"/>
    </w:rPr>
  </w:style>
  <w:style w:type="paragraph" w:styleId="871">
    <w:name w:val="Balloon Text"/>
    <w:basedOn w:val="859"/>
    <w:link w:val="861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872">
    <w:name w:val="Колонтитул"/>
    <w:basedOn w:val="859"/>
    <w:qFormat/>
  </w:style>
  <w:style w:type="paragraph" w:styleId="873">
    <w:name w:val="Header"/>
    <w:basedOn w:val="859"/>
    <w:link w:val="862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4">
    <w:name w:val="Footer"/>
    <w:basedOn w:val="859"/>
    <w:link w:val="863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numbering" w:styleId="875" w:default="1">
    <w:name w:val="No List"/>
    <w:uiPriority w:val="99"/>
    <w:semiHidden/>
    <w:unhideWhenUsed/>
    <w:qFormat/>
  </w:style>
  <w:style w:type="table" w:styleId="87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Елена Александровна</dc:creator>
  <dc:description/>
  <dc:language>ru-RU</dc:language>
  <cp:revision>15</cp:revision>
  <dcterms:created xsi:type="dcterms:W3CDTF">2023-04-27T23:15:00Z</dcterms:created>
  <dcterms:modified xsi:type="dcterms:W3CDTF">2025-03-09T22:02:31Z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