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9"/>
        <w:numPr>
          <w:ilvl w:val="0"/>
          <w:numId w:val="0"/>
        </w:numPr>
        <w:ind w:left="360" w:firstLine="0"/>
        <w:jc w:val="right"/>
        <w:rPr>
          <w:highlight w:val="none"/>
          <w:shd w:val="clear" w:color="auto" w:fill="auto"/>
        </w:rPr>
        <w:outlineLvl w:val="0"/>
      </w:pPr>
      <w:r>
        <w:rPr>
          <w:rFonts w:ascii="Times New Roman" w:hAnsi="Times New Roman" w:cs="Times New Roman"/>
          <w:sz w:val="24"/>
          <w:szCs w:val="24"/>
          <w:shd w:val="clear" w:color="auto" w:fill="auto"/>
        </w:rPr>
        <w:t xml:space="preserve">Приложение 1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89"/>
        <w:numPr>
          <w:ilvl w:val="0"/>
          <w:numId w:val="0"/>
        </w:numPr>
        <w:ind w:left="360" w:firstLine="0"/>
        <w:jc w:val="right"/>
        <w:rPr>
          <w:rFonts w:ascii="Times New Roman" w:hAnsi="Times New Roman" w:cs="Times New Roman" w:eastAsiaTheme="minorEastAsia"/>
          <w:sz w:val="24"/>
          <w:szCs w:val="24"/>
          <w:shd w:val="clear" w:color="auto" w:fill="auto"/>
        </w:rPr>
        <w:outlineLvl w:val="0"/>
      </w:pPr>
      <w:r>
        <w:rPr>
          <w:rFonts w:ascii="Times New Roman" w:hAnsi="Times New Roman" w:cs="Times New Roman" w:eastAsiaTheme="minorEastAsia"/>
          <w:sz w:val="24"/>
          <w:szCs w:val="24"/>
          <w:shd w:val="clear" w:color="auto" w:fill="auto"/>
        </w:rPr>
        <w:t xml:space="preserve">к Приказу ПАО «Камчатскэнерго»</w:t>
      </w:r>
      <w:r>
        <w:rPr>
          <w:rFonts w:ascii="Times New Roman" w:hAnsi="Times New Roman" w:cs="Times New Roman" w:eastAsiaTheme="minorEastAsia"/>
          <w:sz w:val="24"/>
          <w:szCs w:val="24"/>
          <w:shd w:val="clear" w:color="auto" w:fill="auto"/>
        </w:rPr>
      </w:r>
      <w:r>
        <w:rPr>
          <w:rFonts w:ascii="Times New Roman" w:hAnsi="Times New Roman" w:cs="Times New Roman" w:eastAsiaTheme="minorEastAsia"/>
          <w:sz w:val="24"/>
          <w:szCs w:val="24"/>
          <w:shd w:val="clear" w:color="auto" w:fill="auto"/>
        </w:rPr>
      </w:r>
    </w:p>
    <w:p>
      <w:pPr>
        <w:pStyle w:val="889"/>
        <w:numPr>
          <w:ilvl w:val="0"/>
          <w:numId w:val="0"/>
        </w:numPr>
        <w:ind w:left="360" w:firstLine="0"/>
        <w:jc w:val="right"/>
        <w:rPr>
          <w:highlight w:val="none"/>
        </w:rPr>
        <w:outlineLvl w:val="0"/>
      </w:pPr>
      <w:r>
        <w:rPr>
          <w:rFonts w:ascii="Times New Roman" w:hAnsi="Times New Roman" w:cs="Times New Roman" w:eastAsiaTheme="minorEastAsia"/>
          <w:sz w:val="24"/>
          <w:szCs w:val="24"/>
          <w:shd w:val="clear" w:color="auto" w:fill="auto"/>
        </w:rPr>
        <w:t xml:space="preserve">от 10.03.2025 № 121А</w:t>
      </w:r>
      <w:r>
        <w:rPr>
          <w:highlight w:val="none"/>
        </w:rPr>
      </w:r>
    </w:p>
    <w:p>
      <w:pPr>
        <w:ind w:left="4820" w:right="58" w:firstLine="0"/>
        <w:shd w:val="clear" w:color="auto" w:fill="ffffff"/>
        <w:tabs>
          <w:tab w:val="clear" w:pos="720" w:leader="none"/>
          <w:tab w:val="left" w:pos="7513" w:leader="none"/>
        </w:tabs>
        <w:rPr>
          <w:spacing w:val="-1"/>
          <w:sz w:val="24"/>
          <w:szCs w:val="24"/>
        </w:rPr>
      </w:pPr>
      <w:r>
        <w:rPr>
          <w:bCs/>
          <w:spacing w:val="-1"/>
          <w:sz w:val="24"/>
          <w:szCs w:val="26"/>
          <w:highlight w:val="none"/>
        </w:rPr>
      </w:r>
      <w:r>
        <w:rPr>
          <w:spacing w:val="-1"/>
          <w:sz w:val="24"/>
          <w:szCs w:val="24"/>
        </w:rPr>
      </w:r>
      <w:r>
        <w:rPr>
          <w:spacing w:val="-1"/>
          <w:sz w:val="24"/>
          <w:szCs w:val="24"/>
        </w:rPr>
      </w:r>
    </w:p>
    <w:p>
      <w:pPr>
        <w:ind w:left="4820" w:right="58" w:firstLine="0"/>
        <w:shd w:val="clear" w:color="auto" w:fill="ffffff"/>
        <w:tabs>
          <w:tab w:val="clear" w:pos="720" w:leader="none"/>
          <w:tab w:val="left" w:pos="7513" w:leader="none"/>
        </w:tabs>
        <w:rPr>
          <w:spacing w:val="-1"/>
          <w:sz w:val="24"/>
          <w:szCs w:val="24"/>
          <w:highlight w:val="none"/>
        </w:rPr>
      </w:pPr>
      <w:r>
        <w:rPr>
          <w:bCs/>
          <w:spacing w:val="-1"/>
          <w:sz w:val="24"/>
          <w:szCs w:val="26"/>
          <w:highlight w:val="none"/>
        </w:rPr>
        <w:tab/>
      </w:r>
      <w:r>
        <w:rPr>
          <w:spacing w:val="-1"/>
          <w:sz w:val="24"/>
          <w:szCs w:val="24"/>
          <w:highlight w:val="none"/>
        </w:rPr>
      </w:r>
      <w:r>
        <w:rPr>
          <w:spacing w:val="-1"/>
          <w:sz w:val="24"/>
          <w:szCs w:val="24"/>
          <w:highlight w:val="none"/>
        </w:rPr>
      </w:r>
    </w:p>
    <w:p>
      <w:pPr>
        <w:pStyle w:val="810"/>
        <w:ind w:left="4820" w:right="58" w:firstLine="0"/>
        <w:jc w:val="right"/>
        <w:shd w:val="clear" w:color="auto" w:fill="ffffff"/>
        <w:tabs>
          <w:tab w:val="clear" w:pos="720" w:leader="none"/>
          <w:tab w:val="left" w:pos="7513" w:leader="none"/>
        </w:tabs>
        <w:rPr>
          <w:spacing w:val="-1"/>
          <w:sz w:val="24"/>
          <w:szCs w:val="24"/>
          <w:highlight w:val="none"/>
        </w:rPr>
      </w:pPr>
      <w:r>
        <w:rPr>
          <w:bCs/>
          <w:spacing w:val="-1"/>
          <w:sz w:val="24"/>
          <w:szCs w:val="26"/>
        </w:rPr>
        <w:t xml:space="preserve">УТВЕРЖДЕНО</w:t>
      </w:r>
      <w:r>
        <w:rPr>
          <w:spacing w:val="-1"/>
          <w:sz w:val="24"/>
          <w:szCs w:val="24"/>
          <w:highlight w:val="none"/>
        </w:rPr>
      </w:r>
      <w:r>
        <w:rPr>
          <w:spacing w:val="-1"/>
          <w:sz w:val="24"/>
          <w:szCs w:val="24"/>
          <w:highlight w:val="none"/>
        </w:rPr>
      </w:r>
    </w:p>
    <w:p>
      <w:pPr>
        <w:pStyle w:val="810"/>
        <w:ind w:left="4820" w:right="58" w:firstLine="0"/>
        <w:jc w:val="right"/>
        <w:shd w:val="clear" w:color="auto" w:fill="ffffff"/>
        <w:tabs>
          <w:tab w:val="clear" w:pos="720" w:leader="none"/>
          <w:tab w:val="left" w:pos="7513" w:leader="none"/>
        </w:tabs>
        <w:rPr>
          <w:bCs/>
          <w:spacing w:val="-1"/>
          <w:sz w:val="24"/>
          <w:szCs w:val="26"/>
        </w:rPr>
      </w:pPr>
      <w:r>
        <w:rPr>
          <w:bCs/>
          <w:spacing w:val="-1"/>
          <w:sz w:val="24"/>
          <w:szCs w:val="26"/>
        </w:rPr>
        <w:t xml:space="preserve">Решением Совета директоров </w:t>
      </w:r>
      <w:r>
        <w:rPr>
          <w:bCs/>
          <w:spacing w:val="-1"/>
          <w:sz w:val="24"/>
          <w:szCs w:val="26"/>
        </w:rPr>
      </w:r>
      <w:r>
        <w:rPr>
          <w:bCs/>
          <w:spacing w:val="-1"/>
          <w:sz w:val="24"/>
          <w:szCs w:val="26"/>
        </w:rPr>
      </w:r>
    </w:p>
    <w:p>
      <w:pPr>
        <w:pStyle w:val="810"/>
        <w:ind w:left="4820" w:right="58" w:firstLine="0"/>
        <w:jc w:val="right"/>
        <w:shd w:val="clear" w:color="auto" w:fill="ffffff"/>
        <w:tabs>
          <w:tab w:val="clear" w:pos="720" w:leader="none"/>
          <w:tab w:val="left" w:pos="7513" w:leader="none"/>
        </w:tabs>
        <w:rPr>
          <w:bCs/>
          <w:spacing w:val="-1"/>
          <w:sz w:val="24"/>
          <w:szCs w:val="26"/>
        </w:rPr>
      </w:pPr>
      <w:r>
        <w:rPr>
          <w:bCs/>
          <w:spacing w:val="-1"/>
          <w:sz w:val="24"/>
          <w:szCs w:val="26"/>
        </w:rPr>
        <w:t xml:space="preserve">ПАО «Камчатскэнерго» «</w:t>
      </w:r>
      <w:r>
        <w:rPr>
          <w:bCs/>
          <w:spacing w:val="-1"/>
          <w:sz w:val="24"/>
          <w:szCs w:val="26"/>
        </w:rPr>
        <w:t xml:space="preserve">06</w:t>
      </w:r>
      <w:r>
        <w:rPr>
          <w:bCs/>
          <w:spacing w:val="-1"/>
          <w:sz w:val="24"/>
          <w:szCs w:val="26"/>
        </w:rPr>
        <w:t xml:space="preserve">» </w:t>
      </w:r>
      <w:r>
        <w:rPr>
          <w:bCs/>
          <w:spacing w:val="-1"/>
          <w:sz w:val="24"/>
          <w:szCs w:val="26"/>
        </w:rPr>
        <w:t xml:space="preserve">марта</w:t>
      </w:r>
      <w:r>
        <w:rPr>
          <w:bCs/>
          <w:spacing w:val="-1"/>
          <w:sz w:val="24"/>
          <w:szCs w:val="26"/>
        </w:rPr>
        <w:t xml:space="preserve"> 2025 г.</w:t>
      </w:r>
      <w:r>
        <w:rPr>
          <w:bCs/>
          <w:spacing w:val="-1"/>
          <w:sz w:val="24"/>
          <w:szCs w:val="26"/>
        </w:rPr>
      </w:r>
      <w:r>
        <w:rPr>
          <w:bCs/>
          <w:spacing w:val="-1"/>
          <w:sz w:val="24"/>
          <w:szCs w:val="26"/>
        </w:rPr>
      </w:r>
    </w:p>
    <w:p>
      <w:pPr>
        <w:pStyle w:val="810"/>
        <w:ind w:left="4820" w:right="58" w:firstLine="0"/>
        <w:jc w:val="right"/>
        <w:shd w:val="clear" w:color="auto" w:fill="ffffff"/>
        <w:tabs>
          <w:tab w:val="clear" w:pos="720" w:leader="none"/>
          <w:tab w:val="left" w:pos="7513" w:leader="none"/>
        </w:tabs>
        <w:rPr>
          <w:bCs/>
          <w:spacing w:val="-1"/>
          <w:sz w:val="26"/>
          <w:szCs w:val="26"/>
        </w:rPr>
      </w:pPr>
      <w:r>
        <w:rPr>
          <w:bCs/>
          <w:spacing w:val="-1"/>
          <w:sz w:val="24"/>
          <w:szCs w:val="26"/>
        </w:rPr>
        <w:t xml:space="preserve">(</w:t>
      </w:r>
      <w:r>
        <w:rPr>
          <w:bCs/>
          <w:spacing w:val="-1"/>
          <w:sz w:val="24"/>
          <w:szCs w:val="26"/>
        </w:rPr>
        <w:t xml:space="preserve">п</w:t>
      </w:r>
      <w:r>
        <w:rPr>
          <w:bCs/>
          <w:spacing w:val="-1"/>
          <w:sz w:val="24"/>
          <w:szCs w:val="26"/>
        </w:rPr>
        <w:t xml:space="preserve">ротокол № </w:t>
      </w:r>
      <w:r>
        <w:rPr>
          <w:bCs/>
          <w:spacing w:val="-1"/>
          <w:sz w:val="24"/>
          <w:szCs w:val="26"/>
        </w:rPr>
        <w:t xml:space="preserve">12</w:t>
      </w:r>
      <w:r>
        <w:rPr>
          <w:bCs/>
          <w:spacing w:val="-1"/>
          <w:sz w:val="24"/>
          <w:szCs w:val="26"/>
        </w:rPr>
        <w:t xml:space="preserve"> от «</w:t>
      </w:r>
      <w:r>
        <w:rPr>
          <w:bCs/>
          <w:spacing w:val="-1"/>
          <w:sz w:val="24"/>
          <w:szCs w:val="26"/>
        </w:rPr>
        <w:t xml:space="preserve">06</w:t>
      </w:r>
      <w:r>
        <w:rPr>
          <w:bCs/>
          <w:spacing w:val="-1"/>
          <w:sz w:val="24"/>
          <w:szCs w:val="26"/>
        </w:rPr>
        <w:t xml:space="preserve">» </w:t>
      </w:r>
      <w:r>
        <w:rPr>
          <w:bCs/>
          <w:spacing w:val="-1"/>
          <w:sz w:val="24"/>
          <w:szCs w:val="26"/>
        </w:rPr>
        <w:t xml:space="preserve">марта </w:t>
      </w:r>
      <w:r>
        <w:rPr>
          <w:bCs/>
          <w:spacing w:val="-1"/>
          <w:sz w:val="24"/>
          <w:szCs w:val="26"/>
        </w:rPr>
        <w:t xml:space="preserve">2025 года)</w:t>
      </w:r>
      <w:r>
        <w:rPr>
          <w:bCs/>
          <w:spacing w:val="-1"/>
          <w:sz w:val="26"/>
          <w:szCs w:val="26"/>
        </w:rPr>
      </w:r>
      <w:r>
        <w:rPr>
          <w:bCs/>
          <w:spacing w:val="-1"/>
          <w:sz w:val="26"/>
          <w:szCs w:val="26"/>
        </w:rPr>
      </w:r>
    </w:p>
    <w:p>
      <w:pPr>
        <w:pStyle w:val="810"/>
        <w:ind w:right="58" w:firstLine="0"/>
        <w:shd w:val="clear" w:color="auto" w:fill="ffffff"/>
        <w:tabs>
          <w:tab w:val="clear" w:pos="720" w:leader="none"/>
          <w:tab w:val="left" w:pos="5387" w:leader="none"/>
          <w:tab w:val="left" w:pos="7513" w:leader="none"/>
        </w:tabs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ind w:right="1181" w:firstLine="0"/>
        <w:jc w:val="center"/>
        <w:shd w:val="clear" w:color="auto" w:fill="ffffff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  <w:r>
        <w:rPr>
          <w:b/>
          <w:bCs/>
          <w:spacing w:val="-1"/>
          <w:sz w:val="28"/>
          <w:szCs w:val="28"/>
        </w:rPr>
      </w:r>
    </w:p>
    <w:p>
      <w:pPr>
        <w:pStyle w:val="810"/>
        <w:jc w:val="center"/>
        <w:shd w:val="clear" w:color="auto" w:fill="ffffff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Положение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jc w:val="center"/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инсайдерской информации ПАО «Камчатскэнерго»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10"/>
        <w:jc w:val="center"/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(новая редакция)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10"/>
        <w:jc w:val="center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tabs>
          <w:tab w:val="clear" w:pos="720" w:leader="none"/>
          <w:tab w:val="left" w:pos="668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ind w:right="-74" w:hanging="530"/>
        <w:jc w:val="center"/>
        <w:spacing w:line="322" w:lineRule="exact"/>
        <w:shd w:val="clear" w:color="auto" w:fill="ffffff"/>
        <w:rPr>
          <w:sz w:val="28"/>
          <w:szCs w:val="28"/>
        </w:rPr>
        <w:sectPr>
          <w:footnotePr/>
          <w:endnotePr/>
          <w:type w:val="nextPage"/>
          <w:pgSz w:w="11906" w:h="16838" w:orient="portrait"/>
          <w:pgMar w:top="890" w:right="851" w:bottom="357" w:left="1644" w:header="0" w:footer="0" w:gutter="0"/>
          <w:cols w:num="1" w:sep="0" w:space="1701" w:equalWidth="1"/>
          <w:docGrid w:linePitch="360"/>
        </w:sectPr>
      </w:pPr>
      <w:r>
        <w:rPr>
          <w:sz w:val="28"/>
          <w:szCs w:val="28"/>
        </w:rPr>
        <w:t xml:space="preserve">2025</w:t>
      </w:r>
      <w: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10"/>
        <w:jc w:val="center"/>
        <w:spacing w:before="120" w:after="0"/>
        <w:rPr>
          <w:sz w:val="24"/>
          <w:szCs w:val="24"/>
        </w:rPr>
      </w:pPr>
      <w:r>
        <w:rPr>
          <w:sz w:val="24"/>
          <w:szCs w:val="24"/>
        </w:rPr>
        <w:t xml:space="preserve">СОДЕРЖАНИЕ</w:t>
      </w:r>
      <w:r>
        <w:rPr>
          <w:sz w:val="24"/>
          <w:szCs w:val="24"/>
        </w:rPr>
      </w:r>
      <w:r>
        <w:rPr>
          <w:sz w:val="24"/>
          <w:szCs w:val="24"/>
        </w:rPr>
      </w:r>
    </w:p>
    <w:sdt>
      <w:sdtPr>
        <w15:appearance w15:val="boundingBox"/>
        <w:docPartObj>
          <w:docPartGallery w:val="Table of Contents"/>
          <w:docPartUnique w:val="true"/>
        </w:docPartObj>
        <w:rPr/>
      </w:sdtPr>
      <w:sdtContent>
        <w:p>
          <w:pPr>
            <w:pStyle w:val="890"/>
          </w:pPr>
          <w:r>
            <w:fldChar w:fldCharType="begin"/>
          </w:r>
          <w:r>
            <w:rPr>
              <w:rStyle w:val="854"/>
            </w:rPr>
            <w:instrText xml:space="preserve"> TOC \z \o "1-3" \u \h</w:instrText>
          </w:r>
          <w:r>
            <w:rPr>
              <w:rStyle w:val="854"/>
            </w:rPr>
            <w:fldChar w:fldCharType="separate"/>
          </w:r>
          <w:hyperlink w:tooltip="#_Toc1" w:anchor="_Toc1" w:history="1">
            <w:r>
              <w:fldChar w:fldCharType="begin"/>
            </w:r>
            <w:r>
              <w:instrText xml:space="preserve">PAGEREF _Toc1 \h</w:instrText>
            </w:r>
            <w:r>
              <w:fldChar w:fldCharType="separate"/>
            </w:r>
            <w:r>
              <w:rPr>
                <w:rStyle w:val="854"/>
              </w:rPr>
              <w:t xml:space="preserve">ГЛОССАРИЙ</w:t>
              <w:tab/>
              <w:t xml:space="preserve">3</w:t>
            </w:r>
            <w:r>
              <w:fldChar w:fldCharType="end"/>
            </w:r>
          </w:hyperlink>
          <w:r/>
          <w:r/>
        </w:p>
        <w:p>
          <w:pPr>
            <w:pStyle w:val="890"/>
            <w:tabs>
              <w:tab w:val="left" w:pos="567" w:leader="none"/>
              <w:tab w:val="right" w:pos="9348" w:leader="dot"/>
            </w:tabs>
          </w:pPr>
          <w:r/>
          <w:hyperlink w:tooltip="#_Toc2" w:anchor="_Toc2" w:history="1">
            <w:r>
              <w:fldChar w:fldCharType="begin"/>
            </w:r>
            <w:r>
              <w:instrText xml:space="preserve">PAGEREF _Toc2 \h</w:instrText>
            </w:r>
            <w:r>
              <w:fldChar w:fldCharType="separate"/>
            </w:r>
            <w:r>
              <w:rPr>
                <w:rStyle w:val="854"/>
              </w:rPr>
              <w:t xml:space="preserve">1.ОБЩИЕ ПОЛОЖЕНИЯ</w:t>
              <w:tab/>
              <w:t xml:space="preserve">6</w:t>
            </w:r>
            <w:r>
              <w:fldChar w:fldCharType="end"/>
            </w:r>
          </w:hyperlink>
          <w:r/>
          <w:r/>
        </w:p>
        <w:p>
          <w:pPr>
            <w:pStyle w:val="890"/>
          </w:pPr>
          <w:r/>
          <w:hyperlink w:tooltip="#_Toc3" w:anchor="_Toc3" w:history="1">
            <w:r>
              <w:fldChar w:fldCharType="begin"/>
            </w:r>
            <w:r>
              <w:instrText xml:space="preserve">PAGEREF _Toc3 \h</w:instrText>
            </w:r>
            <w:r>
              <w:fldChar w:fldCharType="separate"/>
            </w:r>
            <w:r>
              <w:rPr>
                <w:rStyle w:val="854"/>
              </w:rPr>
              <w:t xml:space="preserve">2. ЦЕЛИ И ЗАДАЧИ НАСТОЯЩЕГО ПОЛОЖЕНИЯ</w:t>
              <w:tab/>
              <w:t xml:space="preserve">6</w:t>
            </w:r>
            <w:r>
              <w:fldChar w:fldCharType="end"/>
            </w:r>
          </w:hyperlink>
          <w:r/>
          <w:r/>
        </w:p>
        <w:p>
          <w:pPr>
            <w:pStyle w:val="890"/>
          </w:pPr>
          <w:r/>
          <w:hyperlink w:tooltip="#_Toc4" w:anchor="_Toc4" w:history="1">
            <w:r>
              <w:fldChar w:fldCharType="begin"/>
            </w:r>
            <w:r>
              <w:instrText xml:space="preserve">PAGEREF _Toc4 \h</w:instrText>
            </w:r>
            <w:r>
              <w:fldChar w:fldCharType="separate"/>
            </w:r>
            <w:r>
              <w:rPr>
                <w:rStyle w:val="854"/>
              </w:rPr>
              <w:t xml:space="preserve">3. ИНСАЙДЕРСКАЯ ИНФОРМАЦИЯ ОБЩЕСТВА</w:t>
              <w:tab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890"/>
          </w:pPr>
          <w:r/>
          <w:hyperlink w:tooltip="#_Toc5" w:anchor="_Toc5" w:history="1">
            <w:r>
              <w:fldChar w:fldCharType="begin"/>
            </w:r>
            <w:r>
              <w:instrText xml:space="preserve">PAGEREF _Toc5 \h</w:instrText>
            </w:r>
            <w:r>
              <w:fldChar w:fldCharType="separate"/>
            </w:r>
            <w:r>
              <w:rPr>
                <w:rStyle w:val="854"/>
              </w:rPr>
              <w:t xml:space="preserve">4. ИНСАЙДЕРЫ ОБЩЕСТВА</w:t>
              <w:tab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890"/>
            <w:rPr>
              <w:highlight w:val="white"/>
            </w:rPr>
          </w:pPr>
          <w:r/>
          <w:hyperlink w:tooltip="#_Toc7" w:anchor="_Toc7" w:history="1">
            <w:r>
              <w:rPr>
                <w:rStyle w:val="854"/>
                <w:highlight w:val="white"/>
              </w:rPr>
              <w:t xml:space="preserve">5. ВЕДЕНИЕ И ПРЕДОСТАВЛЕНИЕ СПИСКА ИНСАЙДЕРОВ ОБЩЕСТВА</w:t>
            </w:r>
            <w:r>
              <w:fldChar w:fldCharType="begin"/>
            </w:r>
            <w:r>
              <w:instrText xml:space="preserve">PAGEREF _Toc7 \h</w:instrText>
            </w:r>
            <w:r>
              <w:fldChar w:fldCharType="separate"/>
            </w:r>
            <w:r>
              <w:rPr>
                <w:rStyle w:val="854"/>
              </w:rPr>
              <w:tab/>
              <w:t xml:space="preserve">8</w:t>
            </w:r>
            <w:r>
              <w:fldChar w:fldCharType="end"/>
            </w:r>
          </w:hyperlink>
          <w:r>
            <w:rPr>
              <w:highlight w:val="white"/>
            </w:rPr>
          </w:r>
          <w:r>
            <w:rPr>
              <w:highlight w:val="white"/>
            </w:rPr>
          </w:r>
        </w:p>
        <w:p>
          <w:pPr>
            <w:pStyle w:val="890"/>
          </w:pPr>
          <w:r/>
          <w:hyperlink w:tooltip="#_Toc8" w:anchor="_Toc8" w:history="1">
            <w:r>
              <w:fldChar w:fldCharType="begin"/>
            </w:r>
            <w:r>
              <w:instrText xml:space="preserve">PAGEREF _Toc8 \h</w:instrText>
            </w:r>
            <w:r>
              <w:fldChar w:fldCharType="separate"/>
            </w:r>
            <w:r>
              <w:rPr>
                <w:rStyle w:val="854"/>
              </w:rPr>
              <w:t xml:space="preserve">6. ПОРЯДОК И СРОКИ РАСКРЫТИЯ ИНСАЙДЕРСКОЙ ИНФОРМАЦИИ</w:t>
              <w:tab/>
              <w:t xml:space="preserve">10</w:t>
            </w:r>
            <w:r>
              <w:fldChar w:fldCharType="end"/>
            </w:r>
          </w:hyperlink>
          <w:r/>
          <w:r/>
        </w:p>
        <w:p>
          <w:pPr>
            <w:pStyle w:val="890"/>
          </w:pPr>
          <w:r/>
          <w:hyperlink w:tooltip="#_Toc12" w:anchor="_Toc12" w:history="1">
            <w:r>
              <w:fldChar w:fldCharType="begin"/>
            </w:r>
            <w:r>
              <w:instrText xml:space="preserve">PAGEREF _Toc12 \h</w:instrText>
            </w:r>
            <w:r>
              <w:fldChar w:fldCharType="separate"/>
            </w:r>
            <w:r>
              <w:rPr>
                <w:rStyle w:val="854"/>
              </w:rPr>
              <w:t xml:space="preserve">7. УСЛОВИЯ СОВЕРШЕНИЯ ОПЕРАЦИЙ С ФИНАНСОВЫМИ ИНСТРУМЕНТАМИ ОБЩЕСТВА</w:t>
              <w:tab/>
              <w:t xml:space="preserve">10</w:t>
            </w:r>
            <w:r>
              <w:fldChar w:fldCharType="end"/>
            </w:r>
          </w:hyperlink>
          <w:r/>
          <w:r/>
        </w:p>
        <w:p>
          <w:pPr>
            <w:pStyle w:val="890"/>
          </w:pPr>
          <w:r/>
          <w:hyperlink w:tooltip="#_Toc13" w:anchor="_Toc13" w:history="1">
            <w:r>
              <w:fldChar w:fldCharType="begin"/>
            </w:r>
            <w:r>
              <w:instrText xml:space="preserve">PAGEREF _Toc13 \h</w:instrText>
            </w:r>
            <w:r>
              <w:fldChar w:fldCharType="separate"/>
            </w:r>
            <w:r>
              <w:rPr>
                <w:rStyle w:val="854"/>
              </w:rPr>
              <w:t xml:space="preserve">8. ПОРЯДОК ДОСТУПА И ПРАВИЛА ОХРАНЫ КОНФИДЕНЦИАЛЬНОСТИ ИНСАЙДЕРСКОЙ ИНФОРМАЦИИ И КОНТРОЛЯ ЗА СОБЛЮДЕНИЕМ ТРЕБОВАНИЙ ЗАКОНОДАТЕЛЬСТВА РОССИЙСКОЙ ФЕДЕРАЦИИ</w:t>
              <w:tab/>
              <w:t xml:space="preserve">11</w:t>
            </w:r>
            <w:r>
              <w:fldChar w:fldCharType="end"/>
            </w:r>
          </w:hyperlink>
          <w:r/>
          <w:r/>
        </w:p>
        <w:p>
          <w:pPr>
            <w:pStyle w:val="890"/>
          </w:pPr>
          <w:r/>
          <w:hyperlink w:tooltip="#_Toc16" w:anchor="_Toc16" w:history="1">
            <w:r>
              <w:fldChar w:fldCharType="begin"/>
            </w:r>
            <w:r>
              <w:instrText xml:space="preserve">PAGEREF _Toc16 \h</w:instrText>
            </w:r>
            <w:r>
              <w:fldChar w:fldCharType="separate"/>
            </w:r>
            <w:r>
              <w:rPr>
                <w:rStyle w:val="854"/>
              </w:rPr>
              <w:t xml:space="preserve">9. ОТВЕТСТВЕННОСТЬ</w:t>
              <w:tab/>
              <w:t xml:space="preserve">19</w:t>
            </w:r>
            <w:r>
              <w:fldChar w:fldCharType="end"/>
            </w:r>
          </w:hyperlink>
          <w:r/>
          <w:r/>
        </w:p>
        <w:p>
          <w:pPr>
            <w:pStyle w:val="890"/>
          </w:pPr>
          <w:r/>
          <w:hyperlink w:tooltip="#_Toc19" w:anchor="_Toc19" w:history="1">
            <w:r>
              <w:fldChar w:fldCharType="begin"/>
            </w:r>
            <w:r>
              <w:instrText xml:space="preserve">PAGEREF _Toc19 \h</w:instrText>
            </w:r>
            <w:r>
              <w:fldChar w:fldCharType="separate"/>
            </w:r>
            <w:r>
              <w:rPr>
                <w:rStyle w:val="854"/>
              </w:rPr>
              <w:t xml:space="preserve">10. ЗАКЛЮЧИТЕЛЬНЫЕ ПОЛОЖЕНИЯ</w:t>
              <w:tab/>
              <w:t xml:space="preserve">19</w:t>
            </w:r>
            <w:r>
              <w:fldChar w:fldCharType="end"/>
            </w:r>
          </w:hyperlink>
          <w:r>
            <w:rPr>
              <w:rStyle w:val="854"/>
            </w:rPr>
            <w:fldChar w:fldCharType="end"/>
          </w:r>
          <w:r/>
        </w:p>
      </w:sdtContent>
    </w:sdt>
    <w:p>
      <w:pPr>
        <w:pStyle w:val="810"/>
        <w:rPr>
          <w:b/>
          <w:bCs/>
          <w:spacing w:val="-2"/>
          <w:sz w:val="24"/>
          <w:szCs w:val="24"/>
        </w:rPr>
      </w:pPr>
      <w:r>
        <w:rPr>
          <w:b/>
          <w:bCs/>
          <w:spacing w:val="-2"/>
          <w:sz w:val="24"/>
          <w:szCs w:val="24"/>
        </w:rPr>
      </w:r>
      <w:r>
        <w:rPr>
          <w:b/>
          <w:bCs/>
          <w:spacing w:val="-2"/>
          <w:sz w:val="24"/>
          <w:szCs w:val="24"/>
        </w:rPr>
      </w:r>
      <w:r>
        <w:rPr>
          <w:b/>
          <w:bCs/>
          <w:spacing w:val="-2"/>
          <w:sz w:val="24"/>
          <w:szCs w:val="24"/>
        </w:rPr>
      </w:r>
    </w:p>
    <w:p>
      <w:pPr>
        <w:pStyle w:val="810"/>
        <w:spacing w:before="0" w:after="200" w:line="276" w:lineRule="auto"/>
        <w:widowControl/>
        <w:rPr>
          <w:b/>
          <w:bCs/>
          <w:spacing w:val="-2"/>
          <w:sz w:val="24"/>
          <w:szCs w:val="24"/>
        </w:rPr>
      </w:pPr>
      <w:r>
        <w:rPr>
          <w:b/>
          <w:bCs/>
          <w:spacing w:val="-2"/>
          <w:sz w:val="24"/>
          <w:szCs w:val="24"/>
        </w:rPr>
      </w:r>
      <w:bookmarkStart w:id="1" w:name="_GoBack"/>
      <w:r/>
      <w:bookmarkEnd w:id="1"/>
      <w:r>
        <w:br w:type="page" w:clear="all"/>
      </w:r>
      <w:r>
        <w:rPr>
          <w:b/>
          <w:bCs/>
          <w:spacing w:val="-2"/>
          <w:sz w:val="24"/>
          <w:szCs w:val="24"/>
        </w:rPr>
      </w:r>
      <w:r>
        <w:rPr>
          <w:b/>
          <w:bCs/>
          <w:spacing w:val="-2"/>
          <w:sz w:val="24"/>
          <w:szCs w:val="24"/>
        </w:rPr>
      </w:r>
    </w:p>
    <w:p>
      <w:pPr>
        <w:pStyle w:val="811"/>
      </w:pPr>
      <w:r/>
      <w:bookmarkStart w:id="2" w:name="_Toc1"/>
      <w:r>
        <w:t xml:space="preserve">ГЛОССАРИЙ</w:t>
      </w:r>
      <w:bookmarkEnd w:id="2"/>
      <w:r/>
      <w:r/>
    </w:p>
    <w:tbl>
      <w:tblPr>
        <w:tblStyle w:val="1022"/>
        <w:tblW w:w="9467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510"/>
        <w:gridCol w:w="5956"/>
      </w:tblGrid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Инсайдер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физическое или юридическое лицо, имеющее доступ к инсайдерской информации Общества в силу оснований, установленных законодательством Российской Федерации.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Инсайдерская информация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0" w:line="288" w:lineRule="atLeast"/>
              <w:widowControl w:val="off"/>
              <w:rPr>
                <w:rFonts w:eastAsia="Times New Roman" w:cs="Times New Roman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sz w:val="24"/>
                <w:lang w:val="ru-RU" w:eastAsia="ru-RU" w:bidi="ar-SA"/>
              </w:rPr>
              <w:t xml:space="preserve">точная и конкретная информация, которая не была распространена (в том числ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ru-RU" w:bidi="ar-SA"/>
              </w:rPr>
              <w:t xml:space="preserve">е сведения,</w:t>
            </w:r>
            <w:r>
              <w:rPr>
                <w:rFonts w:eastAsia="Times New Roman" w:cs="Times New Roman"/>
                <w:color w:val="000000"/>
                <w:sz w:val="24"/>
                <w:lang w:val="ru-RU" w:eastAsia="ru-RU" w:bidi="ar-SA"/>
              </w:rPr>
              <w:t xml:space="preserve"> составляющие коммерческую, служебную, банковскую тайну, тайну связи (в части информации о почтовых переводах денежных средств) и иную охра</w:t>
            </w:r>
            <w:r>
              <w:rPr>
                <w:rFonts w:eastAsia="Times New Roman" w:cs="Times New Roman"/>
                <w:color w:val="000000"/>
                <w:sz w:val="24"/>
                <w:lang w:val="ru-RU" w:eastAsia="ru-RU" w:bidi="ar-SA"/>
              </w:rPr>
              <w:t xml:space="preserve">няемую законом тайну) и распространение которой может оказать существенное влияние на цены финансовых инструментов, иностранной валюты и (или) товаров (в том числе сведения, касающиеся одного или нескольких эмитентов эмиссионных ценных бумаг (далее - эмите</w:t>
            </w:r>
            <w:r>
              <w:rPr>
                <w:rFonts w:eastAsia="Times New Roman" w:cs="Times New Roman"/>
                <w:color w:val="000000"/>
                <w:sz w:val="24"/>
                <w:lang w:val="ru-RU" w:eastAsia="ru-RU" w:bidi="ar-SA"/>
              </w:rPr>
              <w:t xml:space="preserve">нт), одной или нескольких управляющих компаний инвестиционных фондов, паевых инвестиционных фондов и негосударственных пенсионных фондов (далее - управляющая компания) либо одного или нескольких финансовых инструментов, иностранной валюты и (или) товаров).</w:t>
            </w:r>
            <w:r>
              <w:rPr>
                <w:rFonts w:eastAsia="Times New Roman" w:cs="Times New Roman"/>
                <w:lang w:val="ru-RU" w:eastAsia="ru-RU" w:bidi="ar-SA"/>
              </w:rPr>
            </w:r>
            <w:r>
              <w:rPr>
                <w:rFonts w:eastAsia="Times New Roman" w:cs="Times New Roman"/>
                <w:lang w:val="ru-RU" w:eastAsia="ru-RU" w:bidi="ar-SA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Конфиденциальность информации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sz w:val="24"/>
                <w:szCs w:val="24"/>
                <w:lang w:val="ru-RU" w:eastAsia="ru-RU" w:bidi="ar-SA"/>
              </w:rPr>
              <w:t xml:space="preserve">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обладателя.</w:t>
            </w: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Манипулирование рынком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умышленные действия, которые определены законодательством Российской Федерации о противодействии неправомерному использованию инсайдерской информации и манипулированию рынком или нормативными актами Банка России, в рез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ультате которых цена, спрос, предложение или объем торгов финансовым инструментом, иностранной валютой и (или) товаром отклонились от уровня или поддерживались на уровне, существенно отличающемся от того уровня, который сформировался бы без таких действий.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Неправомерное использование инсайдерской информации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sz w:val="24"/>
                <w:szCs w:val="24"/>
                <w:lang w:val="ru-RU" w:eastAsia="ru-RU" w:bidi="ar-SA"/>
              </w:rPr>
              <w:t xml:space="preserve">умышленное использование инсайдерской информации для осуществления операций с финансовыми инструментами Общества за свой счет либо за счет третьего лица, а равно умы</w:t>
            </w:r>
            <w:r>
              <w:rPr>
                <w:rFonts w:eastAsia="Times New Roman" w:cs="Times New Roman"/>
                <w:spacing w:val="-2"/>
                <w:sz w:val="24"/>
                <w:szCs w:val="24"/>
                <w:lang w:val="ru-RU" w:eastAsia="ru-RU" w:bidi="ar-SA"/>
              </w:rPr>
              <w:t xml:space="preserve">шленное использование инсайдерской информации путем дачи рекомендаций третьим лицам, обязывания или побуждения их иным образом к приобретению или продаже финансовых инструментов Общества, а также неправомерная передача инсайдерской информации другому лицу.</w:t>
            </w: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Обращение с инсайдерской информацией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получение, хранение, раскрытие и любое другое использование инсайдерской информации Общества.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Общество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Публичное акционерное общество энергетики и электрификации «Камчатскэнерго» (ПАО «Камчатскэнерго»)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Операции с финансовыми инструментами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совершение сделок и ины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е действия, направленные на приобретение, отчуждение, иное изменение прав на финансовые инструменты, а также действия, связанные с принятием обязательств совершить указанные действия, в том числе выставление заявок (дача поручений) или отмена таких заявок.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sz w:val="24"/>
                <w:szCs w:val="24"/>
                <w:highlight w:val="white"/>
                <w:lang w:val="ru-RU" w:eastAsia="ru-RU" w:bidi="ar-SA"/>
              </w:rPr>
              <w:t xml:space="preserve">Ответственное структурное подразделение –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spacing w:val="-2"/>
                <w:sz w:val="24"/>
                <w:szCs w:val="24"/>
                <w:highlight w:val="white"/>
                <w:lang w:val="ru-RU" w:eastAsia="ru-RU" w:bidi="ar-SA"/>
              </w:rPr>
              <w:t xml:space="preserve">структурное подразделение,</w:t>
            </w:r>
            <w:r>
              <w:rPr>
                <w:rFonts w:eastAsia="Times New Roman" w:cs="Times New Roman"/>
                <w:spacing w:val="-2"/>
                <w:sz w:val="24"/>
                <w:szCs w:val="24"/>
                <w:highlight w:val="white"/>
                <w:lang w:val="ru-RU" w:eastAsia="ru-RU" w:bidi="ar-SA"/>
              </w:rPr>
              <w:t xml:space="preserve"> в обязанности которого входит организация исполнения требований законодательства Российской Федерации об инсайдерской информации, принятых в соответствии с ним локальных нормативных документов (актов) Общества, назначаемое Генеральным директором Общество.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left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Перечень инсайдерской информации Общества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pacing w:val="-2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spacing w:val="-2"/>
                <w:sz w:val="24"/>
                <w:szCs w:val="24"/>
                <w:lang w:val="ru-RU" w:eastAsia="ru-RU" w:bidi="ar-SA"/>
              </w:rPr>
              <w:t xml:space="preserve">собственный перечень информации, относимой Обществом к инсайдерской, формируемый на основании перечня инсайдерской информации, утвержденного нормативным актом Банка России и </w:t>
            </w:r>
            <w:r>
              <w:rPr>
                <w:rFonts w:eastAsia="Times New Roman" w:cs="Times New Roman"/>
                <w:spacing w:val="-2"/>
                <w:sz w:val="24"/>
                <w:szCs w:val="24"/>
                <w:highlight w:val="white"/>
                <w:lang w:val="ru-RU" w:eastAsia="ru-RU" w:bidi="ar-SA"/>
              </w:rPr>
              <w:t xml:space="preserve">утверждаемый Генеральным директором Общества.</w:t>
            </w:r>
            <w:r>
              <w:rPr>
                <w:spacing w:val="-2"/>
                <w:sz w:val="24"/>
                <w:szCs w:val="24"/>
                <w:highlight w:val="white"/>
              </w:rPr>
            </w:r>
            <w:r>
              <w:rPr>
                <w:spacing w:val="-2"/>
                <w:sz w:val="24"/>
                <w:szCs w:val="24"/>
                <w:highlight w:val="white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Правила ВК ПНИИИМР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pa-IN"/>
              </w:rPr>
              <w:t xml:space="preserve">правила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 ПАО «Камчатскэнерго»</w:t>
            </w: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</w:tc>
      </w:tr>
      <w:tr>
        <w:trPr/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Раскрытие информации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обеспечение ее доступности всем заинтересованн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ым в этом лицам независимо от целей получения данной информации в соответствии с процедурой, гарантирующей ее нахождение и получение. Раскрытой информацией на рынке ценных бумаг признается информация, в отношении которой проведены действия по ее раскрытию.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Распространение информации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действия: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1) направленные на получение информации неопределенным кругом лиц или на передачу информации неопределенному кругу лиц, в том числе путем ее раскрытия в соответствии с законодательством Российской Федерации о ценных бумагах;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2)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 связанные с опубликованием информации в средствах массовой информации, в том числе в электронных, информационно-телекоммуникационных сетях, доступ к которым не ограничен определенным кругом лиц (включая информационно-телекоммуникационную сеть «Интернет»);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3) связанные с распространением информации через электронные, информационно-телекоммуникационные сети, доступ к которым не ограничен определенным кругом лиц (включая информационно-телекоммуникационную сеть «Интернет»).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Связанные с инсайдером лица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применительно к Инсайдеру – физическому лицу: супруги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, дети родители, иные близкие родственники, а также аффилированные с Инсайдером – физическим лицом или контролируемые им (прямо или косвенно) юридические лица; применительно к Инсайдеру – юридическому лицу: его аффилированные юридические и физические лица.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left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Список инсайдеров Общества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sz w:val="24"/>
                <w:szCs w:val="24"/>
                <w:lang w:val="ru-RU" w:eastAsia="ru-RU" w:bidi="ar-SA"/>
              </w:rPr>
              <w:t xml:space="preserve">перечень лиц, подлежащих включению в список лиц, имеющих доступ к инсайдерской информации.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left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Уполномоченное структурное подразделение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pacing w:val="-2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sz w:val="24"/>
                <w:szCs w:val="24"/>
                <w:lang w:val="ru-RU" w:eastAsia="ru-RU" w:bidi="ar-SA"/>
              </w:rPr>
              <w:t xml:space="preserve">уполномоченное структурное подразделение Общества, </w:t>
            </w:r>
            <w:r>
              <w:rPr>
                <w:rFonts w:eastAsia="Times New Roman" w:cs="Times New Roman"/>
                <w:spacing w:val="-2"/>
                <w:sz w:val="24"/>
                <w:szCs w:val="24"/>
                <w:lang w:val="ru-RU" w:eastAsia="ru-RU" w:bidi="ar-SA"/>
              </w:rPr>
              <w:t xml:space="preserve"> обязанности которого входит осуществление контроля исполнения Обществом требований законодательства Российской Федерации об инсайдерской информации, принятых в соответствии с ним внутренних документов Общества, назначаемое Генеральным директором Общества.</w:t>
            </w:r>
            <w:r>
              <w:rPr>
                <w:spacing w:val="-2"/>
                <w:sz w:val="24"/>
                <w:szCs w:val="24"/>
              </w:rPr>
            </w:r>
            <w:r>
              <w:rPr>
                <w:spacing w:val="-2"/>
                <w:sz w:val="24"/>
                <w:szCs w:val="24"/>
              </w:rPr>
            </w:r>
          </w:p>
        </w:tc>
      </w:tr>
      <w:tr>
        <w:trPr>
          <w:trHeight w:val="396"/>
        </w:trPr>
        <w:tc>
          <w:tcPr>
            <w:tcW w:w="3510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Финансовые инструменты Общества -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6" w:type="dxa"/>
            <w:textDirection w:val="lrTb"/>
            <w:noWrap w:val="false"/>
          </w:tcPr>
          <w:p>
            <w:pPr>
              <w:pStyle w:val="810"/>
              <w:jc w:val="both"/>
              <w:spacing w:before="0" w:after="120"/>
              <w:widowControl w:val="off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ценные бумаги Общества, допущенные к организованным торгам на территории Российской Федерации или производные финансовые инструменты.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10"/>
        <w:jc w:val="both"/>
        <w:spacing w:before="0" w:after="1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jc w:val="both"/>
        <w:keepNext/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jc w:val="both"/>
        <w:widowControl/>
        <w:rPr>
          <w:spacing w:val="-2"/>
          <w:sz w:val="12"/>
          <w:szCs w:val="12"/>
        </w:rPr>
      </w:pPr>
      <w:r>
        <w:rPr>
          <w:spacing w:val="-2"/>
          <w:sz w:val="12"/>
          <w:szCs w:val="12"/>
        </w:rPr>
      </w:r>
      <w:r>
        <w:rPr>
          <w:spacing w:val="-2"/>
          <w:sz w:val="12"/>
          <w:szCs w:val="12"/>
        </w:rPr>
      </w:r>
      <w:r>
        <w:rPr>
          <w:spacing w:val="-2"/>
          <w:sz w:val="12"/>
          <w:szCs w:val="12"/>
        </w:rPr>
      </w:r>
    </w:p>
    <w:p>
      <w:pPr>
        <w:pStyle w:val="810"/>
        <w:ind w:right="14" w:firstLine="0"/>
        <w:spacing w:line="228" w:lineRule="auto"/>
        <w:shd w:val="clear" w:color="auto" w:fill="ffffff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</w:r>
      <w:r>
        <w:rPr>
          <w:bCs/>
          <w:spacing w:val="-2"/>
          <w:sz w:val="24"/>
          <w:szCs w:val="24"/>
        </w:rPr>
      </w:r>
      <w:r>
        <w:rPr>
          <w:bCs/>
          <w:spacing w:val="-2"/>
          <w:sz w:val="24"/>
          <w:szCs w:val="24"/>
        </w:rPr>
      </w:r>
    </w:p>
    <w:p>
      <w:pPr>
        <w:pStyle w:val="810"/>
        <w:spacing w:before="0" w:after="200" w:line="276" w:lineRule="auto"/>
        <w:widowControl/>
        <w:rPr>
          <w:b/>
          <w:bCs/>
          <w:spacing w:val="-2"/>
          <w:sz w:val="24"/>
          <w:szCs w:val="24"/>
        </w:rPr>
      </w:pPr>
      <w:r>
        <w:rPr>
          <w:b/>
          <w:bCs/>
          <w:spacing w:val="-2"/>
          <w:sz w:val="24"/>
          <w:szCs w:val="24"/>
        </w:rPr>
      </w:r>
      <w:r>
        <w:br w:type="page" w:clear="all"/>
      </w:r>
      <w:r>
        <w:rPr>
          <w:b/>
          <w:bCs/>
          <w:spacing w:val="-2"/>
          <w:sz w:val="24"/>
          <w:szCs w:val="24"/>
        </w:rPr>
      </w:r>
      <w:r>
        <w:rPr>
          <w:b/>
          <w:bCs/>
          <w:spacing w:val="-2"/>
          <w:sz w:val="24"/>
          <w:szCs w:val="24"/>
        </w:rPr>
      </w:r>
    </w:p>
    <w:p>
      <w:pPr>
        <w:pStyle w:val="811"/>
        <w:numPr>
          <w:ilvl w:val="0"/>
          <w:numId w:val="1"/>
        </w:numPr>
        <w:spacing w:line="276" w:lineRule="auto"/>
      </w:pPr>
      <w:r/>
      <w:bookmarkStart w:id="3" w:name="_Toc2"/>
      <w:r>
        <w:t xml:space="preserve">ОБЩИЕ ПОЛОЖЕНИЯ</w:t>
      </w:r>
      <w:bookmarkEnd w:id="3"/>
      <w:r/>
      <w:r/>
    </w:p>
    <w:p>
      <w:pPr>
        <w:pStyle w:val="810"/>
        <w:ind w:right="5" w:firstLine="567"/>
        <w:jc w:val="both"/>
        <w:spacing w:line="276" w:lineRule="auto"/>
        <w:shd w:val="clear" w:color="auto" w:fill="ffffff"/>
        <w:tabs>
          <w:tab w:val="clear" w:pos="720" w:leader="none"/>
          <w:tab w:val="left" w:pos="1134" w:leader="none"/>
          <w:tab w:val="left" w:pos="1276" w:leader="none"/>
        </w:tabs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1.1. Положение об инсайдерской информации ПАО «Камчатскэнерго» (далее – Положение) разработано в</w:t>
      </w:r>
      <w:r>
        <w:rPr>
          <w:spacing w:val="-2"/>
          <w:sz w:val="24"/>
          <w:szCs w:val="24"/>
        </w:rPr>
        <w:t xml:space="preserve"> соответствии с требованиями Федерального закона от 27.07.2010 № 224-ФЗ «О противодействии неправомерному использованию инсайдерской информации и манипулированию рынком и о внесении изменений в законодательные акты Российской Федерации» (далее по тексту - </w:t>
      </w:r>
      <w:r>
        <w:rPr>
          <w:sz w:val="24"/>
          <w:szCs w:val="24"/>
          <w:lang w:bidi="pa-IN"/>
        </w:rPr>
        <w:t xml:space="preserve">Федеральный закон № 224-ФЗ</w:t>
      </w:r>
      <w:r>
        <w:rPr>
          <w:spacing w:val="-2"/>
          <w:sz w:val="24"/>
          <w:szCs w:val="24"/>
        </w:rPr>
        <w:t xml:space="preserve">), нормативных актов </w:t>
      </w:r>
      <w:r>
        <w:rPr>
          <w:sz w:val="24"/>
          <w:szCs w:val="24"/>
        </w:rPr>
        <w:t xml:space="preserve">Банка России, </w:t>
      </w:r>
      <w:r>
        <w:rPr>
          <w:spacing w:val="-2"/>
          <w:sz w:val="24"/>
          <w:szCs w:val="24"/>
        </w:rPr>
        <w:t xml:space="preserve">иных нормативно-правовых актов Российской Федерации и Устава Общества.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5" w:firstLine="567"/>
        <w:jc w:val="both"/>
        <w:spacing w:line="276" w:lineRule="auto"/>
        <w:shd w:val="clear" w:color="auto" w:fill="ffffff"/>
        <w:tabs>
          <w:tab w:val="clear" w:pos="720" w:leader="none"/>
          <w:tab w:val="left" w:pos="1134" w:leader="none"/>
          <w:tab w:val="left" w:pos="1276" w:leader="none"/>
        </w:tabs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Настоящее Положение регулирует отношения, возникающие в Обществе в связи с использованием информации, квалифицируемой в качестве инсайдерской.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5" w:firstLine="567"/>
        <w:jc w:val="both"/>
        <w:spacing w:line="276" w:lineRule="auto"/>
        <w:shd w:val="clear" w:color="auto" w:fill="ffffff"/>
        <w:tabs>
          <w:tab w:val="clear" w:pos="720" w:leader="none"/>
          <w:tab w:val="left" w:pos="1134" w:leader="none"/>
          <w:tab w:val="left" w:pos="1276" w:leader="none"/>
        </w:tabs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1.2. Настоящее Положение подготовлено в целях дальнейшего совершенствования практики корпоративного управления Общества, приведения ее в соответствие с нормами корпоративного управления и рекомендациями Банка России.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5" w:firstLine="567"/>
        <w:jc w:val="both"/>
        <w:spacing w:line="276" w:lineRule="auto"/>
        <w:shd w:val="clear" w:color="auto" w:fill="ffffff"/>
        <w:tabs>
          <w:tab w:val="clear" w:pos="720" w:leader="none"/>
          <w:tab w:val="left" w:pos="992" w:leader="none"/>
        </w:tabs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1.3. Настоящее Положение</w:t>
      </w:r>
      <w:r>
        <w:rPr>
          <w:spacing w:val="-2"/>
          <w:sz w:val="24"/>
          <w:szCs w:val="24"/>
        </w:rPr>
        <w:t xml:space="preserve"> является внутренним документом Общества, определяющим порядок доступа к инсайдерской информации Общества; правила охраны ее конфиденциальности, ограничения на ее использование, общие нормы о защите сведений, составляющих инсайдерскую информацию Общества; </w:t>
      </w:r>
      <w:r>
        <w:rPr>
          <w:spacing w:val="-2"/>
          <w:sz w:val="24"/>
          <w:szCs w:val="24"/>
          <w:highlight w:val="white"/>
        </w:rPr>
        <w:t xml:space="preserve">порядок и критерии отнесения информации к инсайдерской; </w:t>
      </w:r>
      <w:r>
        <w:rPr>
          <w:spacing w:val="-2"/>
          <w:sz w:val="24"/>
          <w:szCs w:val="24"/>
        </w:rPr>
        <w:t xml:space="preserve">перечень лиц, подлежащих включению в список лиц, имеющих доступ к инсайдерской информации; порядок и сроки раскрытия инсайдерской информации Общества; условия совершения операций с финансовыми инструментами Общества. 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5" w:firstLine="567"/>
        <w:jc w:val="both"/>
        <w:spacing w:line="276" w:lineRule="auto"/>
        <w:shd w:val="clear" w:color="auto" w:fill="ffffff"/>
        <w:tabs>
          <w:tab w:val="clear" w:pos="720" w:leader="none"/>
          <w:tab w:val="left" w:pos="1134" w:leader="none"/>
          <w:tab w:val="left" w:pos="1276" w:leader="none"/>
        </w:tabs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1.4. Утверждение Перечня инсайдерской информации Общества, правил внутреннего контроля по предотвращению, выявлению и пресечению неправомерного использования инсайдерской информации и (или) манипулирования рынком, назначение д</w:t>
      </w:r>
      <w:r>
        <w:rPr>
          <w:spacing w:val="-2"/>
          <w:sz w:val="24"/>
          <w:szCs w:val="24"/>
        </w:rPr>
        <w:t xml:space="preserve">олжностного лица, в обязанности которого входит осуществление контроля за исполнением Обществом требований законодательства Российской Федерации об инсайдерской информации, принятых в соответствии с ним локальных нормативных документов (актов) Общества, а </w:t>
      </w:r>
      <w:r>
        <w:rPr>
          <w:spacing w:val="-2"/>
          <w:sz w:val="24"/>
          <w:szCs w:val="24"/>
          <w:highlight w:val="white"/>
        </w:rPr>
        <w:t xml:space="preserve">также назначение </w:t>
      </w:r>
      <w:r>
        <w:rPr>
          <w:spacing w:val="-2"/>
          <w:sz w:val="24"/>
          <w:szCs w:val="24"/>
        </w:rPr>
        <w:t xml:space="preserve">ответственного структурного подразделения, в </w:t>
      </w:r>
      <w:r>
        <w:rPr>
          <w:spacing w:val="-2"/>
          <w:sz w:val="24"/>
          <w:szCs w:val="24"/>
        </w:rPr>
        <w:t xml:space="preserve">обязанности которого входит организация исполнения требований законодательства Российской Федерации об инсайдерской информации, принятых в соответствии с ним локальных нормативных документов (актов) Общества, осуществляется Генеральным директором Общества.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1"/>
      </w:pPr>
      <w:r/>
      <w:bookmarkStart w:id="4" w:name="_Toc3"/>
      <w:r>
        <w:t xml:space="preserve">2. ЦЕЛИ И ЗАДАЧИ НАСТОЯЩЕГО ПОЛОЖЕНИЯ</w:t>
      </w:r>
      <w:bookmarkEnd w:id="4"/>
      <w:r/>
      <w:r/>
    </w:p>
    <w:p>
      <w:pPr>
        <w:pStyle w:val="810"/>
        <w:ind w:right="5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2.1. Целями настоящего Положения являются: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5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2.1.1. Исполнение Обществом требований законодательства Российской Федерации по вопросам </w:t>
      </w:r>
      <w:r>
        <w:rPr>
          <w:sz w:val="24"/>
          <w:szCs w:val="24"/>
        </w:rPr>
        <w:t xml:space="preserve">противодействия неправомерному использованию инсайдерской информации и манипулированию рынком.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5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2.1.2. Защита прав и имущественных интересов акционеров Общества и иных владельцев ценных бумаг Общества.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5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2.1.3. Обеспечение экономической безопасности Общества.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5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2.1.4. Недопущение манипулирования ценами на финансовые инструменты Общества.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5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2.1.5. Защита репутации Общества и повышение уровня дове</w:t>
      </w:r>
      <w:r>
        <w:rPr>
          <w:spacing w:val="-2"/>
          <w:sz w:val="24"/>
          <w:szCs w:val="24"/>
        </w:rPr>
        <w:t xml:space="preserve">рия к Обществу со стороны акционеров, кредиторов, потенциальных инвесторов Общества, профессиональных участников рынка ценных бумаг, государственных органов, участников международного страхового и перестраховочного рынка, а также иных заинтересованных лиц.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5" w:firstLine="567"/>
        <w:jc w:val="both"/>
        <w:spacing w:line="276" w:lineRule="auto"/>
        <w:shd w:val="clear" w:color="auto" w:fill="ffffff"/>
        <w:tabs>
          <w:tab w:val="clear" w:pos="720" w:leader="none"/>
          <w:tab w:val="left" w:pos="1134" w:leader="none"/>
          <w:tab w:val="left" w:pos="1276" w:leader="none"/>
        </w:tabs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2.2. Основными задачами настоящего Положения являются предупреждение и пресечение случаев неправомерного использования инсайдерской информации Общества, которая н</w:t>
      </w:r>
      <w:r>
        <w:rPr>
          <w:spacing w:val="-2"/>
          <w:sz w:val="24"/>
          <w:szCs w:val="24"/>
        </w:rPr>
        <w:t xml:space="preserve">е является общедоступной, и раскрытие которой может оказать влияние на рыночную стоимость финансовых инструментов Общества, которые допущены к торговле на организованных торгах или в отношении которых подана заявка о допуске к торговле на указанных торгах.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1"/>
      </w:pPr>
      <w:r/>
      <w:bookmarkStart w:id="5" w:name="_Toc4"/>
      <w:r>
        <w:t xml:space="preserve">3. ИНСАЙДЕРСКАЯ ИНФОРМАЦИЯ ОБЩЕСТВА</w:t>
      </w:r>
      <w:bookmarkEnd w:id="5"/>
      <w:r/>
      <w:r/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3.1. Инсайдерская информация Общества признается инсайдерской при соблюдении следующих признаков (критерий</w:t>
      </w:r>
      <w:r>
        <w:rPr>
          <w:spacing w:val="-2"/>
          <w:sz w:val="24"/>
          <w:szCs w:val="24"/>
        </w:rPr>
        <w:t xml:space="preserve">) для принятия ее таковой: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3.1.1. Информация должна быть точной и конкретной, которая не была распространена или предоставлена (</w:t>
      </w:r>
      <w:r>
        <w:rPr>
          <w:color w:val="000000"/>
          <w:sz w:val="24"/>
          <w:szCs w:val="24"/>
        </w:rPr>
        <w:t xml:space="preserve">сведения,</w:t>
      </w:r>
      <w:r>
        <w:rPr>
          <w:color w:val="000000"/>
          <w:sz w:val="24"/>
        </w:rPr>
        <w:t xml:space="preserve"> составляющие коммерческую, служебную, банковскую тайну, тайну связи (в части информации о почтовых переводах денежных средств) и иную охраняемую законом тайну)</w:t>
      </w:r>
      <w:r>
        <w:rPr>
          <w:spacing w:val="-2"/>
          <w:sz w:val="24"/>
          <w:szCs w:val="24"/>
        </w:rPr>
        <w:t xml:space="preserve">).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3.1.2. Информация должна быть существенной, то есть способной оказать влияние на рыночную стоимость финансовых инструментов Общества.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3.1.3. Информация должна быть включена в исчерпывающий перечень инсайдерской информации, определенный нормативно-правовым актом Банка России и утвержденный локальным актом Общества.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spacing w:val="-2"/>
          <w:szCs w:val="24"/>
          <w:highlight w:val="white"/>
        </w:rPr>
      </w:pPr>
      <w:r>
        <w:rPr>
          <w:spacing w:val="-2"/>
          <w:sz w:val="24"/>
          <w:szCs w:val="24"/>
          <w:highlight w:val="white"/>
        </w:rPr>
        <w:t xml:space="preserve">3.2.</w:t>
      </w:r>
      <w:r>
        <w:rPr>
          <w:spacing w:val="-2"/>
          <w:sz w:val="24"/>
          <w:szCs w:val="24"/>
        </w:rPr>
        <w:t xml:space="preserve"> К инсайдерской информации Общества относится информация, исчерпывающий перечень которой утверждается нормативным актом Банка России и информация, определенная Обществом, как инсайдерская. </w:t>
      </w:r>
      <w:r>
        <w:rPr>
          <w:spacing w:val="-2"/>
          <w:szCs w:val="24"/>
          <w:highlight w:val="white"/>
        </w:rPr>
      </w:r>
      <w:r>
        <w:rPr>
          <w:spacing w:val="-2"/>
          <w:szCs w:val="24"/>
          <w:highlight w:val="white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3.3. Общество составляет Перечень на русском языке и  публикует на официальном сайте Общества по адресу </w:t>
      </w:r>
      <w:hyperlink r:id="rId13" w:tooltip="https://kamenergo.ru/investors/raskrytie/insayderskaya-informatsiya/" w:history="1">
        <w:r>
          <w:rPr>
            <w:color w:val="002060"/>
            <w:spacing w:val="-2"/>
            <w:sz w:val="24"/>
            <w:szCs w:val="24"/>
          </w:rPr>
          <w:t xml:space="preserve">https://kamenergo.ru</w:t>
        </w:r>
      </w:hyperlink>
      <w:r>
        <w:rPr>
          <w:spacing w:val="-2"/>
          <w:sz w:val="24"/>
          <w:szCs w:val="24"/>
        </w:rPr>
        <w:t xml:space="preserve">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3.4. Общество осуществляет контроль и принимает меры по актуализации соответствия Перечня нормативно-правовым актам Банка России.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3.5. К инсайдерской информации не относятся: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spacing w:val="-2"/>
          <w:szCs w:val="24"/>
        </w:rPr>
      </w:pPr>
      <w:r>
        <w:rPr>
          <w:spacing w:val="-2"/>
          <w:sz w:val="24"/>
          <w:szCs w:val="24"/>
        </w:rPr>
        <w:t xml:space="preserve">3.5.1. Сведения, ставшие доступными неограниченному кругу лиц, в том числе в результате их распространения;</w:t>
      </w:r>
      <w:r>
        <w:rPr>
          <w:spacing w:val="-2"/>
          <w:szCs w:val="24"/>
        </w:rPr>
      </w:r>
      <w:r>
        <w:rPr>
          <w:spacing w:val="-2"/>
          <w:szCs w:val="24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spacing w:val="-2"/>
          <w:szCs w:val="24"/>
        </w:rPr>
      </w:pPr>
      <w:r>
        <w:rPr>
          <w:spacing w:val="-2"/>
          <w:sz w:val="24"/>
          <w:szCs w:val="24"/>
        </w:rPr>
        <w:t xml:space="preserve">3.5.2. Осуществленные на основе общедос</w:t>
      </w:r>
      <w:r>
        <w:rPr>
          <w:spacing w:val="-2"/>
          <w:sz w:val="24"/>
          <w:szCs w:val="24"/>
        </w:rPr>
        <w:t xml:space="preserve">тупной информации исследования, прогнозы и оценки в отношении финансовых инструментов, иностранной валюты и (или) товаров, а также рекомендации и (или) предложения об осуществлении операций с финансовыми инструментами, иностранной валютой и (или) товарами.</w:t>
      </w:r>
      <w:r>
        <w:rPr>
          <w:spacing w:val="-2"/>
          <w:szCs w:val="24"/>
        </w:rPr>
      </w:r>
      <w:r>
        <w:rPr>
          <w:spacing w:val="-2"/>
          <w:szCs w:val="24"/>
        </w:rPr>
      </w:r>
    </w:p>
    <w:p>
      <w:pPr>
        <w:pStyle w:val="811"/>
      </w:pPr>
      <w:r/>
      <w:bookmarkStart w:id="6" w:name="_Toc5"/>
      <w:r>
        <w:t xml:space="preserve">4. ИНСАЙДЕРЫ ОБЩЕСТВА</w:t>
      </w:r>
      <w:bookmarkEnd w:id="6"/>
      <w:r/>
      <w:r/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4.1. Общество составляет и ведет Список инсайдеров Общества, в который включаются, в том числе:</w:t>
      </w:r>
      <w:r>
        <w:rPr>
          <w:bCs/>
          <w:spacing w:val="-2"/>
          <w:sz w:val="24"/>
          <w:szCs w:val="24"/>
        </w:rPr>
      </w:r>
      <w:r>
        <w:rPr>
          <w:bCs/>
          <w:spacing w:val="-2"/>
          <w:sz w:val="24"/>
          <w:szCs w:val="24"/>
        </w:rPr>
      </w:r>
    </w:p>
    <w:p>
      <w:pPr>
        <w:pStyle w:val="810"/>
        <w:ind w:firstLine="540"/>
        <w:jc w:val="both"/>
        <w:spacing w:line="276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4.1.1. Лица, имеющие доступ к инсайдерской информации </w:t>
      </w:r>
      <w:r>
        <w:rPr>
          <w:bCs/>
          <w:spacing w:val="-2"/>
          <w:sz w:val="24"/>
          <w:szCs w:val="24"/>
        </w:rPr>
        <w:t xml:space="preserve">Общества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</w:rPr>
        <w:t xml:space="preserve">на основании договоров, заключенных с соответствующими лицами, в том числе аудиторы (аудиторские организации), оценщики (юридические лица, с </w:t>
      </w:r>
      <w:r>
        <w:rPr>
          <w:sz w:val="24"/>
        </w:rPr>
        <w:t xml:space="preserve">которыми оценщики заключили трудовые договоры), п</w:t>
      </w:r>
      <w:r>
        <w:rPr>
          <w:sz w:val="24"/>
        </w:rPr>
        <w:t xml:space="preserve">рофессиональные участники рынка ценных бумаг, кредитные организации, иностранные банки, осуществляющие деятельность на территории Российской Федерации через свои филиалы в соответствии с Федеральным законом «О банках и банковской деятельности», страховые о</w:t>
      </w:r>
      <w:r>
        <w:rPr>
          <w:sz w:val="24"/>
        </w:rPr>
        <w:t xml:space="preserve">рганизации, иностранные страховые организации, имеющие право в соответствии с Законом Российской Федерации от 27.11.1992 № 4015-1 «Об организации страхового дела в Российской Федерации» осуществлять страховую деятельность на территории Российской Федерации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40"/>
        <w:jc w:val="both"/>
        <w:spacing w:line="276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4.1.2. Члены Совета директоров, члены Правления, Генеральный директор, члены Ревизионной комиссии Общества.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40"/>
        <w:jc w:val="both"/>
        <w:spacing w:line="276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4.1.3. Информационные агентства, осуществляющие раскрытие информации Общества.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40"/>
        <w:jc w:val="both"/>
        <w:spacing w:line="276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4.1.4. Лица, осуществляющие присвоение кредитных рейтингов Обществу, а также ценным бумагам.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40"/>
        <w:jc w:val="both"/>
        <w:spacing w:line="276" w:lineRule="auto"/>
        <w:widowControl/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4.1.5. Физические лица, имеющие доступ к инсайдерской информации Общества, на основании трудовых и (или) гражданско-правовых договоров, заключенных с </w:t>
      </w:r>
      <w:r>
        <w:rPr>
          <w:sz w:val="24"/>
          <w:szCs w:val="24"/>
          <w:highlight w:val="white"/>
        </w:rPr>
        <w:t xml:space="preserve">соответствующими лицами.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10"/>
        <w:ind w:firstLine="540"/>
        <w:jc w:val="both"/>
        <w:spacing w:line="276" w:lineRule="auto"/>
        <w:rPr>
          <w:highlight w:val="white"/>
        </w:rPr>
      </w:pPr>
      <w:r>
        <w:rPr>
          <w:sz w:val="24"/>
          <w:szCs w:val="24"/>
          <w:highlight w:val="white"/>
        </w:rPr>
        <w:t xml:space="preserve">4.2. </w:t>
      </w:r>
      <w:r>
        <w:rPr>
          <w:sz w:val="24"/>
          <w:highlight w:val="white"/>
        </w:rPr>
        <w:t xml:space="preserve">Лица, имеющие право прямо или косвенно (через подконтрольных им лиц) распоряжаться не менее чем 25 </w:t>
      </w:r>
      <w:r>
        <w:rPr>
          <w:sz w:val="24"/>
          <w:highlight w:val="white"/>
        </w:rPr>
        <w:t xml:space="preserve">процентами голосов в высшем органе управления Общества, а также лица, которые в силу владения акциями в уставном капитале Общества, имеют доступ к инсайдерской информации Общества на основании федеральных законов, Устава или внутренних документов Общества,</w:t>
      </w:r>
      <w:r>
        <w:rPr>
          <w:sz w:val="28"/>
          <w:szCs w:val="28"/>
        </w:rPr>
        <w:t xml:space="preserve"> </w:t>
      </w:r>
      <w:r>
        <w:rPr>
          <w:sz w:val="24"/>
          <w:highlight w:val="white"/>
        </w:rPr>
        <w:t xml:space="preserve">являются инсайдерами Общества, но не включаются в Список инсайдеров Общества.</w:t>
      </w:r>
      <w:r>
        <w:rPr>
          <w:highlight w:val="white"/>
        </w:rPr>
      </w:r>
      <w:r>
        <w:rPr>
          <w:highlight w:val="white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bCs/>
          <w:spacing w:val="-2"/>
          <w:sz w:val="24"/>
          <w:szCs w:val="24"/>
          <w:highlight w:val="white"/>
        </w:rPr>
      </w:pPr>
      <w:r/>
      <w:bookmarkStart w:id="7" w:name="Par9"/>
      <w:r/>
      <w:bookmarkStart w:id="8" w:name="Par1"/>
      <w:r/>
      <w:bookmarkStart w:id="9" w:name="Par4"/>
      <w:r/>
      <w:bookmarkStart w:id="10" w:name="Par6"/>
      <w:r/>
      <w:bookmarkStart w:id="11" w:name="Par8"/>
      <w:r/>
      <w:bookmarkStart w:id="12" w:name="Par11"/>
      <w:r/>
      <w:bookmarkStart w:id="13" w:name="Par12"/>
      <w:r/>
      <w:bookmarkEnd w:id="7"/>
      <w:r/>
      <w:bookmarkEnd w:id="8"/>
      <w:r/>
      <w:bookmarkEnd w:id="9"/>
      <w:r/>
      <w:bookmarkEnd w:id="10"/>
      <w:r/>
      <w:bookmarkEnd w:id="11"/>
      <w:r/>
      <w:bookmarkEnd w:id="12"/>
      <w:r/>
      <w:bookmarkEnd w:id="13"/>
      <w:r>
        <w:rPr>
          <w:bCs/>
          <w:spacing w:val="-2"/>
          <w:sz w:val="24"/>
          <w:szCs w:val="24"/>
          <w:highlight w:val="white"/>
        </w:rPr>
        <w:t xml:space="preserve">4.3. Инсайдеры Общества не вправе:</w:t>
      </w:r>
      <w:r>
        <w:rPr>
          <w:bCs/>
          <w:spacing w:val="-2"/>
          <w:sz w:val="24"/>
          <w:szCs w:val="24"/>
          <w:highlight w:val="white"/>
        </w:rPr>
      </w:r>
      <w:r>
        <w:rPr>
          <w:bCs/>
          <w:spacing w:val="-2"/>
          <w:sz w:val="24"/>
          <w:szCs w:val="24"/>
          <w:highlight w:val="white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4.3.1. Предоставлять, распространять и без согласия Общества использовать инсайдерскую информацию Общества в личных интересах или в интересах третьих лиц.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10"/>
        <w:ind w:firstLine="567"/>
        <w:jc w:val="both"/>
        <w:spacing w:line="276" w:lineRule="auto"/>
        <w:widowControl/>
        <w:rPr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4.3.2. Давать рекомендации третьим лицам, обязывать или побуждать их иным образом к приобретению или продаже финансовых инструментов Общества.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widowControl/>
        <w:rPr>
          <w:bCs/>
          <w:spacing w:val="-2"/>
          <w:sz w:val="24"/>
          <w:szCs w:val="24"/>
        </w:rPr>
      </w:pPr>
      <w:r>
        <w:rPr>
          <w:sz w:val="24"/>
          <w:szCs w:val="24"/>
        </w:rPr>
        <w:t xml:space="preserve">4.3.3. </w:t>
      </w:r>
      <w:r>
        <w:rPr>
          <w:bCs/>
          <w:spacing w:val="-2"/>
          <w:sz w:val="24"/>
          <w:szCs w:val="24"/>
        </w:rPr>
        <w:t xml:space="preserve">Использовать инсайдерскую информацию Общества для осуществления операций с финансовыми инструментами Общества, которых касается инсайдерская информация Общества, за свой счет или за счет третьего лица, за исключением совершения операций в рамках ис</w:t>
      </w:r>
      <w:r>
        <w:rPr>
          <w:bCs/>
          <w:spacing w:val="-2"/>
          <w:sz w:val="24"/>
          <w:szCs w:val="24"/>
        </w:rPr>
        <w:t xml:space="preserve">полнения обязательства по покупке или продаже финансовых инструментов Общества, срок исполнения которого наступил, если такое обязательство возникло в результате операции, совершенной до того, как лицу стала известна соответствующая инсайдерская информация</w:t>
      </w:r>
      <w:r>
        <w:rPr>
          <w:bCs/>
          <w:spacing w:val="-2"/>
          <w:sz w:val="24"/>
          <w:szCs w:val="24"/>
        </w:rPr>
      </w:r>
      <w:r>
        <w:rPr>
          <w:bCs/>
          <w:spacing w:val="-2"/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widowControl/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4.3.4. Передавать инсайдерскую информацию Общества д</w:t>
      </w:r>
      <w:r>
        <w:rPr>
          <w:bCs/>
          <w:spacing w:val="-2"/>
          <w:sz w:val="24"/>
          <w:szCs w:val="24"/>
        </w:rPr>
        <w:t xml:space="preserve">ругому лицу, за исключением случаев передачи этой информации лицу, включенному в Список инсайдеров Общества, в связи с исполнением обязанностей, установленных федеральными законами, либо в связи с исполнением трудовых обязанностей или исполнением договора.</w:t>
      </w:r>
      <w:r>
        <w:rPr>
          <w:bCs/>
          <w:spacing w:val="-2"/>
          <w:sz w:val="24"/>
          <w:szCs w:val="24"/>
        </w:rPr>
      </w:r>
      <w:r>
        <w:rPr>
          <w:bCs/>
          <w:spacing w:val="-2"/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widowControl/>
        <w:rPr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4.3.5. Осуществлять действия, относящиеся в соответствии с </w:t>
      </w:r>
      <w:r>
        <w:rPr>
          <w:sz w:val="24"/>
          <w:szCs w:val="24"/>
          <w:lang w:bidi="pa-IN"/>
        </w:rPr>
        <w:t xml:space="preserve">Федеральным законом </w:t>
      </w:r>
      <w:r>
        <w:rPr>
          <w:sz w:val="24"/>
          <w:szCs w:val="24"/>
          <w:lang w:bidi="pa-IN"/>
        </w:rPr>
        <w:br w:type="textWrapping" w:clear="all"/>
      </w:r>
      <w:r>
        <w:rPr>
          <w:sz w:val="24"/>
          <w:szCs w:val="24"/>
          <w:lang w:bidi="pa-IN"/>
        </w:rPr>
        <w:t xml:space="preserve">№ 224-ФЗ</w:t>
      </w:r>
      <w:r>
        <w:rPr>
          <w:bCs/>
          <w:spacing w:val="-2"/>
          <w:sz w:val="24"/>
          <w:szCs w:val="24"/>
        </w:rPr>
        <w:t xml:space="preserve"> к манипулированию рынком.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widowControl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4.4. </w:t>
      </w:r>
      <w:r>
        <w:rPr>
          <w:bCs/>
          <w:spacing w:val="-2"/>
          <w:sz w:val="24"/>
          <w:szCs w:val="24"/>
        </w:rPr>
        <w:t xml:space="preserve">По запросу Общества Инсайдеры обязаны у</w:t>
      </w:r>
      <w:r>
        <w:rPr>
          <w:sz w:val="24"/>
          <w:szCs w:val="24"/>
        </w:rPr>
        <w:t xml:space="preserve">ведомля</w:t>
      </w:r>
      <w:r>
        <w:rPr>
          <w:sz w:val="24"/>
          <w:szCs w:val="24"/>
        </w:rPr>
        <w:t xml:space="preserve">ть Общество об осуществленных ими операциях с ценными бумагами Общества и о заключении договоров, являющихся производными финансовыми инструментами, цена которых зависит от таких ценных бумаг, в порядке и сроки, установленные действующим законодательством.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4.5. При исключении из Списка инсайдеров Общества инсайдеры обязаны передать Обществу имеющиеся материальные носители информации, содержащие инсайдерскую информацию, а также уничтожить инсайдерскую информацию, предоставленную Инсайдеру в электронном виде.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widowControl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4.6. Обязательства Инсайдеров</w:t>
      </w:r>
      <w:r>
        <w:rPr>
          <w:spacing w:val="-2"/>
          <w:sz w:val="24"/>
          <w:szCs w:val="24"/>
        </w:rPr>
        <w:t xml:space="preserve"> в отношении инсайдерской информации Общества прекращаются в момент раскрытия соответствующей инсайдерской информации Общества в порядке, предусмотренном законодательством Российской Федерации, настоящим Положением и иными внутренними документами Общества.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811"/>
        <w:rPr>
          <w:highlight w:val="white"/>
        </w:rPr>
      </w:pPr>
      <w:r/>
      <w:bookmarkStart w:id="14" w:name="_Toc7"/>
      <w:r>
        <w:rPr>
          <w:highlight w:val="white"/>
        </w:rPr>
        <w:t xml:space="preserve">5. ВЕДЕНИЕ И ПРЕДОСТАВЛЕНИЕ СПИСКА ИНСАЙДЕРОВ ОБЩЕСТВА</w:t>
      </w:r>
      <w:bookmarkEnd w:id="14"/>
      <w:r>
        <w:rPr>
          <w:highlight w:val="white"/>
        </w:rPr>
      </w:r>
      <w:r>
        <w:rPr>
          <w:highlight w:val="white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5.1. </w:t>
      </w:r>
      <w:r>
        <w:rPr>
          <w:sz w:val="24"/>
          <w:szCs w:val="24"/>
        </w:rPr>
        <w:t xml:space="preserve">Общество ведет Список инсайдеров Общества в соответствии с требованиями </w:t>
      </w:r>
      <w:r>
        <w:rPr>
          <w:sz w:val="24"/>
          <w:szCs w:val="24"/>
          <w:lang w:bidi="pa-IN"/>
        </w:rPr>
        <w:t xml:space="preserve">Федерального закона № 224-ФЗ</w:t>
      </w:r>
      <w:r>
        <w:rPr>
          <w:sz w:val="24"/>
          <w:szCs w:val="24"/>
        </w:rPr>
        <w:t xml:space="preserve">, принятых в соответствии с ним нормативно-правовых актов и настоящего Положения.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5.2. Ведение Списка инсайдеров Общества, уведомление лиц о включении в Список инсайдеров и исключен</w:t>
      </w:r>
      <w:r>
        <w:rPr>
          <w:sz w:val="24"/>
          <w:szCs w:val="24"/>
        </w:rPr>
        <w:t xml:space="preserve">ии из Списка инсайдеров, передачу Списка инсайдеров Общества организатору торговли, а также Банку России по его требованию осуществляет структурное подразделение Общества, определяемое в соответствии с локальными нормативными документами (актами) Общества.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5.3. Общество составляет и ведет Список инсайдеров на русском языке в электронном формате.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5.4. Список инсайдеров Общества содержит следующую информацию: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5.4.1. Фамилию, имя, отчество, дату и место рождения, номер основного документа, удостоверяющего личность, сведения о дате выдачи указанного документа и выдавшем его органе,  адрес регистрации, занимаемую должность, номер пункта (номера пунктов) </w:t>
        <w:br/>
        <w:t xml:space="preserve">статьи 4 </w:t>
      </w:r>
      <w:r>
        <w:rPr>
          <w:sz w:val="24"/>
          <w:szCs w:val="24"/>
          <w:lang w:bidi="pa-IN"/>
        </w:rPr>
        <w:t xml:space="preserve">Федерального закона № 224-ФЗ</w:t>
      </w:r>
      <w:r>
        <w:rPr>
          <w:sz w:val="24"/>
          <w:szCs w:val="24"/>
        </w:rPr>
        <w:t xml:space="preserve">, в соответствии с которым (которыми) физическое лицо включено (исключено) в Список (из Списка) инсайдеров, а также основание включения (исключения) лица в Список (из Списка) – для физических лиц, находящихся в Списке инсайдеров Общества.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5.4.2. Полное фирменное наименование, ИНН, ОГРН, адрес юридического лица, указанный в едином государственном реестре юридических лиц или адрес для получения почтовой корреспонденции, номер пункта (номера пунктов) </w:t>
      </w:r>
      <w:hyperlink r:id="rId14" w:tooltip="consultantplus://offline/ref=2A4C38701EA8DA1D56F9FF996BA860A258B76325B025ABD93D583C08F0BC60239ADF4B02CCDC128Cv5IDO" w:history="1">
        <w:r>
          <w:rPr>
            <w:sz w:val="24"/>
            <w:szCs w:val="24"/>
          </w:rPr>
          <w:t xml:space="preserve">статьи 4</w:t>
        </w:r>
      </w:hyperlink>
      <w:r>
        <w:rPr>
          <w:sz w:val="24"/>
          <w:szCs w:val="24"/>
        </w:rPr>
        <w:t xml:space="preserve"> </w:t>
      </w:r>
      <w:r>
        <w:rPr>
          <w:sz w:val="24"/>
          <w:szCs w:val="24"/>
          <w:lang w:bidi="pa-IN"/>
        </w:rPr>
        <w:t xml:space="preserve">Федерального закона № 224-ФЗ</w:t>
      </w:r>
      <w:r>
        <w:rPr>
          <w:sz w:val="24"/>
          <w:szCs w:val="24"/>
        </w:rPr>
        <w:t xml:space="preserve">, в соответствии с которым (которыми) лицо включено (исключено) в Список (из Списка) инсайдеров, а также основание включения (исключения) л</w:t>
      </w:r>
      <w:r>
        <w:rPr>
          <w:sz w:val="24"/>
          <w:szCs w:val="24"/>
        </w:rPr>
        <w:t xml:space="preserve">ица в Список (из Списка) инсайдеров, или номер договора с юридическим лицом, включенным (исключенным) в Список (из Списка) инсайдеров, в связи с заключением (прекращением) которого соответствующее юридическое лицо включено (исключено) в Список (из Списка).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5.4.3. Дату, на которую Список инсайдеров Общества был создан или изменен.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5.4.4. Дату включения Инсайдера в Список инсайдеров Общества.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5.5. Юридические и физические лица, включенные в Список инсайдеров Общества, а также исключенные из Списка инсайдеров Общества, уведомляются о внесении (об исключении) соответствующей записи в кратчайшие сроки, но не позднее 7 (семи) ра</w:t>
      </w:r>
      <w:r>
        <w:rPr>
          <w:sz w:val="24"/>
          <w:szCs w:val="24"/>
        </w:rPr>
        <w:t xml:space="preserve">бочих дней с даты включения данных лиц в Список инсайдеров или исключения данных лиц из указанного списка. Уведомления лиц, включенных в Список инсайдеров Общества, об их включении в Список инсайдеров, осуществляется до передачи им инсайдерской информации.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5.6. Уведомление о включении лица в Список инсайдеров Общества или об исключении из него, составленное на основании </w:t>
      </w:r>
      <w:r>
        <w:rPr>
          <w:spacing w:val="-2"/>
          <w:sz w:val="24"/>
          <w:szCs w:val="24"/>
        </w:rPr>
        <w:t xml:space="preserve">нормативного акта Банка России</w:t>
      </w:r>
      <w:r>
        <w:rPr>
          <w:sz w:val="24"/>
          <w:szCs w:val="24"/>
        </w:rPr>
        <w:t xml:space="preserve">, передается под роспись Инсайдеру, или направляется на бумажном н</w:t>
      </w:r>
      <w:r>
        <w:rPr>
          <w:sz w:val="24"/>
          <w:szCs w:val="24"/>
        </w:rPr>
        <w:t xml:space="preserve">осителе путем направления заказного почтового отправления с уведомлением о вручении, или направляется в форме электронного документа посредством использования программно-технических средств и сети «Интернет», или в форме электронного документа посредством </w:t>
      </w:r>
      <w:r>
        <w:rPr>
          <w:sz w:val="24"/>
          <w:szCs w:val="24"/>
        </w:rPr>
        <w:t xml:space="preserve">использования информационных систем и комплексов программно-технических средств Общества, используемых для корпоративного информационного взаимодействия (в том числе электронной почты) для инсайдеров, указанных в пунктах 4.1.1 и 4.1.5 настоящего Положения.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5.7.</w:t>
      </w:r>
      <w:r>
        <w:rPr>
          <w:sz w:val="24"/>
          <w:szCs w:val="24"/>
        </w:rPr>
        <w:t xml:space="preserve"> Лица, включенные в Список инсайдеров Общества, должны предоставить Обществу свое подтверждение о том, что они знают об обязанностях, возникающих в связи с доступом к инсайдерской информации Общества, а также о мерах ответственности, налагаемых за злоупотр</w:t>
      </w:r>
      <w:r>
        <w:rPr>
          <w:sz w:val="24"/>
          <w:szCs w:val="24"/>
        </w:rPr>
        <w:t xml:space="preserve">ебление такой информацией или за ненадлежащее обращение с ней, информация о которых доводится Обществом одновременно с направлением уведомления о включении указанных лиц в Список инсайдеров. Уведомление с отметкой о его получении инсайдером и ознакомлении </w:t>
      </w:r>
      <w:r>
        <w:rPr>
          <w:sz w:val="24"/>
          <w:szCs w:val="24"/>
          <w:lang w:bidi="ru-RU"/>
        </w:rPr>
        <w:t xml:space="preserve">со статьями 5, 6, 7, 10 Федерального закона № 224-ФЗ, настоящим Положением, содержащим, в том числе, пор</w:t>
      </w:r>
      <w:r>
        <w:rPr>
          <w:sz w:val="24"/>
          <w:szCs w:val="24"/>
          <w:lang w:bidi="ru-RU"/>
        </w:rPr>
        <w:t xml:space="preserve">ядок доступа к инсайдерской информации, правила охраны ее конфиденциальности, Правилами ВК ПНИИИМР должно быть направлено инсайдером в Общество любым доступным способом (по адресам, указанным в Уведомлении, являющимся Приложением 1 к настоящему Положению).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5.8. Общество передает Список инсайдеров Общества организатору торговли, через которого совершаются операции с финансовыми инструментами, в Банк России по их требованию в порядке, установленном законодательством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1"/>
      </w:pPr>
      <w:r/>
      <w:bookmarkStart w:id="15" w:name="_Toc8"/>
      <w:r>
        <w:t xml:space="preserve">6. ПОРЯДОК И СРОКИ РАСКРЫТИЯ ИНСАЙДЕРСКОЙ ИНФОРМАЦИИ</w:t>
      </w:r>
      <w:bookmarkEnd w:id="15"/>
      <w:r/>
      <w:r/>
    </w:p>
    <w:p>
      <w:pPr>
        <w:pStyle w:val="810"/>
        <w:numPr>
          <w:ilvl w:val="0"/>
          <w:numId w:val="0"/>
        </w:numPr>
        <w:ind w:firstLine="567"/>
        <w:jc w:val="both"/>
        <w:spacing w:line="276" w:lineRule="auto"/>
        <w:rPr>
          <w:sz w:val="24"/>
          <w:szCs w:val="24"/>
        </w:rPr>
        <w:outlineLvl w:val="1"/>
      </w:pPr>
      <w:r/>
      <w:bookmarkStart w:id="16" w:name="_Toc9"/>
      <w:r>
        <w:rPr>
          <w:sz w:val="24"/>
          <w:szCs w:val="24"/>
        </w:rPr>
        <w:t xml:space="preserve">6.1. Общество осуществляет раскрытие Инсайдерской информации, в соответствии с требованиями, установленными законодательством Российской Федерации следующими способами:</w:t>
      </w:r>
      <w:bookmarkEnd w:id="16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6.1.1. Путем публикации в ленте новостей специализированного агентства по раскрытию информации компаний-эмитентов, аккредитованного Банком России - «Центра раскрытия корпоративной информации – Интерфакс» (далее – лента новостей) по адресу: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rPr>
          <w:sz w:val="24"/>
          <w:szCs w:val="24"/>
        </w:rPr>
      </w:pPr>
      <w:r/>
      <w:hyperlink r:id="rId15" w:tooltip="http://www.e-disclosure.ru/portal/company.aspx?id=1409" w:history="1">
        <w:r>
          <w:rPr>
            <w:color w:val="002060"/>
            <w:spacing w:val="-2"/>
            <w:sz w:val="24"/>
            <w:szCs w:val="24"/>
          </w:rPr>
          <w:t xml:space="preserve">http://www.e-disclosure.ru/portal/company.aspx?id=1409</w:t>
        </w:r>
      </w:hyperlink>
      <w:r>
        <w:rPr>
          <w:sz w:val="24"/>
          <w:szCs w:val="24"/>
        </w:rPr>
        <w:t xml:space="preserve">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6.1.2. Путем публикации на официальном сайте Общества </w:t>
      </w:r>
      <w:hyperlink r:id="rId16" w:tooltip="http://www.kamenergo.ru/" w:history="1">
        <w:r>
          <w:rPr>
            <w:rStyle w:val="838"/>
            <w:sz w:val="24"/>
            <w:szCs w:val="24"/>
          </w:rPr>
          <w:t xml:space="preserve">www.kamenergo.ru</w:t>
        </w:r>
      </w:hyperlink>
      <w:r>
        <w:rPr>
          <w:sz w:val="24"/>
          <w:szCs w:val="24"/>
        </w:rPr>
        <w:t xml:space="preserve"> 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6.2. Общество раскрывает Инсайдерскую информацию, перечень которой утверждается нормативным актом Банка России, в порядке и сроки, предусмотренные нормативными правовыми актами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Cs w:val="24"/>
        </w:rPr>
      </w:pPr>
      <w:r>
        <w:rPr>
          <w:sz w:val="24"/>
          <w:szCs w:val="24"/>
        </w:rPr>
        <w:t xml:space="preserve">6.3. Раскрытие инсайдерской информации осуществляется в ленте новостей и на официальном сайте Общества в сроки, установленные нормативными актами Банка России.</w:t>
      </w:r>
      <w:r>
        <w:rPr>
          <w:szCs w:val="24"/>
        </w:rPr>
      </w:r>
      <w:r>
        <w:rPr>
          <w:szCs w:val="24"/>
        </w:rPr>
      </w:r>
    </w:p>
    <w:p>
      <w:pPr>
        <w:pStyle w:val="810"/>
        <w:numPr>
          <w:ilvl w:val="0"/>
          <w:numId w:val="0"/>
        </w:numPr>
        <w:ind w:firstLine="567"/>
        <w:jc w:val="both"/>
        <w:spacing w:line="276" w:lineRule="auto"/>
        <w:rPr>
          <w:sz w:val="24"/>
          <w:szCs w:val="24"/>
        </w:rPr>
        <w:outlineLvl w:val="1"/>
      </w:pPr>
      <w:r/>
      <w:bookmarkStart w:id="17" w:name="_Toc10"/>
      <w:r>
        <w:rPr>
          <w:sz w:val="24"/>
          <w:szCs w:val="24"/>
        </w:rPr>
        <w:t xml:space="preserve">6.4. Доступ к текстам сообщений об Инсайдерской информации на официальном сайте Общества осуществляется в течение не менее 12 (двенадцати) месяцев с даты их опубликования.</w:t>
      </w:r>
      <w:bookmarkEnd w:id="17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numPr>
          <w:ilvl w:val="0"/>
          <w:numId w:val="0"/>
        </w:numPr>
        <w:ind w:firstLine="567"/>
        <w:jc w:val="both"/>
        <w:spacing w:line="276" w:lineRule="auto"/>
        <w:rPr>
          <w:sz w:val="24"/>
          <w:szCs w:val="24"/>
        </w:rPr>
        <w:outlineLvl w:val="1"/>
      </w:pPr>
      <w:r/>
      <w:bookmarkStart w:id="18" w:name="_Toc11"/>
      <w:r>
        <w:rPr>
          <w:sz w:val="24"/>
          <w:szCs w:val="24"/>
        </w:rPr>
        <w:t xml:space="preserve">6.5. С момента раскрытия Инсайдерской информации в ленте новостей и на официальном сайте Общества информация утрачивает статус инсайдерской и становится общедоступной.</w:t>
      </w:r>
      <w:bookmarkEnd w:id="18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1"/>
      </w:pPr>
      <w:r/>
      <w:bookmarkStart w:id="19" w:name="_Toc12"/>
      <w:r>
        <w:t xml:space="preserve">7. УСЛОВИЯ СОВЕРШЕНИЯ ОПЕРАЦИЙ С ФИНАНСОВЫМИ ИНСТРУМЕНТАМИ ОБЩЕСТВА</w:t>
      </w:r>
      <w:bookmarkEnd w:id="19"/>
      <w:r/>
      <w:r/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7.1. Инсайдерам Общества запрещается использовать инсайдерскую информацию Общества для осуществления операций с финансовыми инструментами Общества, которых касается инсайдерская информация.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color w:val="000000"/>
          <w:sz w:val="24"/>
        </w:rPr>
        <w:t xml:space="preserve">7.2. Условиями совершения операций с финансовыми инструментами Общества являются: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7.2.1 Инсайдеры Общества перед осуществлением операций с финансовыми инструментами Общества должны проверять является ли </w:t>
      </w:r>
      <w:r>
        <w:rPr>
          <w:sz w:val="24"/>
          <w:szCs w:val="24"/>
          <w:lang w:bidi="pa-IN"/>
        </w:rPr>
        <w:t xml:space="preserve">информация об Обществе, используемая при совершении сделки, общедоступной на момент совершения сделки.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  <w:lang w:bidi="pa-IN"/>
        </w:rPr>
        <w:t xml:space="preserve">7.2.2. Инсайдеры Общества должны воздерживаться от совершения любых операций с финансовыми инструментами Общества в течение периода, когда они располагают инсайдерской информацией, в том числе за 30 (тридцать) календарных дней до </w:t>
      </w:r>
      <w:r>
        <w:rPr>
          <w:sz w:val="24"/>
          <w:szCs w:val="24"/>
        </w:rPr>
        <w:t xml:space="preserve">опубликования промежуточной или годовой бухгалтерской (финансовой) о</w:t>
      </w:r>
      <w:r>
        <w:rPr>
          <w:sz w:val="24"/>
          <w:szCs w:val="24"/>
        </w:rPr>
        <w:t xml:space="preserve">тчетности Общества, составленной по Российским стандартам бухгалтерского учета либо консолидированной финансовой отчетности Группы Камчатскэнерго, составленной в соответствии с Международными стандартами финансовой отчетности (далее – отчетность Общества).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  <w:lang w:bidi="pa-IN"/>
        </w:rPr>
        <w:t xml:space="preserve">7.2.3. В случае принятия Инсайдером решения о совершении операции с финансовыми инструментами Общества рекомендуется совершать такие операции не ранее чем через 2 (два) рабочих дня и не поздне</w:t>
      </w:r>
      <w:r>
        <w:rPr>
          <w:sz w:val="24"/>
          <w:szCs w:val="24"/>
          <w:lang w:bidi="pa-IN"/>
        </w:rPr>
        <w:t xml:space="preserve">е 15 (пятнадцати) рабочих дней после выхода отчетности Общества. При этом, в указанный период Инсайдеры Общества должны воздерживаться от совершения любых операций с финансовыми инструментами Общества если они располагают Инсайдерской информацией Общества.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  <w:lang w:bidi="pa-IN"/>
        </w:rPr>
        <w:t xml:space="preserve">7.2.4. Покупка финансовых инструментов Общества допускается только в целях долгосрочного владения финансовыми инструментами Общества и не допускается в спекулятивных целях.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7.3. </w:t>
      </w:r>
      <w:r>
        <w:rPr>
          <w:sz w:val="24"/>
          <w:szCs w:val="24"/>
          <w:highlight w:val="white"/>
        </w:rPr>
        <w:t xml:space="preserve">Ответственное структурное подразделение м</w:t>
      </w:r>
      <w:r>
        <w:rPr>
          <w:sz w:val="24"/>
          <w:szCs w:val="24"/>
        </w:rPr>
        <w:t xml:space="preserve">ожет рекомендовать Инсайдерам Общества воздерживаться от совершения операций с финансовыми инструментами Общества в течение иных периодов времени, кроме указанных</w:t>
      </w:r>
      <w:r>
        <w:rPr>
          <w:sz w:val="24"/>
          <w:szCs w:val="24"/>
        </w:rPr>
        <w:t xml:space="preserve"> в пункте 7.2.2 настоящего Положения. В этом случае такая рекомендация будет доведена до Инсайдеров посредством размещения на Официальном сайте Общества в разделе «Инсайдерская информация», и может быть направлена по электронной почте или почтовой связью.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  <w:lang w:bidi="pa-IN"/>
        </w:rPr>
        <w:t xml:space="preserve">7.4. </w:t>
      </w:r>
      <w:r>
        <w:rPr>
          <w:color w:val="000000"/>
          <w:sz w:val="24"/>
        </w:rPr>
        <w:t xml:space="preserve">Совершение операций с финансовыми инструментами лицами, указанными в </w:t>
        <w:br/>
        <w:t xml:space="preserve">пунктах 4.1.2 и 4.1.5 настоящего Положения, включенными в список Инсайд</w:t>
      </w:r>
      <w:r>
        <w:rPr>
          <w:color w:val="000000"/>
          <w:sz w:val="24"/>
        </w:rPr>
        <w:t xml:space="preserve">еров Общества и связанными с ними лицами с нарушением условий совершения таких операций, перечисленных в пунктах 7.2.1 - 7.2.4 настоящего Положения, является основанием для привлечения указанных лиц к гражданско-правовой и (или) иным видам ответственности.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1"/>
      </w:pPr>
      <w:r/>
      <w:bookmarkStart w:id="20" w:name="_Toc13"/>
      <w:r>
        <w:t xml:space="preserve">8. ПОРЯДОК ДОСТУПА И ПРАВИЛА ОХРАНЫ КОНФИДЕНЦИАЛЬНОСТИ ИНСАЙДЕРСКОЙ ИНФОРМАЦИИ И КОНТРОЛЯ ЗА СОБЛЮДЕНИЕМ ТРЕБОВАНИЙ ЗАКОНОДАТЕЛЬСТВА РОССИЙСКОЙ ФЕДЕРАЦИИ</w:t>
      </w:r>
      <w:bookmarkEnd w:id="20"/>
      <w:r/>
      <w:r/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8.1. Настоящий Порядок доступа и правила охраны конфиденциальности инсайдерской информации направлены на предотвращение, выявление и пресечение неправомерного использования работниками и Инсайдерами Общества инсайдерской информации.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8.2. Настоящий Порядок доступа и правила охраны конфиденциальности инсайдерской информации разработаны на основе рекомендаций Банка России </w:t>
        <w:br/>
        <w:t xml:space="preserve">от 14.09.2018 № 23-МР.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8.3. Обеспечение доступа к инсайдерской информации Общества, ее сохранности и защиты основывается на следующих принципах: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8.3.1. Принцип следования этическим стандартам.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Организация процесса по обеспечению доступа к Инсайдерской информации Общества, ее сохранности и защиты осуществляется с учетом следования Кодексу корпоративной этики, утвержденного Советом директоров Общества 20.09.2024 (протокол № 4).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8.3.2. Принцип непрерывности и эффективности процесса обеспечения защиты и сохранности инсайдерской ин</w:t>
      </w:r>
      <w:r>
        <w:rPr>
          <w:sz w:val="24"/>
          <w:szCs w:val="24"/>
          <w:lang w:bidi="pa-IN"/>
        </w:rPr>
        <w:t xml:space="preserve">формации предусматривает постоянное использование Обществом взаимоувязанных программно-технических, организационных, правовых, нормативно-методических и других мер обеспечения информационной безопасности, в том числе в части защиты инсайдерской информации.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8.3.3. Принцип предотвращения конфликта интересов при обращении инсайдерской информации предполагает исключение предпос</w:t>
      </w:r>
      <w:r>
        <w:rPr>
          <w:sz w:val="24"/>
          <w:szCs w:val="24"/>
          <w:lang w:bidi="pa-IN"/>
        </w:rPr>
        <w:t xml:space="preserve">ылок для возникновения возможного конфликта интересов, своевременное выявление и устранение имеющихся конфликтов интересов. В Обществе приняты достаточные меры по предотвращению и урегулированию конфликта интересов при обращении с инсайдерской информацией.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8.3.4. Принцип соотв</w:t>
      </w:r>
      <w:r>
        <w:rPr>
          <w:sz w:val="24"/>
          <w:szCs w:val="24"/>
          <w:lang w:bidi="pa-IN"/>
        </w:rPr>
        <w:t xml:space="preserve">етствия мер по обеспечению защиты и сохранности инсайдерской информации, в том числе предотвращению, выявлению и пресечению ее неправомерного использования, характеру и масштабу деятельности организации предполагает адекватный выбор защитных мер в Обществе</w:t>
      </w:r>
      <w:r>
        <w:rPr>
          <w:sz w:val="24"/>
          <w:szCs w:val="24"/>
          <w:lang w:bidi="pa-IN"/>
        </w:rPr>
        <w:t xml:space="preserve">, обеспечивающий надежный уровень защиты инсайдерской информации с учетом затрат на реализацию таких мер в масштабе деятельности Общества. Меры по обеспечению защиты инсайдерской информации Общества соответствуют характеру и масштабу деятельности Общества.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9"/>
        <w:ind w:firstLine="540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Общество принимает следующие меры по обеспечению доступа, защиты и сохранности инсайдерской информации: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10"/>
        <w:numPr>
          <w:ilvl w:val="0"/>
          <w:numId w:val="0"/>
        </w:numPr>
        <w:ind w:firstLine="567"/>
        <w:jc w:val="both"/>
        <w:spacing w:line="276" w:lineRule="auto"/>
        <w:rPr>
          <w:sz w:val="24"/>
          <w:szCs w:val="24"/>
          <w:highlight w:val="white"/>
        </w:rPr>
        <w:outlineLvl w:val="1"/>
      </w:pPr>
      <w:r/>
      <w:bookmarkStart w:id="22" w:name="_Toc14"/>
      <w:r>
        <w:rPr>
          <w:sz w:val="24"/>
          <w:szCs w:val="24"/>
          <w:highlight w:val="white"/>
          <w:lang w:bidi="pa-IN"/>
        </w:rPr>
        <w:t xml:space="preserve">8.4.1. Доступ к инса</w:t>
      </w:r>
      <w:r>
        <w:rPr>
          <w:sz w:val="24"/>
          <w:szCs w:val="24"/>
          <w:highlight w:val="white"/>
          <w:lang w:bidi="pa-IN"/>
        </w:rPr>
        <w:t xml:space="preserve">йдерской информации Общества имеют только те лица, которые включены в Список инсайдеров Общества и осуществляют свои функции в рамках заключенных трудовых и/или гражданско-правовых договоров, а также в соответствии с законодательством Российской Федерации.</w:t>
      </w:r>
      <w:bookmarkEnd w:id="22"/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10"/>
        <w:numPr>
          <w:ilvl w:val="0"/>
          <w:numId w:val="0"/>
        </w:numPr>
        <w:ind w:firstLine="567"/>
        <w:jc w:val="both"/>
        <w:spacing w:line="276" w:lineRule="auto"/>
        <w:rPr>
          <w:sz w:val="24"/>
          <w:szCs w:val="24"/>
          <w:highlight w:val="white"/>
        </w:rPr>
        <w:outlineLvl w:val="1"/>
      </w:pPr>
      <w:r/>
      <w:bookmarkStart w:id="23" w:name="undefined"/>
      <w:r/>
      <w:bookmarkStart w:id="24" w:name="_Toc15"/>
      <w:r>
        <w:rPr>
          <w:sz w:val="24"/>
          <w:szCs w:val="24"/>
          <w:highlight w:val="white"/>
          <w:lang w:bidi="pa-IN"/>
        </w:rPr>
        <w:t xml:space="preserve">8.4.2. Члены органов управления и контроля Общества, а также работники Общества, за</w:t>
      </w:r>
      <w:r>
        <w:rPr>
          <w:sz w:val="24"/>
          <w:szCs w:val="24"/>
          <w:highlight w:val="white"/>
          <w:lang w:bidi="pa-IN"/>
        </w:rPr>
        <w:t xml:space="preserve">нимающие должность не ниже начальников Управлений и включенные в Список инсайдеров Общества, имеют доступ к любой инсайдерской информации Общества, за исключением случаев, когда их доступ к определенной информации органичен Генеральным директором Общества.</w:t>
      </w:r>
      <w:bookmarkEnd w:id="23"/>
      <w:r>
        <w:rPr>
          <w:sz w:val="24"/>
          <w:szCs w:val="24"/>
          <w:highlight w:val="white"/>
          <w:lang w:bidi="pa-IN"/>
        </w:rPr>
        <w:t xml:space="preserve"> </w:t>
      </w:r>
      <w:bookmarkEnd w:id="24"/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bidi="pa-IN"/>
        </w:rPr>
        <w:t xml:space="preserve">8.4.</w:t>
      </w:r>
      <w:r>
        <w:rPr>
          <w:sz w:val="24"/>
          <w:szCs w:val="24"/>
          <w:highlight w:val="white"/>
          <w:lang w:bidi="pa-IN"/>
        </w:rPr>
        <w:t xml:space="preserve">3. Иные лица, включенные в Список инсайдеров Общества, имеют доступ только к той инсайдерской информации, которая необходима им для исполнения своих трудовых и/или иных обязанностей в рамках заключенных с ними трудовых и/или гражданско-правовых договоров.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bidi="pa-IN"/>
        </w:rPr>
        <w:t xml:space="preserve">8.5. В случае необходимости предоставления доступа к определенной инсайдерской информации Общества лицам, не включенным в Список инсайдеров Общества, такое предоставление осуществляется после включения их в Список инсайдеров Общества.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10"/>
        <w:ind w:firstLine="567"/>
        <w:jc w:val="both"/>
        <w:spacing w:line="276" w:lineRule="auto"/>
      </w:pPr>
      <w:r>
        <w:rPr>
          <w:sz w:val="24"/>
          <w:szCs w:val="24"/>
          <w:lang w:bidi="pa-IN"/>
        </w:rPr>
        <w:t xml:space="preserve">8.6.</w:t>
      </w:r>
      <w:r>
        <w:rPr>
          <w:sz w:val="24"/>
          <w:szCs w:val="24"/>
          <w:highlight w:val="white"/>
          <w:lang w:bidi="pa-IN"/>
        </w:rPr>
        <w:t xml:space="preserve"> Общество вправе вводить специальные процедуры и меры, </w:t>
      </w:r>
      <w:r>
        <w:rPr>
          <w:sz w:val="24"/>
          <w:szCs w:val="24"/>
          <w:lang w:bidi="pa-IN"/>
        </w:rPr>
        <w:t xml:space="preserve">по обеспечению доступа к инсайдерской информации, ее защиты и сохранности, </w:t>
      </w:r>
      <w:r>
        <w:rPr>
          <w:sz w:val="24"/>
          <w:szCs w:val="24"/>
          <w:highlight w:val="white"/>
          <w:lang w:bidi="pa-IN"/>
        </w:rPr>
        <w:t xml:space="preserve">в том числе, но не ограничиваясь:</w:t>
      </w:r>
      <w:r/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8.6.1. Ограничивать права доступа к инсайдерской информации Общества для инсайдеров – работников Общества.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8.6.2. Определять места и источники хранения инсайдерской информации Общества, а также разрешать доступ к инсайдерской информации Общества в определенных местах, с определенных носителей или в определенных источниках доступа.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8.6.3. Устанавливать рабочие места работников структурных подразделений, имеющих доступ к инсайдерской информации, в помещениях, отделенных от помещений, в которых находятся рабочие места работников иных структурных подразделений Общества.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8.6.4. Обеспечивать расположение мониторов компьютеров работников, имеющих доступ к инсайдерской информации Общества, исключающее риски ознакомления с инсайдерской информацией иными лицами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8.6.5. Обеспечивать разграничение прав доступа к базам данных работников, осуществляющих ввод инсайдерской информации в базы данных, и работников, осуществляющих последующую обработку инсайдерской информации.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8.6.6. </w:t>
      </w:r>
      <w:r>
        <w:rPr>
          <w:sz w:val="24"/>
          <w:szCs w:val="24"/>
          <w:highlight w:val="white"/>
          <w:lang w:bidi="pa-IN"/>
        </w:rPr>
        <w:t xml:space="preserve">Обеспечивать использование системы защиты информационно-технических систем, предохраняющие от потери инсайдерской информации и несанкционированного доступа к рабочим местам, компьютерам, м</w:t>
      </w:r>
      <w:r>
        <w:rPr>
          <w:sz w:val="24"/>
          <w:szCs w:val="24"/>
          <w:highlight w:val="white"/>
          <w:lang w:bidi="pa-IN"/>
        </w:rPr>
        <w:t xml:space="preserve">ашинным носителям информации работников Общества, имеющих доступ к инсайдерской информации, в том числе предусматривать средства идентификации субъектов доступа и объектов доступа, присваивать субъектам и объектам доступа уникальный признак (идентификатор)</w:t>
      </w:r>
      <w:r>
        <w:rPr>
          <w:sz w:val="24"/>
          <w:szCs w:val="24"/>
          <w:lang w:bidi="pa-IN"/>
        </w:rPr>
        <w:t xml:space="preserve">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highlight w:val="white"/>
        </w:rPr>
      </w:pPr>
      <w:r>
        <w:rPr>
          <w:sz w:val="24"/>
          <w:szCs w:val="24"/>
          <w:lang w:bidi="pa-IN"/>
        </w:rPr>
        <w:t xml:space="preserve">8.6.7. Осуществлять контроль за передачей средств идентификации работников Общества, имеющих доступ к инсайдерской информации, иным лицам.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8.6.8. Устанавливать копировальные машины, принтеры и аналогичные устройства, используемые работниками Общества, имеющих доступ к инсайдерской информации Общества, в местах, не доступных иным лицам.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8.6.9. Устанавливать ограничения на использование личных средств связи, компьютеров, машинных носителей информации работниками Общества при осуществлении своих должностных обязанностей.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8.6.10. Проводить пе</w:t>
      </w:r>
      <w:r>
        <w:rPr>
          <w:sz w:val="24"/>
          <w:szCs w:val="24"/>
          <w:lang w:bidi="pa-IN"/>
        </w:rPr>
        <w:t xml:space="preserve">реговоры в отдельных помещениях (комнатах переговоров), обеспечивающих исключение возможности неправомерного распространения информации о факте и содержании указанных переговоров, в случае наличия риска неправомерного использования инсайдерской информации.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8.6.11. Обеспечивать хранение документов, содержащих сведения, составляющие инсайдерскую информацию, в местах, доступ к которым ограничен.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8.6.12. Обеспечивать возможность передачи инсайдерской информации без согласия ответственного структурного подразделения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при передаче инсайдерской информации должностным лицам, определенным Обществом.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8.6.13. </w:t>
      </w:r>
      <w:r>
        <w:rPr>
          <w:sz w:val="24"/>
          <w:szCs w:val="24"/>
          <w:highlight w:val="white"/>
          <w:lang w:bidi="pa-IN"/>
        </w:rPr>
        <w:t xml:space="preserve">Определять дол</w:t>
      </w:r>
      <w:r>
        <w:rPr>
          <w:sz w:val="24"/>
          <w:szCs w:val="24"/>
          <w:lang w:bidi="pa-IN"/>
        </w:rPr>
        <w:t xml:space="preserve">жностных лиц (структурные подразделения), инсайдерская информация которым предается без согласия ответственного структурного подразделения, из числа работников, осуществляющих следующие функции: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административно-распорядительные функции;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функции внутреннего контроля за деятельностью организации;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Cs w:val="24"/>
          <w:lang w:bidi="pa-IN"/>
        </w:rPr>
      </w:pPr>
      <w:r>
        <w:rPr>
          <w:sz w:val="24"/>
          <w:szCs w:val="24"/>
          <w:lang w:bidi="pa-IN"/>
        </w:rPr>
        <w:t xml:space="preserve">функции управления рисками организации;</w:t>
      </w:r>
      <w:r>
        <w:rPr>
          <w:szCs w:val="24"/>
          <w:lang w:bidi="pa-IN"/>
        </w:rPr>
      </w:r>
      <w:r>
        <w:rPr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Cs w:val="24"/>
          <w:lang w:bidi="pa-IN"/>
        </w:rPr>
      </w:pPr>
      <w:r>
        <w:rPr>
          <w:sz w:val="24"/>
          <w:szCs w:val="24"/>
          <w:lang w:bidi="pa-IN"/>
        </w:rPr>
        <w:t xml:space="preserve">функции внутреннего аудита организации;</w:t>
      </w:r>
      <w:r>
        <w:rPr>
          <w:szCs w:val="24"/>
          <w:lang w:bidi="pa-IN"/>
        </w:rPr>
      </w:r>
      <w:r>
        <w:rPr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Cs w:val="24"/>
          <w:lang w:bidi="pa-IN"/>
        </w:rPr>
      </w:pPr>
      <w:r>
        <w:rPr>
          <w:sz w:val="24"/>
          <w:szCs w:val="24"/>
          <w:lang w:bidi="pa-IN"/>
        </w:rPr>
        <w:t xml:space="preserve">функции правового сопровождения деятельности организации;</w:t>
      </w:r>
      <w:r>
        <w:rPr>
          <w:szCs w:val="24"/>
          <w:lang w:bidi="pa-IN"/>
        </w:rPr>
      </w:r>
      <w:r>
        <w:rPr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функции обеспечения информационной и экономической безопасности деятельности организации.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8.6.14. Обеспечивать своевременное ознакомление работников Общества, органов управления и контроля Общества, с порядком доступа к инсайдерской информации и правилам охраны ее конфиденциальности.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</w:pPr>
      <w:r>
        <w:rPr>
          <w:sz w:val="24"/>
          <w:szCs w:val="24"/>
          <w:lang w:bidi="pa-IN"/>
        </w:rPr>
        <w:t xml:space="preserve">8.6.15. Обеспечивать регулярное обучение лиц, имеющих доступ к инсайдерской информации Общества, в целях повышения уровня их знаний в области обеспечения доступа, защиты и сохранности инсайдерской информации.</w:t>
      </w:r>
      <w:r/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8.7. В случае поступления информации из внутренних или внешних источников о неправомерном использовании инсайдерской информации Общества, в том числе информа</w:t>
      </w:r>
      <w:r>
        <w:rPr>
          <w:sz w:val="24"/>
          <w:szCs w:val="24"/>
          <w:lang w:bidi="pa-IN"/>
        </w:rPr>
        <w:t xml:space="preserve">ции о признаках недобросовестного поведения органов управления Общества и (или) сотрудников инсайдеров Общества, Общество должно принять незамедлительные меры по пресечению и предотвращению дальнейшего неправомерного использования неправомерного поведения.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8.7.1. Структурными подразделения, ответственными за получение, обработку и реагирование на указанную информацию являются: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- уполномоченное структурное подразделение Общества;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- ответственное структурное подразделение Общества;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 </w:t>
      </w:r>
      <w:r>
        <w:rPr>
          <w:sz w:val="24"/>
          <w:szCs w:val="24"/>
          <w:lang w:bidi="pa-IN"/>
        </w:rPr>
        <w:t xml:space="preserve">-  ответственное лицо Общества, в обязанности которого входит организация процесса информационной безопасно</w:t>
      </w:r>
      <w:r>
        <w:rPr>
          <w:sz w:val="24"/>
          <w:szCs w:val="24"/>
          <w:lang w:bidi="pa-IN"/>
        </w:rPr>
        <w:t xml:space="preserve">сти Общества в части защиты инсайдерской информации Общества от неправомерного использования, в том числе, ограничение доступа к инсайдерской информации Общества лицам, не включенным в Список инсайдеров – Заместитель Генерального директора по безопасности.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72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8.7.2. Уполномоченное структурное подразделение в целях исполнения требований настоящего Положения и Правил внутреннего контроля по пр</w:t>
      </w:r>
      <w:r>
        <w:rPr>
          <w:sz w:val="24"/>
          <w:szCs w:val="24"/>
          <w:lang w:bidi="pa-IN"/>
        </w:rPr>
        <w:t xml:space="preserve">едотвращению, выявлению и пресечению неправомерного использования инсайдерской информации и (или) манипулирования рынком ПАО «Камчатскэнерго» обязано осуществлять мониторинг поступающей информации о возможных и/или наступивших событиях регуляторного риска.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72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highlight w:val="white"/>
          <w:lang w:bidi="pa-IN"/>
        </w:rPr>
        <w:t xml:space="preserve">8.7.3. </w:t>
      </w:r>
      <w:r>
        <w:rPr>
          <w:sz w:val="24"/>
          <w:szCs w:val="24"/>
          <w:lang w:bidi="pa-IN"/>
        </w:rPr>
        <w:t xml:space="preserve">В силу </w:t>
      </w:r>
      <w:r>
        <w:rPr>
          <w:sz w:val="24"/>
          <w:szCs w:val="24"/>
          <w:lang w:bidi="pa-IN"/>
        </w:rPr>
        <w:t xml:space="preserve">требований настоящего Положения и Правил ВК ПНИИИМР сотрудники Общества обязаны незамедлительно уведомлять уполномоченное структурное подразделение и о любых фактах наступления или возможного наступления событий регуляторного риска. При этом, для минимизац</w:t>
      </w:r>
      <w:r>
        <w:rPr>
          <w:sz w:val="24"/>
          <w:szCs w:val="24"/>
          <w:lang w:bidi="pa-IN"/>
        </w:rPr>
        <w:t xml:space="preserve">ии последствий наступления события регуляторного риска такая информация подлежит приему, обработке и контролю вне зависимости от ее источника, включая информацию, поступившую при анонимных обращениях (жалобах) (не содержащих сведения о фамилии и адресе обр</w:t>
      </w:r>
      <w:r>
        <w:rPr>
          <w:sz w:val="24"/>
          <w:szCs w:val="24"/>
          <w:lang w:bidi="pa-IN"/>
        </w:rPr>
        <w:t xml:space="preserve">атившегося лица и иных сведений, идентифицирующих обратившееся лицо). Сотрудники Общества, получившие или обнаружившие информацию о фактах неправомерного использования инсайдерской информации и (или) манипулирования рынком работниками Общества, а также о ф</w:t>
      </w:r>
      <w:r>
        <w:rPr>
          <w:sz w:val="24"/>
          <w:szCs w:val="24"/>
          <w:lang w:bidi="pa-IN"/>
        </w:rPr>
        <w:t xml:space="preserve">актах несанкционированного доступа к инсайдерской информации или о любых попытках незаконной передачи, попытках завладения инсайдерской информацией обязаны незамедлительно уведомить об этом уполномоченное структурное подразделение любым доступным способом.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72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8.7.4. Уполномоченное структурное подразделение совместно с За</w:t>
      </w:r>
      <w:r>
        <w:rPr>
          <w:sz w:val="24"/>
          <w:szCs w:val="24"/>
          <w:lang w:bidi="pa-IN"/>
        </w:rPr>
        <w:t xml:space="preserve">местителем Генерального директора по безопасности и ответственным структурным подразделением в срок не позднее 1 (одного) рабочего дня с момента получения информации о факте наступления регуляторного риска осуществляет проверку достоверности сведений о фак</w:t>
      </w:r>
      <w:r>
        <w:rPr>
          <w:sz w:val="24"/>
          <w:szCs w:val="24"/>
          <w:lang w:bidi="pa-IN"/>
        </w:rPr>
        <w:t xml:space="preserve">те наступления или возможности наступления событий регуляторного риска, в связи с чем уполномочен направлять соответствующие требования в структурные подразделения Общества о предоставлении сведений и документации, содержащей инсайдерскую информацию, котор</w:t>
      </w:r>
      <w:r>
        <w:rPr>
          <w:sz w:val="24"/>
          <w:szCs w:val="24"/>
          <w:lang w:bidi="pa-IN"/>
        </w:rPr>
        <w:t xml:space="preserve">ая является основанием для возникновения регуляторного риска, а также осуществлять внеплановые проверки соблюдения в Обществе правил внутреннего контроля в сфере противодействия неправомерному использованию инсайдерской информации и манипулированию рынком.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72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8.7.5. Структурные подразделения Общества обязаны в срок не позднее 1 (одного) рабочего дня предоставить запрашиваемые сведения, вне зависимости от формы предоставления таких сведений. При передаче сведений должен соблюдаться режим конфиденциальности.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ab/>
        <w:t xml:space="preserve">8.7.6. Уполномоченное структурное подразделение в случае подтверждения факта наступления или возможности наступления событий регуляторного риска: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уведомляет Генерального директора Общества, а также по своему усмотрению иных ответственных должностных лиц, которые уполномочены работать с инсайдерской информацией, за исключением (по решению уполномочен</w:t>
      </w:r>
      <w:r>
        <w:rPr>
          <w:sz w:val="24"/>
          <w:szCs w:val="24"/>
          <w:lang w:bidi="pa-IN"/>
        </w:rPr>
        <w:t xml:space="preserve">ного структурного подразделения) тех лиц, которые могут быть причастны к нарушению требований действующего законодательства в сфере ПНИИИМР и настоящего Положения, и, как следствие, ответственных в наступлении или возможном наступлении регуляторных рисков;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совместно с ответственным лицом Общества, в обязанности которого входит организация процесса информационной безопасности Общества в части защиты инсайдерской информации инициирует начало служебной проверки;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составляет Отчет о вероятных и (или) наступивших событиях регуляторного риска, который подлежит передаче Генеральному директору Общества в срок не п</w:t>
      </w:r>
      <w:r>
        <w:rPr>
          <w:sz w:val="24"/>
          <w:szCs w:val="24"/>
          <w:lang w:bidi="pa-IN"/>
        </w:rPr>
        <w:t xml:space="preserve">озднее </w:t>
        <w:br/>
        <w:t xml:space="preserve">2 (двух) рабочих дней с момента поступления сообщения о возможных и (или) наступивших событиях регуляторного риска в простой письменной форме любым доступным способом, в том числе и в виде электронного документа, направляемого по электронной почте.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720"/>
        <w:jc w:val="both"/>
        <w:spacing w:line="276" w:lineRule="auto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bidi="pa-IN"/>
        </w:rPr>
        <w:t xml:space="preserve">8.7.7. Отчет о вероятных и (или) наступивших событиях регуляторного риска должен содержать в себе сведения о дате совершения и выявления нарушений; о самом нарушении, об ответственных за их выявление лицах, об источнике выявления, о задейство</w:t>
      </w:r>
      <w:r>
        <w:rPr>
          <w:sz w:val="24"/>
          <w:szCs w:val="24"/>
          <w:highlight w:val="white"/>
          <w:lang w:bidi="pa-IN"/>
        </w:rPr>
        <w:t xml:space="preserve">ванных в служебной проверке сотрудниках Общества, о мерах, которые рекомендуется применить в отношении лиц, ответственных за совершение выявленных нарушений; о мерах по предотвращению и устранению нарушений и минимизации регуляторных рисков; иные сведения.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10"/>
        <w:ind w:firstLine="72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8.7.8. По итогам рассмотрения Отчета о вероятных и (или) наступивших событиях регуляторного ри</w:t>
      </w:r>
      <w:r>
        <w:rPr>
          <w:sz w:val="24"/>
          <w:szCs w:val="24"/>
          <w:lang w:bidi="pa-IN"/>
        </w:rPr>
        <w:t xml:space="preserve">ска уполномоченное структурное подразделение организует процесс реализации одобренных Генеральным директором мер по предотвращению и устранению нарушений и минимизации регуляторных рисков с привлечением заинтересованных структурных подразделений Общества.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72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8.7.9. Процедура применения мер ответственности за несанкционированное предоставление работниками Общества инсайдерской информации посторонним лицам, предусматривает применени</w:t>
      </w:r>
      <w:r>
        <w:rPr>
          <w:sz w:val="24"/>
          <w:szCs w:val="24"/>
          <w:lang w:bidi="pa-IN"/>
        </w:rPr>
        <w:t xml:space="preserve">е дисциплинарной ответственности и административных мер, в т.ч. наложение материальных взысканий на работников Общества за неправомерное использование инсайдерской информации или несанкционированное предоставление инсайдерской информации посторонним лицам.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color w:val="000000"/>
          <w:sz w:val="24"/>
          <w:szCs w:val="24"/>
        </w:rPr>
      </w:pPr>
      <w:r>
        <w:rPr>
          <w:sz w:val="24"/>
          <w:szCs w:val="24"/>
          <w:lang w:bidi="pa-IN"/>
        </w:rPr>
        <w:t xml:space="preserve">8.8. Общество принимает следующие меры по обеспечению </w:t>
      </w:r>
      <w:r>
        <w:rPr>
          <w:color w:val="000000"/>
          <w:sz w:val="24"/>
        </w:rPr>
        <w:t xml:space="preserve">недопущения незаконного разглашени</w:t>
      </w:r>
      <w:r>
        <w:rPr>
          <w:color w:val="000000"/>
          <w:sz w:val="24"/>
        </w:rPr>
        <w:t xml:space="preserve">я и (или) использования инсайдерской информации работниками Общества и (или) иными лицами, которым стала известна инсайдерская информация Общества, в том числе случайно, в собственных интересах или в интересах третьих лиц, в том числе, но не ограничиваясь: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color w:val="000000"/>
          <w:sz w:val="24"/>
        </w:rPr>
        <w:t xml:space="preserve">8.8.1. </w:t>
      </w:r>
      <w:r>
        <w:rPr>
          <w:sz w:val="24"/>
          <w:szCs w:val="24"/>
          <w:lang w:bidi="pa-IN"/>
        </w:rPr>
        <w:t xml:space="preserve">Обеспечивает необходимые организационные и технические условия для соблюдения лицами, имеющими доступ к инсайдерской информации, установленного режима конфиденциальности.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8.8.2. Вводит специальные процедуры, направленные на охрану инсайдерской информации от её неправомерного использования в соответствии с настоящим Положением.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8.8.3. Обеспечивает использование системы защиты информационно-технических систем, предохраняющие от потери информации и несанкционированного доступа к инсайдерской информации, в том числе по каналам связи.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8.8.4. Ограничивает доступ посторонних лиц в помещения Общества, в том числе помещения, предназначенные для эксплуатации информационно-технических систем.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8.8.5. Обеспечивает размещение помещений структурных подразделений Общества и оборудование способом, исключающим возможность бесконтрольного проникновения в эти помещения и к этому оборудованию посторонних лиц.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8.8.6. В качестве последствий, возникающих</w:t>
      </w:r>
      <w:r>
        <w:rPr>
          <w:sz w:val="24"/>
          <w:szCs w:val="24"/>
          <w:lang w:bidi="pa-IN"/>
        </w:rPr>
        <w:t xml:space="preserve"> в результате незаконного разглашения и (или) использования инсайдерской информации Общество выделяет привлечение к дисциплинарной, административной, уголовной или гражданско-правовой ответственности в соответствии с законодательством Российской Федерации.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  <w:lang w:bidi="pa-IN"/>
        </w:rPr>
        <w:t xml:space="preserve">8.9. Порядок информирования работников Общества и органов управления Общества о требованиях по соблюдению Федерального закона № 224-ФЗ помимо, установленных разделом 5.настоящего Положения, может включать следующие мероприятия: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8.9.1. Информирование работников Общества и членов его органов управления о требованиях по соблюдению Федерального закона № 224-ФЗ и принятых в соответствии с ним нормативных актов;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8.9.2. Ознакомление работников Общества и членов органов управления Общества с внутренними документами Общества, разработанными в соответствии с требованиями Федерального закона № 224-ФЗ и принятыми в соответствии с ним нормативными актами;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8.9.3. Хранение д</w:t>
      </w:r>
      <w:r>
        <w:rPr>
          <w:sz w:val="24"/>
          <w:szCs w:val="24"/>
          <w:lang w:bidi="pa-IN"/>
        </w:rPr>
        <w:t xml:space="preserve">окументов, подтверждающих факты ознакомления работников и членов органов управления Общества с внутренними документами Общества, разработанными в соответствии с требованиями Федерального закона № 224-ФЗ и принятыми в соответствии с ним нормативными актами;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8.9.4. Ответственное структурное подразделение обеспечивает ознакомление работников, имеющих доступ к Инсайдерской информации Обществ</w:t>
      </w:r>
      <w:r>
        <w:rPr>
          <w:sz w:val="24"/>
          <w:szCs w:val="24"/>
          <w:lang w:bidi="pa-IN"/>
        </w:rPr>
        <w:t xml:space="preserve">а, с требованиями Федерального закона № 224-ФЗ и принятых в соответствии с ним нормативных актов и о последствиях неправомерного использования Инсайдерской информации действующим Перечнем инсайдерской информации, настоящим Положением, Правилами ВК ПНИИИМР.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8.9.5. Документы и (или) базы данных либо их копии, свидетельствующие об ознакомлении членов органов управления и работников Общества с внутренними документами в сфере противодействия неправомерному использованию Инсайдерской информации и (или) </w:t>
      </w:r>
      <w:r>
        <w:rPr>
          <w:sz w:val="24"/>
          <w:szCs w:val="24"/>
          <w:lang w:bidi="pa-IN"/>
        </w:rPr>
        <w:t xml:space="preserve">манипулированию рынком, в том числе с Перечнем инсайдерской информации, хранятся на бумажном носителе или в электронном виде в ответственном подразделением не менее 1 (одного) года с даты прекращения действия каждого соответствующего внутреннего документа.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8.10. Общество ежегодно на основании внутреннего локально-нормативного акта формирует План повышения квалификаци</w:t>
      </w:r>
      <w:r>
        <w:rPr>
          <w:sz w:val="24"/>
          <w:szCs w:val="24"/>
          <w:lang w:bidi="pa-IN"/>
        </w:rPr>
        <w:t xml:space="preserve">и для сотрудников Общества. В рамках Плана повышения квалификации проводится обучение (не реже 1 раза в год), в том числе работников, имеющих доступ к инсайдерской информации для целей повышения осведомленности о правилах обращения с инсайдерской информаци</w:t>
      </w:r>
      <w:r>
        <w:rPr>
          <w:sz w:val="24"/>
          <w:szCs w:val="24"/>
          <w:lang w:bidi="pa-IN"/>
        </w:rPr>
        <w:t xml:space="preserve">ей. Структурные подразделения Общества, перечисленные в пункте 8.7.1 настоящего Положения в обязательном порядке проходят обучение по обращению с инсайдерской информацией, порядком доступа к инсайдерской информации и правилам охраны ее конфиденциальности.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8.10.1. Обучение по противодействию неправомерному использованию Инсайдерской информации и (или) манипулированию рынком в обязательном порядке должно включать в себя следующие области: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требования Федерального закона № 224-ФЗ и принятых в соответствии с ним нормативно-правовых актов;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требования внутренних документов Общества по противодействию неправомерному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использованию Инсайдерской информации и (или) манипулированию рынком;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правила Обращения с инсайдерской информацией;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последствия нарушений требований Федерального закона № 224-ФЗ и принятых в соответствии с ним нормативно-правовых актов, внутренних документов Общества.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color w:val="000000"/>
          <w:sz w:val="24"/>
          <w:szCs w:val="24"/>
        </w:rPr>
      </w:pPr>
      <w:r>
        <w:rPr>
          <w:sz w:val="24"/>
          <w:szCs w:val="24"/>
          <w:lang w:bidi="pa-IN"/>
        </w:rPr>
        <w:t xml:space="preserve">8.11. </w:t>
      </w:r>
      <w:r>
        <w:rPr>
          <w:color w:val="000000"/>
          <w:sz w:val="24"/>
        </w:rPr>
        <w:t xml:space="preserve">Права и обязанности лица, уполномоченного структурного подразделения, в обязанности которого входит осуществление контроля за соблюдением требований Федерального</w:t>
      </w:r>
      <w:r>
        <w:rPr>
          <w:color w:val="000000"/>
          <w:sz w:val="24"/>
          <w:szCs w:val="24"/>
        </w:rPr>
        <w:t xml:space="preserve"> закона </w:t>
      </w:r>
      <w:r>
        <w:rPr>
          <w:color w:val="000000"/>
          <w:sz w:val="24"/>
        </w:rPr>
        <w:t xml:space="preserve">№ 224-ФЗ и принятых в соответствии с ним нормативных актов определены Правилами ВК ПНИИИМР Общества.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color w:val="000000"/>
          <w:sz w:val="24"/>
        </w:rPr>
        <w:t xml:space="preserve">8.12. </w:t>
      </w:r>
      <w:r>
        <w:rPr>
          <w:sz w:val="24"/>
          <w:szCs w:val="24"/>
          <w:lang w:bidi="pa-IN"/>
        </w:rPr>
        <w:t xml:space="preserve">Права и обязанности Генерального директора Общества, утверждающего внутренние документы в целях защиты и сохранности Инсайдерской информации Общества и реализации мер по предотвращению, выявлению и пресечению ее неправомерного использования </w:t>
      </w:r>
      <w:r>
        <w:rPr>
          <w:color w:val="000000"/>
          <w:sz w:val="24"/>
        </w:rPr>
        <w:t xml:space="preserve">определены Правилами ВК ПНИИИМР Общества</w:t>
      </w:r>
      <w:r>
        <w:rPr>
          <w:sz w:val="24"/>
          <w:szCs w:val="24"/>
          <w:lang w:bidi="pa-IN"/>
        </w:rPr>
        <w:t xml:space="preserve">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8.13.  В обязанности Совета директоров, утверждающего настоящее Положение </w:t>
      </w:r>
      <w:r>
        <w:rPr>
          <w:sz w:val="24"/>
          <w:szCs w:val="24"/>
          <w:lang w:bidi="pa-IN"/>
        </w:rPr>
        <w:t xml:space="preserve">в целях защиты и сохранности Инсайдерской информации Общества и реализации мер по предотвращению, выявлению и пресечению ее неправомерного использования</w:t>
      </w:r>
      <w:r>
        <w:rPr>
          <w:color w:val="000000"/>
          <w:sz w:val="24"/>
          <w:szCs w:val="24"/>
        </w:rPr>
        <w:t xml:space="preserve"> входит: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10"/>
        <w:ind w:firstLine="540"/>
        <w:jc w:val="both"/>
        <w:spacing w:line="276" w:lineRule="auto"/>
        <w:rPr>
          <w:color w:val="000000"/>
          <w:sz w:val="24"/>
          <w:szCs w:val="24"/>
        </w:rPr>
      </w:pPr>
      <w:r>
        <w:rPr>
          <w:sz w:val="24"/>
          <w:szCs w:val="24"/>
          <w:lang w:bidi="pa-IN"/>
        </w:rPr>
        <w:t xml:space="preserve">8.13.1. </w:t>
      </w:r>
      <w:r>
        <w:rPr>
          <w:color w:val="000000"/>
          <w:sz w:val="24"/>
          <w:szCs w:val="24"/>
        </w:rPr>
        <w:t xml:space="preserve">Осуществление контроля за эффективностью работы системы внутреннего контроля Общества по </w:t>
      </w:r>
      <w:r>
        <w:rPr>
          <w:sz w:val="24"/>
          <w:szCs w:val="24"/>
          <w:lang w:bidi="pa-IN"/>
        </w:rPr>
        <w:t xml:space="preserve">предотвращению, выявлению и пресечению неправомерного использования</w:t>
      </w:r>
      <w:r>
        <w:rPr>
          <w:color w:val="000000"/>
          <w:sz w:val="24"/>
          <w:szCs w:val="24"/>
        </w:rPr>
        <w:t xml:space="preserve"> инсайдерской информации;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10"/>
        <w:ind w:firstLine="540"/>
        <w:jc w:val="both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8.13.2. Утверждение настоящего Положения;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10"/>
        <w:ind w:firstLine="540"/>
        <w:jc w:val="both"/>
        <w:spacing w:line="276" w:lineRule="auto"/>
        <w:rPr>
          <w:sz w:val="24"/>
          <w:szCs w:val="24"/>
          <w:lang w:bidi="pa-IN"/>
        </w:rPr>
      </w:pPr>
      <w:r>
        <w:rPr>
          <w:color w:val="000000"/>
          <w:sz w:val="24"/>
          <w:szCs w:val="24"/>
        </w:rPr>
        <w:t xml:space="preserve">8.13.3. Ознакомление с внутренними документами Общества в сфере противодействия неправомерному использованию Инсайдерской информации и (или) манипулированию рынком включая </w:t>
      </w:r>
      <w:r>
        <w:rPr>
          <w:sz w:val="24"/>
          <w:szCs w:val="24"/>
        </w:rPr>
        <w:t xml:space="preserve">Правила ВК ПНИИИМР</w:t>
      </w:r>
      <w:r>
        <w:rPr>
          <w:color w:val="000000"/>
          <w:sz w:val="24"/>
          <w:szCs w:val="24"/>
        </w:rPr>
        <w:t xml:space="preserve">, настоящее Положение и Перечень инсайдерской информации Общества) и с требованиями Федерального закона № 224-ФЗ и принятых в соответствии с ним нормативных актов под роспись и соблюдать их;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40"/>
        <w:jc w:val="both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8.13.4. Осуществление иные действия, предусмотренных Федеральным законом </w:t>
        <w:br/>
        <w:t xml:space="preserve">№ 224-ФЗ и принятыми в соответствии с ним нормативными актами, в рамках своих полномочий, предусмотренных Уставом Общества.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10"/>
        <w:ind w:firstLine="540"/>
        <w:jc w:val="both"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bidi="pa-IN"/>
        </w:rPr>
        <w:t xml:space="preserve">8.14. </w:t>
      </w:r>
      <w:r>
        <w:rPr>
          <w:color w:val="000000"/>
          <w:sz w:val="24"/>
          <w:szCs w:val="24"/>
        </w:rPr>
        <w:t xml:space="preserve">Совет директоров Общества вправе запраши</w:t>
      </w:r>
      <w:r>
        <w:rPr>
          <w:color w:val="000000"/>
          <w:sz w:val="24"/>
          <w:szCs w:val="24"/>
        </w:rPr>
        <w:t xml:space="preserve">вать отчеты у ответственного структурного подразделения, журналы учета, уведомления, иные разъяснения, сведения и документы в сфере внутреннего контроля по противодействию неправомерного использования инсайдерской информации и (или) манипулированию рынком.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8.15.</w:t>
        <w:tab/>
        <w:t xml:space="preserve">Инсайдеры Общес</w:t>
      </w:r>
      <w:r>
        <w:rPr>
          <w:sz w:val="24"/>
          <w:szCs w:val="24"/>
          <w:lang w:bidi="pa-IN"/>
        </w:rPr>
        <w:t xml:space="preserve">тва, имеющие право доступа к инсайдерской информации, в пределах своей компетенции и предоставленных в установленном порядке полномочий обязаны принимать все зависящие от них меры к защите и недопущению неправомерного использования инсайдерской информации.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8.16. Инсайдерам Общества запрещается использовать к</w:t>
      </w:r>
      <w:r>
        <w:rPr>
          <w:sz w:val="24"/>
          <w:szCs w:val="24"/>
          <w:lang w:bidi="pa-IN"/>
        </w:rPr>
        <w:t xml:space="preserve">омпьютеры на рабочих местах, корпоративную сеть, корпоративную мобильную связь, модемы с рабочих станций и мобильных устройств, подключенных к корпоративной мобильной связи, для осуществления в личных интересах сделок с финансовыми инструментами Общества.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8.17. Инсайдер Общества обязан уведомлять Ответственное лицо о намерениях раскрытия инсайдерской информации любому лицу, в том числе инсайдеру, не имеющему права доступа к ней, а также о любой возможной или потенциальной утечке инсайдерской информации. 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8.18. В случае передачи Инсайдером инсайдерской информации лицу, не включенному в Список инсайдеров Общества, Ин</w:t>
      </w:r>
      <w:r>
        <w:rPr>
          <w:sz w:val="24"/>
          <w:szCs w:val="24"/>
          <w:lang w:bidi="pa-IN"/>
        </w:rPr>
        <w:t xml:space="preserve">сайдер Общества должен предоставить Ответственному лицу ФИО или наименование лица, которому раскрыта информация, дату и время раскрытия, ФИО работника лица, которому раскрыта информация (если применимо), их контактные данные и причины раскрытия информации.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8.19. Лица, не включенные в Список инсайдеров Общества, но получившие доступ к инсайдерской информации, обязаны: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прекратить ознакомление с инсайдерской информацией;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принять исчерпывающие меры по сохранению конфиденциальности такой инсайдерской информации;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исключить распространение или предоставление такой инсайдерской информации;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действовать в соответствии с указаниями Ответственного лица.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8.20. Информация о требованиях законодательства Российской Федерации об инсайдерской информации включается в уведомление о включении лица в Список инсайдеров Общества.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Уведомления о включении лица в Список инсайдеров Общества направляются Инсайдерам в порядке, установленном разделом 5 настоящего Положения, и хранятся в Обществе в течение не менее 5 (пяти) лет с даты исключения лица из Списка инсайдеров Общества.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8.21. В целях обеспечения исключения несанкционированного доступа в помещения структурных подразделений, имеющ</w:t>
      </w:r>
      <w:r>
        <w:rPr>
          <w:sz w:val="24"/>
          <w:szCs w:val="24"/>
          <w:lang w:bidi="pa-IN"/>
        </w:rPr>
        <w:t xml:space="preserve">их доступ к инсайдерской информации Общества, от несанкционированного доступа, неправомерного использования или передачи третьим лицам сведений, относящихся к инсайдерской информации, Обществом разработаны и применяются (могут применяться) следующие меры: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 </w:t>
      </w:r>
      <w:r>
        <w:rPr>
          <w:sz w:val="24"/>
          <w:szCs w:val="24"/>
          <w:lang w:bidi="pa-IN"/>
        </w:rPr>
        <w:t xml:space="preserve">установление пропускного режима в отдельные помещения, занимаемые Обществом (в том числе в нерабочие дни);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установление ограничения на использование работниками структурных подразделений</w:t>
      </w:r>
      <w:r>
        <w:rPr>
          <w:sz w:val="24"/>
          <w:szCs w:val="24"/>
          <w:lang w:bidi="pa-IN"/>
        </w:rPr>
        <w:t xml:space="preserve">, имеющих доступ к инсайдерской информации Общества, личных средств связи, личных компьютеров и личных машинных носителей информации (флэш-накопители, внешние накопители на жестких дисках и иные устройства) при осуществлении своих должностных обязанностей;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Cs w:val="24"/>
          <w:lang w:bidi="pa-IN"/>
        </w:rPr>
      </w:pPr>
      <w:r>
        <w:rPr>
          <w:sz w:val="24"/>
          <w:szCs w:val="24"/>
          <w:lang w:bidi="pa-IN"/>
        </w:rPr>
        <w:t xml:space="preserve">установление запрета или ограничения на передачу работниками Общества, имеющими доступ к инсайдерской информации, средств идентификации и аутентификации, используемых ими при работе с инсайдерской информацией, третьим лицам.</w:t>
      </w:r>
      <w:r>
        <w:rPr>
          <w:color w:val="000000"/>
          <w:sz w:val="24"/>
        </w:rPr>
        <w:br/>
        <w:tab/>
      </w:r>
      <w:r>
        <w:rPr>
          <w:sz w:val="24"/>
          <w:szCs w:val="24"/>
          <w:lang w:bidi="pa-IN"/>
        </w:rPr>
        <w:t xml:space="preserve">своевременное уничтожение установленным в Обществе способом всех не подлежащих хранению документов (в том числе проектов документов, черновиков, др.), которые могут содержать инсайдерскую информацию Общества; </w:t>
      </w:r>
      <w:r>
        <w:rPr>
          <w:szCs w:val="24"/>
          <w:lang w:bidi="pa-IN"/>
        </w:rPr>
      </w:r>
      <w:r>
        <w:rPr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предоставление доступа к информ</w:t>
      </w:r>
      <w:r>
        <w:rPr>
          <w:sz w:val="24"/>
          <w:szCs w:val="24"/>
          <w:lang w:bidi="pa-IN"/>
        </w:rPr>
        <w:t xml:space="preserve">ации, относящейся к инсайдерской информации Общества, ограниченному кругу лиц, включенных в Список инсайдеров Общества (в том числе, работникам Общества, являющимся непосредственными исполнителями, обеспечивающими выполнение требований Федерального закона </w:t>
      </w:r>
      <w:r>
        <w:rPr>
          <w:sz w:val="24"/>
          <w:szCs w:val="24"/>
          <w:lang w:bidi="pa-IN"/>
        </w:rPr>
        <w:br/>
        <w:t xml:space="preserve">№ 224-ФЗ), причем только к информации, необходимой для выполнения такими лицами своих должностных обязанностей в пределах предоставленных полномочий, либо оказания ими определенных услуг на основании заключенных с Обществом гражданско-правовых договоров;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предостав</w:t>
      </w:r>
      <w:r>
        <w:rPr>
          <w:sz w:val="24"/>
          <w:szCs w:val="24"/>
          <w:lang w:bidi="pa-IN"/>
        </w:rPr>
        <w:t xml:space="preserve">ление права доступа или ограничение права доступа к инсайдерской информации Общества его работникам на основании трудовых договоров, иных соглашений, должностных инструкций и контрагентам на основании заключенных с Обществом гражданско-правовых договоров;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разграничение прав и обязанностей работников Общества в соответствии с их должностными инструкциями, определяющими их должностные обязанности и права с учетом доступа к инсайдерской информации Общества;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получение от работников и контрагентов Общества, имеющих право доступа к инсайдерской информации Общества, письменных обязательств о неразглашении инсайдерской и иной конфиденциальной информации Общества;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своевременное ознакомление под роспись всех работников Общества с настоящим Положением и приложениями к нему, а также с перечнем сведений, относящихся к инсайдерской информации Общества;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82"/>
        <w:numPr>
          <w:ilvl w:val="0"/>
          <w:numId w:val="2"/>
        </w:numPr>
        <w:ind w:left="0" w:firstLine="709"/>
        <w:jc w:val="both"/>
        <w:spacing w:line="276" w:lineRule="auto"/>
        <w:tabs>
          <w:tab w:val="clear" w:pos="720" w:leader="none"/>
          <w:tab w:val="left" w:pos="992" w:leader="none"/>
        </w:tabs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 </w:t>
      </w:r>
      <w:r>
        <w:rPr>
          <w:sz w:val="24"/>
          <w:szCs w:val="24"/>
          <w:lang w:bidi="pa-IN"/>
        </w:rPr>
        <w:t xml:space="preserve">введение иных мер, направленных на ограничение доступа к инсайдерской информации Общества, предлагаем</w:t>
      </w:r>
      <w:r>
        <w:rPr>
          <w:sz w:val="24"/>
          <w:szCs w:val="24"/>
          <w:lang w:bidi="pa-IN"/>
        </w:rPr>
        <w:t xml:space="preserve">ых структурным подразделением, осуществляющим контроль за соблюдением требований законодательства о противодействии неправомерному использованию инсайдерской информации и манипулированию рынком в Обществе, по согласованию с Генеральным директором Общества.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Перечень мер, обеспечивающих исключени</w:t>
      </w:r>
      <w:r>
        <w:rPr>
          <w:sz w:val="24"/>
          <w:szCs w:val="24"/>
          <w:lang w:bidi="pa-IN"/>
        </w:rPr>
        <w:t xml:space="preserve">е несанкционированного доступа в помещения и к рабочим местам работников структурных подразделений, регулируются также иными внутренними документами Общества, в том числе, но не ограничиваясь, Положением о пропускном и внутриобъектовом режимах в Обществе. 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0"/>
        <w:ind w:firstLine="567"/>
        <w:jc w:val="both"/>
        <w:spacing w:line="276" w:lineRule="auto"/>
        <w:rPr>
          <w:sz w:val="24"/>
          <w:szCs w:val="24"/>
          <w:lang w:bidi="pa-IN"/>
        </w:rPr>
      </w:pPr>
      <w:r>
        <w:rPr>
          <w:sz w:val="24"/>
          <w:szCs w:val="24"/>
          <w:lang w:bidi="pa-IN"/>
        </w:rPr>
        <w:t xml:space="preserve">8.22. Действующая редакция Положения об инсайдерской информации, содержащего в том числе порядок доступа к инсайдерской информации, правила охраны ее конфиденциальности, публикуется на Официальном сайте Общества.</w:t>
      </w:r>
      <w:r>
        <w:rPr>
          <w:sz w:val="24"/>
          <w:szCs w:val="24"/>
          <w:lang w:bidi="pa-IN"/>
        </w:rPr>
      </w:r>
      <w:r>
        <w:rPr>
          <w:sz w:val="24"/>
          <w:szCs w:val="24"/>
          <w:lang w:bidi="pa-IN"/>
        </w:rPr>
      </w:r>
    </w:p>
    <w:p>
      <w:pPr>
        <w:pStyle w:val="811"/>
      </w:pPr>
      <w:r/>
      <w:bookmarkStart w:id="25" w:name="_Toc16"/>
      <w:r>
        <w:t xml:space="preserve">9. ОТВЕТСТВЕННОСТЬ</w:t>
      </w:r>
      <w:bookmarkEnd w:id="25"/>
      <w:r/>
      <w:r/>
    </w:p>
    <w:p>
      <w:pPr>
        <w:pStyle w:val="810"/>
        <w:numPr>
          <w:ilvl w:val="0"/>
          <w:numId w:val="0"/>
        </w:numPr>
        <w:ind w:firstLine="539"/>
        <w:jc w:val="both"/>
        <w:spacing w:line="276" w:lineRule="auto"/>
        <w:widowControl/>
        <w:tabs>
          <w:tab w:val="clear" w:pos="720" w:leader="none"/>
          <w:tab w:val="left" w:pos="993" w:leader="none"/>
        </w:tabs>
        <w:rPr>
          <w:sz w:val="24"/>
          <w:szCs w:val="24"/>
        </w:rPr>
        <w:outlineLvl w:val="1"/>
      </w:pPr>
      <w:r/>
      <w:bookmarkStart w:id="26" w:name="_Toc17"/>
      <w:r>
        <w:rPr>
          <w:sz w:val="24"/>
          <w:szCs w:val="24"/>
        </w:rPr>
        <w:t xml:space="preserve">9.1. Инсайдеры Общества несут ответственность за неправомерное использование инсайдерской информации и (или) осуществление манипулирования рынком в соответствии с законодательством Российской Федерации.</w:t>
      </w:r>
      <w:bookmarkEnd w:id="26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numPr>
          <w:ilvl w:val="0"/>
          <w:numId w:val="0"/>
        </w:numPr>
        <w:ind w:firstLine="539"/>
        <w:jc w:val="both"/>
        <w:spacing w:line="276" w:lineRule="auto"/>
        <w:widowControl/>
        <w:tabs>
          <w:tab w:val="clear" w:pos="720" w:leader="none"/>
          <w:tab w:val="left" w:pos="993" w:leader="none"/>
        </w:tabs>
        <w:rPr>
          <w:sz w:val="24"/>
          <w:szCs w:val="24"/>
        </w:rPr>
        <w:outlineLvl w:val="1"/>
      </w:pPr>
      <w:r/>
      <w:bookmarkStart w:id="27" w:name="_Toc18"/>
      <w:r>
        <w:rPr>
          <w:sz w:val="24"/>
          <w:szCs w:val="24"/>
        </w:rPr>
        <w:t xml:space="preserve">9.2. Любое лицо, распространившее ложные сведения, не несет ответственности за манипулирование рынком, если оно не знало и не должно было знать, что распространенные сведения являются ложными.</w:t>
      </w:r>
      <w:bookmarkEnd w:id="27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10"/>
        <w:ind w:right="10" w:firstLine="539"/>
        <w:jc w:val="both"/>
        <w:spacing w:line="276" w:lineRule="auto"/>
        <w:shd w:val="clear" w:color="auto" w:fill="ffffff"/>
        <w:tabs>
          <w:tab w:val="clear" w:pos="720" w:leader="none"/>
          <w:tab w:val="left" w:pos="993" w:leader="none"/>
        </w:tabs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9.3. Любое лицо, использовавшее инсайдерскую информацию, не несет ответственности за неправомерное использование инсайдерской информации, если оно не знало и не должно было знать, что такая информация является инсайдерской.</w:t>
      </w:r>
      <w:r>
        <w:rPr>
          <w:bCs/>
          <w:spacing w:val="-2"/>
          <w:sz w:val="24"/>
          <w:szCs w:val="24"/>
        </w:rPr>
      </w:r>
      <w:r>
        <w:rPr>
          <w:bCs/>
          <w:spacing w:val="-2"/>
          <w:sz w:val="24"/>
          <w:szCs w:val="24"/>
        </w:rPr>
      </w:r>
    </w:p>
    <w:p>
      <w:pPr>
        <w:pStyle w:val="810"/>
        <w:ind w:right="10" w:firstLine="539"/>
        <w:jc w:val="both"/>
        <w:spacing w:line="276" w:lineRule="auto"/>
        <w:shd w:val="clear" w:color="auto" w:fill="ffffff"/>
        <w:tabs>
          <w:tab w:val="clear" w:pos="720" w:leader="none"/>
          <w:tab w:val="left" w:pos="993" w:leader="none"/>
        </w:tabs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9.4. Лица, которы</w:t>
      </w:r>
      <w:r>
        <w:rPr>
          <w:bCs/>
          <w:spacing w:val="-2"/>
          <w:sz w:val="24"/>
          <w:szCs w:val="24"/>
        </w:rPr>
        <w:t xml:space="preserve">м в результате неправомерного использования инсайдерской информации Общества и (или) манипулирования рынком финансовых инструментов Общества причинены убытки, вправе требовать их возмещения от лиц, в результате действий которых были причинены такие убытки.</w:t>
      </w:r>
      <w:r>
        <w:rPr>
          <w:bCs/>
          <w:spacing w:val="-2"/>
          <w:sz w:val="24"/>
          <w:szCs w:val="24"/>
        </w:rPr>
      </w:r>
      <w:r>
        <w:rPr>
          <w:bCs/>
          <w:spacing w:val="-2"/>
          <w:sz w:val="24"/>
          <w:szCs w:val="24"/>
        </w:rPr>
      </w:r>
    </w:p>
    <w:p>
      <w:pPr>
        <w:pStyle w:val="811"/>
      </w:pPr>
      <w:r/>
      <w:bookmarkStart w:id="28" w:name="_Toc19"/>
      <w:r>
        <w:t xml:space="preserve">10. ЗАКЛЮЧИТЕЛЬНЫЕ ПОЛОЖЕНИЯ</w:t>
      </w:r>
      <w:bookmarkEnd w:id="28"/>
      <w:r/>
      <w:r/>
    </w:p>
    <w:p>
      <w:pPr>
        <w:pStyle w:val="810"/>
        <w:ind w:right="11" w:firstLine="567"/>
        <w:jc w:val="both"/>
        <w:keepLines/>
        <w:keepNext/>
        <w:spacing w:line="276" w:lineRule="auto"/>
        <w:shd w:val="clear" w:color="auto" w:fill="ffffff"/>
        <w:widowControl/>
        <w:tabs>
          <w:tab w:val="left" w:pos="0" w:leader="none"/>
          <w:tab w:val="clear" w:pos="720" w:leader="none"/>
        </w:tabs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10.1. Настоящее Положение, а также изменения к нему, утверждаются Советом директоров Общества. </w:t>
      </w:r>
      <w:r>
        <w:rPr>
          <w:bCs/>
          <w:spacing w:val="-2"/>
          <w:sz w:val="24"/>
          <w:szCs w:val="24"/>
        </w:rPr>
      </w:r>
      <w:r>
        <w:rPr>
          <w:bCs/>
          <w:spacing w:val="-2"/>
          <w:sz w:val="24"/>
          <w:szCs w:val="24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tabs>
          <w:tab w:val="left" w:pos="0" w:leader="none"/>
          <w:tab w:val="clear" w:pos="720" w:leader="none"/>
        </w:tabs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10.2. Вопросы, не урегулированные настоящим Положением, регулируются законодательством Российской Федерации, Уставом Общества и иными внутренними документами Общества. </w:t>
      </w:r>
      <w:r>
        <w:rPr>
          <w:bCs/>
          <w:spacing w:val="-2"/>
          <w:sz w:val="24"/>
          <w:szCs w:val="24"/>
        </w:rPr>
      </w:r>
      <w:r>
        <w:rPr>
          <w:bCs/>
          <w:spacing w:val="-2"/>
          <w:sz w:val="24"/>
          <w:szCs w:val="24"/>
        </w:rPr>
      </w:r>
    </w:p>
    <w:p>
      <w:pPr>
        <w:pStyle w:val="810"/>
        <w:ind w:right="10" w:firstLine="567"/>
        <w:jc w:val="both"/>
        <w:spacing w:line="276" w:lineRule="auto"/>
        <w:shd w:val="clear" w:color="auto" w:fill="ffffff"/>
        <w:tabs>
          <w:tab w:val="left" w:pos="0" w:leader="none"/>
          <w:tab w:val="clear" w:pos="720" w:leader="none"/>
        </w:tabs>
        <w:rPr>
          <w:bCs/>
          <w:spacing w:val="-2"/>
          <w:sz w:val="24"/>
          <w:szCs w:val="24"/>
        </w:rPr>
      </w:pPr>
      <w:r>
        <w:rPr>
          <w:bCs/>
          <w:spacing w:val="-2"/>
          <w:sz w:val="24"/>
          <w:szCs w:val="24"/>
        </w:rPr>
        <w:t xml:space="preserve">10.3. В случае, если в результате изменения законодательства Российской Федерации отдельные статьи настоящ</w:t>
      </w:r>
      <w:r>
        <w:rPr>
          <w:bCs/>
          <w:spacing w:val="-2"/>
          <w:sz w:val="24"/>
          <w:szCs w:val="24"/>
        </w:rPr>
        <w:t xml:space="preserve">его Положения вступают в противоречие с законодательством Российской Федерации, они утрачивают силу, и до момента внесения изменений в настоящее Положение Общество руководствуется законами и подзаконными нормативными правовыми актами Российской Федерации. </w:t>
      </w:r>
      <w:r>
        <w:rPr>
          <w:bCs/>
          <w:spacing w:val="-2"/>
          <w:sz w:val="24"/>
          <w:szCs w:val="24"/>
        </w:rPr>
      </w:r>
      <w:r>
        <w:rPr>
          <w:bCs/>
          <w:spacing w:val="-2"/>
          <w:sz w:val="24"/>
          <w:szCs w:val="24"/>
        </w:rPr>
      </w:r>
    </w:p>
    <w:p>
      <w:pPr>
        <w:pStyle w:val="810"/>
        <w:spacing w:line="276" w:lineRule="auto"/>
      </w:pPr>
      <w:r>
        <w:br w:type="page" w:clear="all"/>
      </w:r>
      <w:r/>
    </w:p>
    <w:p>
      <w:pPr>
        <w:pStyle w:val="810"/>
        <w:jc w:val="right"/>
      </w:pPr>
      <w:r>
        <w:t xml:space="preserve">Приложение 1</w:t>
      </w:r>
      <w:r/>
    </w:p>
    <w:p>
      <w:pPr>
        <w:pStyle w:val="810"/>
        <w:jc w:val="right"/>
      </w:pPr>
      <w:r>
        <w:t xml:space="preserve">к Положению об инсайдерской </w:t>
      </w:r>
      <w:r/>
    </w:p>
    <w:p>
      <w:pPr>
        <w:pStyle w:val="810"/>
        <w:jc w:val="right"/>
      </w:pPr>
      <w:r>
        <w:t xml:space="preserve">информации ПАО «Камчатскэнерго»</w:t>
      </w:r>
      <w:r/>
    </w:p>
    <w:p>
      <w:pPr>
        <w:pStyle w:val="810"/>
        <w:jc w:val="right"/>
      </w:pPr>
      <w:r/>
      <w:r/>
    </w:p>
    <w:tbl>
      <w:tblPr>
        <w:tblStyle w:val="1023"/>
        <w:tblW w:w="9890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478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10"/>
              <w:jc w:val="left"/>
              <w:spacing w:before="0" w:after="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83815" cy="447675"/>
                      <wp:effectExtent l="0" t="0" r="0" b="0"/>
                      <wp:docPr id="4" name="_x005F_x0000_s1025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s1025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83815" cy="4476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203.45pt;height:35.25pt;mso-wrap-distance-left:0.00pt;mso-wrap-distance-top:0.00pt;mso-wrap-distance-right:0.00pt;mso-wrap-distance-bottom:0.0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16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Bold Cyr" w:hAnsi="Avenir Next Cyr Bold Cyr" w:eastAsia="Avenir Next Cyr Bold Cyr" w:cs="Avenir Next Cyr Bold Cyr"/>
                <w:lang w:val="ru-RU" w:eastAsia="zh-CN" w:bidi="ru-RU"/>
              </w:rPr>
              <w:t xml:space="preserve">ПАО «Камчатскэнерго»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ул. Набережная, 10, г. Петропавловск-Камчатский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Камчатский край,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Российская Федерация, 683000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т.: +7 (415 2) 21-67-59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ф.: +7 (415 2) 41-20-26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ascii="Avenir Next Cyr Cyr" w:hAnsi="Avenir Next Cyr Cyr" w:eastAsia="Avenir Next Cyr Cyr" w:cs="Avenir Next Cyr Cyr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kamenergo@rushydro.ru</w:t>
            </w:r>
            <w:r>
              <w:rPr>
                <w:rFonts w:ascii="Avenir Next Cyr Cyr" w:hAnsi="Avenir Next Cyr Cyr" w:eastAsia="Avenir Next Cyr Cyr" w:cs="Avenir Next Cyr Cyr"/>
              </w:rPr>
            </w:r>
            <w:r>
              <w:rPr>
                <w:rFonts w:ascii="Avenir Next Cyr Cyr" w:hAnsi="Avenir Next Cyr Cyr" w:eastAsia="Avenir Next Cyr Cyr" w:cs="Avenir Next Cyr Cyr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360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от __________________ № __________________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360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6" w:type="dxa"/>
            <w:textDirection w:val="lrTb"/>
            <w:noWrap w:val="false"/>
          </w:tcPr>
          <w:p>
            <w:pPr>
              <w:pStyle w:val="810"/>
              <w:jc w:val="left"/>
              <w:spacing w:before="0" w:after="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12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12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</w:tc>
      </w:tr>
    </w:tbl>
    <w:p>
      <w:pPr>
        <w:pStyle w:val="810"/>
        <w:jc w:val="center"/>
        <w:spacing w:before="240" w:after="240"/>
        <w:rPr>
          <w:b/>
          <w:bCs/>
          <w:lang w:bidi="ru-RU"/>
        </w:rPr>
      </w:pPr>
      <w:r>
        <w:rPr>
          <w:b/>
          <w:bCs/>
          <w:lang w:bidi="ru-RU"/>
        </w:rPr>
        <w:t xml:space="preserve">УВЕДОМЛЕНИЕ</w:t>
      </w:r>
      <w:r>
        <w:rPr>
          <w:b/>
          <w:bCs/>
          <w:lang w:bidi="ru-RU"/>
        </w:rPr>
        <w:br w:type="textWrapping" w:clear="all"/>
      </w:r>
      <w:r>
        <w:rPr>
          <w:b/>
          <w:bCs/>
          <w:lang w:bidi="ru-RU"/>
        </w:rPr>
        <w:t xml:space="preserve">о включении лица в список инсайдеров</w:t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tbl>
      <w:tblPr>
        <w:tblW w:w="10093" w:type="dxa"/>
        <w:jc w:val="center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4422"/>
        <w:gridCol w:w="5104"/>
      </w:tblGrid>
      <w:tr>
        <w:trPr>
          <w:trHeight w:val="3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1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b/>
                <w:bCs/>
                <w:sz w:val="18"/>
                <w:szCs w:val="18"/>
                <w:lang w:bidi="ru-RU"/>
              </w:rPr>
            </w:pPr>
            <w:r>
              <w:rPr>
                <w:b/>
                <w:bCs/>
                <w:sz w:val="18"/>
                <w:szCs w:val="18"/>
                <w:lang w:bidi="ru-RU"/>
              </w:rPr>
              <w:t xml:space="preserve">Сведения об уведомлении</w:t>
            </w:r>
            <w:r>
              <w:rPr>
                <w:b/>
                <w:bCs/>
                <w:sz w:val="18"/>
                <w:szCs w:val="18"/>
                <w:lang w:bidi="ru-RU"/>
              </w:rPr>
            </w:r>
            <w:r>
              <w:rPr>
                <w:b/>
                <w:bCs/>
                <w:sz w:val="18"/>
                <w:szCs w:val="18"/>
                <w:lang w:bidi="ru-RU"/>
              </w:rPr>
            </w:r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1.1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Порядковый номер и дата составления уведомления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</w:tr>
      <w:tr>
        <w:trPr>
          <w:trHeight w:val="3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textDirection w:val="lrTb"/>
            <w:noWrap w:val="false"/>
          </w:tcPr>
          <w:p>
            <w:pPr>
              <w:pStyle w:val="810"/>
              <w:ind w:left="57" w:firstLine="0"/>
              <w:jc w:val="center"/>
              <w:widowControl w:val="off"/>
              <w:rPr>
                <w:b/>
                <w:bCs/>
                <w:sz w:val="18"/>
                <w:szCs w:val="18"/>
                <w:lang w:bidi="ru-RU"/>
              </w:rPr>
            </w:pPr>
            <w:r>
              <w:rPr>
                <w:b/>
                <w:bCs/>
                <w:sz w:val="18"/>
                <w:szCs w:val="18"/>
                <w:lang w:bidi="ru-RU"/>
              </w:rPr>
              <w:t xml:space="preserve">Сведения в отношении уведомляющего лица</w:t>
            </w:r>
            <w:r>
              <w:rPr>
                <w:b/>
                <w:bCs/>
                <w:sz w:val="18"/>
                <w:szCs w:val="18"/>
                <w:lang w:bidi="ru-RU"/>
              </w:rPr>
            </w:r>
            <w:r>
              <w:rPr>
                <w:b/>
                <w:bCs/>
                <w:sz w:val="18"/>
                <w:szCs w:val="18"/>
                <w:lang w:bidi="ru-RU"/>
              </w:rPr>
            </w:r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2.1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Полное фирменное наименование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2.2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Место нахождения и (или) адрес для направления почтовой корреспонденции (при наличии)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2.3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ОГРН, ИНН 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2.4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widowControl w:val="off"/>
            </w:pPr>
            <w:r>
              <w:t xml:space="preserve">ОКСМ (при наличии)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2.5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Регистрационный номер в стране регистрации (при наличии)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2.6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Адрес сайта в информационно-телекоммуникационной сети «Интернет» (при наличии)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2.7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Номер контактного телефона и (или) адрес электронной почты для обращений инсайдеров 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val="en-US"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2.8</w:t>
            </w:r>
            <w:r>
              <w:rPr>
                <w:sz w:val="18"/>
                <w:szCs w:val="18"/>
                <w:lang w:val="en-US" w:bidi="ru-RU"/>
              </w:rPr>
            </w:r>
            <w:r>
              <w:rPr>
                <w:sz w:val="18"/>
                <w:szCs w:val="18"/>
                <w:lang w:val="en-US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Номер пункта статьи 4 Федерального закона от 27 июля 2010 года N 224-ФЗ, относящий уведомляющее лицо к инсайдерам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3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textDirection w:val="lrTb"/>
            <w:noWrap w:val="false"/>
          </w:tcPr>
          <w:p>
            <w:pPr>
              <w:pStyle w:val="810"/>
              <w:ind w:left="57" w:firstLine="0"/>
              <w:jc w:val="center"/>
              <w:spacing w:line="276" w:lineRule="auto"/>
              <w:widowControl w:val="off"/>
              <w:rPr>
                <w:b/>
                <w:bCs/>
                <w:sz w:val="18"/>
                <w:szCs w:val="18"/>
                <w:lang w:bidi="ru-RU"/>
              </w:rPr>
            </w:pPr>
            <w:r>
              <w:rPr>
                <w:b/>
                <w:bCs/>
                <w:sz w:val="18"/>
                <w:szCs w:val="18"/>
                <w:lang w:bidi="ru-RU"/>
              </w:rPr>
              <w:t xml:space="preserve">Сведения в отношении инсайдера</w:t>
            </w:r>
            <w:r>
              <w:rPr>
                <w:b/>
                <w:bCs/>
                <w:sz w:val="18"/>
                <w:szCs w:val="18"/>
                <w:lang w:bidi="ru-RU"/>
              </w:rPr>
            </w:r>
            <w:r>
              <w:rPr>
                <w:b/>
                <w:bCs/>
                <w:sz w:val="18"/>
                <w:szCs w:val="18"/>
                <w:lang w:bidi="ru-RU"/>
              </w:rPr>
            </w:r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</w:pPr>
            <w:r>
              <w:t xml:space="preserve">для инсайдера – юридического лица</w:t>
            </w:r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3.1.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Полное фирменное наименование инсайдера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3.2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Место нахождения и (или) адрес для направления почтовой корреспонденции (при наличии)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3.3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ОГРН, ИНН (при наличии)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3.4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КИО (при наличии) и ОКСМ</w:t>
            </w:r>
            <w:r>
              <w:rPr>
                <w:color w:val="000000"/>
                <w:sz w:val="18"/>
                <w:szCs w:val="18"/>
                <w:lang w:bidi="ru-RU"/>
              </w:rPr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3.5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Регистрационный номер в стране регистрации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3.6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Финансовый инструмент, иностранная валюта и (или) товар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3.7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Основание для включения инсайдера в список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3.8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Информация о включении инсайдера в список и дате такого включения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</w:pPr>
            <w:r>
              <w:t xml:space="preserve">для инсайдера – физического лица</w:t>
            </w:r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3.1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Фамилия, имя, отчество инсайдера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3.2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Дата рождения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3.3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Место рождения (при наличии таких сведений)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5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3.4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Должность, которую инсайдер занимает в уведомляющем лице  (при наличии)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3.5</w:t>
            </w:r>
            <w:r>
              <w:rPr>
                <w:color w:val="000000"/>
                <w:sz w:val="18"/>
                <w:szCs w:val="18"/>
                <w:lang w:bidi="ru-RU"/>
              </w:rPr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color w:val="ff000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Финансовый инструмент, иностранная валюта и (или) товар</w:t>
            </w:r>
            <w:r>
              <w:rPr>
                <w:color w:val="ff0000"/>
                <w:lang w:bidi="ru-RU"/>
              </w:rPr>
            </w:r>
            <w:r>
              <w:rPr>
                <w:color w:val="ff0000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 </w:t>
            </w:r>
            <w:r>
              <w:rPr>
                <w:color w:val="000000"/>
                <w:sz w:val="18"/>
                <w:szCs w:val="18"/>
                <w:lang w:bidi="ru-RU"/>
              </w:rPr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3.6</w:t>
            </w:r>
            <w:r>
              <w:rPr>
                <w:color w:val="000000"/>
                <w:sz w:val="18"/>
                <w:szCs w:val="18"/>
                <w:lang w:bidi="ru-RU"/>
              </w:rPr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color w:val="ff000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Основание для включения инсайдера в список </w:t>
            </w:r>
            <w:r>
              <w:rPr>
                <w:color w:val="ff0000"/>
                <w:lang w:bidi="ru-RU"/>
              </w:rPr>
            </w:r>
            <w:r>
              <w:rPr>
                <w:color w:val="ff0000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val="en-US" w:bidi="ru-RU"/>
              </w:rPr>
              <w:t xml:space="preserve">3.7</w:t>
            </w:r>
            <w:r>
              <w:rPr>
                <w:color w:val="000000"/>
                <w:sz w:val="18"/>
                <w:szCs w:val="18"/>
                <w:lang w:bidi="ru-RU"/>
              </w:rPr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color w:val="ff0000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Информация о включении инсайдера в список и дате такого включения</w:t>
            </w:r>
            <w:r>
              <w:rPr>
                <w:color w:val="ff0000"/>
                <w:lang w:bidi="ru-RU"/>
              </w:rPr>
            </w:r>
            <w:r>
              <w:rPr>
                <w:color w:val="ff0000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</w:tbl>
    <w:p>
      <w:pPr>
        <w:pStyle w:val="810"/>
        <w:jc w:val="both"/>
        <w:spacing w:before="240" w:after="480"/>
        <w:rPr>
          <w:i/>
          <w:iCs/>
          <w:sz w:val="18"/>
          <w:szCs w:val="18"/>
          <w:lang w:bidi="ru-RU"/>
        </w:rPr>
      </w:pPr>
      <w:r>
        <w:rPr>
          <w:i/>
          <w:iCs/>
          <w:sz w:val="18"/>
          <w:szCs w:val="18"/>
          <w:lang w:bidi="ru-RU"/>
        </w:rPr>
        <w:t xml:space="preserve">Обращаем Ваше вниман</w:t>
      </w:r>
      <w:r>
        <w:rPr>
          <w:i/>
          <w:iCs/>
          <w:sz w:val="18"/>
          <w:szCs w:val="18"/>
          <w:lang w:bidi="ru-RU"/>
        </w:rPr>
        <w:t xml:space="preserve">ие, что с момента внесения лица в список инсайдеров ПАО «Камчатскэнерго» в отношении данного лица как инсайдера вводятся ограничения, предусмотренные статьей 6 Федерального закона от 27 июля 2010 года № 224-ФЗ «О противодействии неправомерному использовани</w:t>
      </w:r>
      <w:r>
        <w:rPr>
          <w:i/>
          <w:iCs/>
          <w:sz w:val="18"/>
          <w:szCs w:val="18"/>
          <w:lang w:bidi="ru-RU"/>
        </w:rPr>
        <w:t xml:space="preserve">ю инсайдерской информации и манипулированию рынком и о внесении изменений в отдельные законодательные акты Российской Федерации» (далее – Федеральный закон), определена ответственность в соответствии со статьей 7 Федерального закона, и на такое лицо возлаг</w:t>
      </w:r>
      <w:r>
        <w:rPr>
          <w:i/>
          <w:iCs/>
          <w:sz w:val="18"/>
          <w:szCs w:val="18"/>
          <w:lang w:bidi="ru-RU"/>
        </w:rPr>
        <w:t xml:space="preserve">аются обязанности, предусмотренные статьей 10 и частью 4 статьи 11 Федерального закона  и Положением ПАО «Камчатскэнерго» об инсайдерской информации, содержащего, в том числе, порядок доступа к инсайдерской информации, правила охраны ее конфиденциальности.</w:t>
      </w:r>
      <w:r>
        <w:rPr>
          <w:i/>
          <w:iCs/>
          <w:sz w:val="18"/>
          <w:szCs w:val="18"/>
          <w:lang w:bidi="ru-RU"/>
        </w:rPr>
      </w:r>
      <w:r>
        <w:rPr>
          <w:i/>
          <w:iCs/>
          <w:sz w:val="18"/>
          <w:szCs w:val="18"/>
          <w:lang w:bidi="ru-RU"/>
        </w:rPr>
      </w:r>
    </w:p>
    <w:p>
      <w:pPr>
        <w:pStyle w:val="810"/>
        <w:jc w:val="both"/>
        <w:spacing w:before="240" w:after="480"/>
        <w:rPr>
          <w:bCs/>
          <w:i/>
          <w:sz w:val="18"/>
          <w:szCs w:val="18"/>
          <w:lang w:bidi="ru-RU"/>
        </w:rPr>
      </w:pPr>
      <w:r>
        <w:rPr>
          <w:i/>
          <w:iCs/>
          <w:sz w:val="18"/>
          <w:szCs w:val="18"/>
          <w:lang w:bidi="ru-RU"/>
        </w:rPr>
        <w:t xml:space="preserve">ПАО «Камчатскэнерго» р</w:t>
      </w:r>
      <w:r>
        <w:rPr>
          <w:i/>
          <w:iCs/>
          <w:sz w:val="18"/>
          <w:szCs w:val="18"/>
          <w:lang w:bidi="ru-RU"/>
        </w:rPr>
        <w:t xml:space="preserve">азъясняет об обязанности соблюдения инсайдерами Общества режима конфиденциальности инсайдерской информации (в том числе в случаях прекращения договорных отношений и исключения из списка инсайдеров Общества) до момента, когда такая информация не утратит ста</w:t>
      </w:r>
      <w:r>
        <w:rPr>
          <w:i/>
          <w:iCs/>
          <w:sz w:val="18"/>
          <w:szCs w:val="18"/>
          <w:lang w:bidi="ru-RU"/>
        </w:rPr>
        <w:t xml:space="preserve">тус инсайдерской. Окончание срока действия договора, на основании которого лицо было включено в список инсайдеров Общества и получило доступ к инсайдерской информации, не свидетельствует о прекращении доступа такого лица к инсайдерской информации Общества.</w:t>
      </w:r>
      <w:r>
        <w:rPr>
          <w:bCs/>
          <w:i/>
          <w:sz w:val="18"/>
          <w:szCs w:val="18"/>
          <w:lang w:bidi="ru-RU"/>
        </w:rPr>
      </w:r>
      <w:r>
        <w:rPr>
          <w:bCs/>
          <w:i/>
          <w:sz w:val="18"/>
          <w:szCs w:val="18"/>
          <w:lang w:bidi="ru-RU"/>
        </w:rPr>
      </w:r>
    </w:p>
    <w:tbl>
      <w:tblPr>
        <w:tblW w:w="9980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146"/>
        <w:gridCol w:w="1984"/>
        <w:gridCol w:w="4850"/>
      </w:tblGrid>
      <w:tr>
        <w:trPr/>
        <w:tc>
          <w:tcPr>
            <w:tcBorders>
              <w:bottom w:val="single" w:color="000000" w:sz="4" w:space="0"/>
            </w:tcBorders>
            <w:tcW w:w="3146" w:type="dxa"/>
            <w:vAlign w:val="bottom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  <w:tc>
          <w:tcPr>
            <w:tcW w:w="4850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</w:tcBorders>
            <w:tcW w:w="314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(инициалы, фамилия)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  <w:tc>
          <w:tcPr>
            <w:tcW w:w="4850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/>
        <w:tc>
          <w:tcPr>
            <w:tcW w:w="314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  <w:tc>
          <w:tcPr>
            <w:tcW w:w="4850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/>
        <w:tc>
          <w:tcPr>
            <w:tcW w:w="314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  <w:tc>
          <w:tcPr>
            <w:tcW w:w="4850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/>
        <w:tc>
          <w:tcPr>
            <w:tcBorders>
              <w:bottom w:val="single" w:color="000000" w:sz="4" w:space="0"/>
            </w:tcBorders>
            <w:tcW w:w="3146" w:type="dxa"/>
            <w:vAlign w:val="bottom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bottom w:val="single" w:color="000000" w:sz="4" w:space="0"/>
            </w:tcBorders>
            <w:tcW w:w="4850" w:type="dxa"/>
            <w:vAlign w:val="bottom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314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(подпись)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</w:tcBorders>
            <w:tcW w:w="4850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(наименование должности, дата подписи)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</w:tr>
    </w:tbl>
    <w:tbl>
      <w:tblPr>
        <w:tblStyle w:val="1022"/>
        <w:tblW w:w="935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083"/>
        <w:gridCol w:w="6274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3083" w:type="dxa"/>
            <w:textDirection w:val="lrTb"/>
            <w:noWrap w:val="false"/>
          </w:tcPr>
          <w:p>
            <w:pPr>
              <w:pStyle w:val="810"/>
              <w:jc w:val="left"/>
              <w:spacing w:before="0" w:after="0"/>
              <w:widowControl w:val="off"/>
              <w:rPr>
                <w:lang w:bidi="ru-RU"/>
              </w:rPr>
            </w:pPr>
            <w:r>
              <w:rPr>
                <w:rFonts w:eastAsia="Times New Roman" w:cs="Times New Roman"/>
                <w:lang w:val="ru-RU" w:eastAsia="ru-RU" w:bidi="ru-RU"/>
              </w:rPr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74" w:type="dxa"/>
            <w:textDirection w:val="lrTb"/>
            <w:noWrap w:val="false"/>
          </w:tcPr>
          <w:p>
            <w:pPr>
              <w:pStyle w:val="810"/>
              <w:jc w:val="left"/>
              <w:spacing w:before="0" w:after="0"/>
              <w:widowControl w:val="off"/>
              <w:rPr>
                <w:lang w:bidi="ru-RU"/>
              </w:rPr>
            </w:pPr>
            <w:r>
              <w:rPr>
                <w:rFonts w:eastAsia="Times New Roman" w:cs="Times New Roman"/>
                <w:lang w:val="ru-RU" w:eastAsia="ru-RU" w:bidi="ru-RU"/>
              </w:rPr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</w:tr>
      <w:tr>
        <w:trPr>
          <w:trHeight w:val="448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83" w:type="dxa"/>
            <w:textDirection w:val="lrTb"/>
            <w:noWrap w:val="false"/>
          </w:tcPr>
          <w:p>
            <w:pPr>
              <w:pStyle w:val="810"/>
              <w:jc w:val="center"/>
              <w:spacing w:before="0" w:after="0"/>
              <w:widowControl w:val="off"/>
              <w:rPr>
                <w:lang w:bidi="ru-RU"/>
              </w:rPr>
            </w:pPr>
            <w:r>
              <w:rPr>
                <w:rFonts w:eastAsia="Times New Roman" w:cs="Times New Roman"/>
                <w:sz w:val="18"/>
                <w:szCs w:val="18"/>
                <w:lang w:val="ru-RU" w:eastAsia="ru-RU" w:bidi="ru-RU"/>
              </w:rPr>
              <w:t xml:space="preserve">Уведомление получено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  <w:p>
            <w:pPr>
              <w:pStyle w:val="810"/>
              <w:jc w:val="center"/>
              <w:spacing w:before="0" w:after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rFonts w:eastAsia="Times New Roman" w:cs="Times New Roman"/>
                <w:sz w:val="18"/>
                <w:szCs w:val="18"/>
                <w:lang w:val="ru-RU" w:eastAsia="ru-RU" w:bidi="ru-RU"/>
              </w:rPr>
              <w:t xml:space="preserve">(подпись инсайдера,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  <w:p>
            <w:pPr>
              <w:pStyle w:val="810"/>
              <w:jc w:val="center"/>
              <w:spacing w:before="0" w:after="0"/>
              <w:widowControl w:val="off"/>
              <w:rPr>
                <w:lang w:bidi="ru-RU"/>
              </w:rPr>
            </w:pPr>
            <w:r>
              <w:rPr>
                <w:rFonts w:eastAsia="Times New Roman" w:cs="Times New Roman"/>
                <w:sz w:val="18"/>
                <w:szCs w:val="18"/>
                <w:lang w:val="ru-RU" w:eastAsia="ru-RU" w:bidi="ru-RU"/>
              </w:rPr>
              <w:t xml:space="preserve"> </w:t>
            </w:r>
            <w:r>
              <w:rPr>
                <w:rFonts w:eastAsia="Times New Roman" w:cs="Times New Roman"/>
                <w:sz w:val="18"/>
                <w:szCs w:val="18"/>
                <w:lang w:val="ru-RU" w:eastAsia="ru-RU" w:bidi="ru-RU"/>
              </w:rPr>
              <w:t xml:space="preserve">расшифровка подписи)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74" w:type="dxa"/>
            <w:textDirection w:val="lrTb"/>
            <w:noWrap w:val="false"/>
          </w:tcPr>
          <w:p>
            <w:pPr>
              <w:pStyle w:val="810"/>
              <w:jc w:val="left"/>
              <w:spacing w:before="0" w:after="0"/>
              <w:widowControl w:val="off"/>
              <w:rPr>
                <w:lang w:bidi="ru-RU"/>
              </w:rPr>
            </w:pPr>
            <w:r>
              <w:rPr>
                <w:rFonts w:eastAsia="Times New Roman" w:cs="Times New Roman"/>
                <w:lang w:val="ru-RU" w:eastAsia="ru-RU" w:bidi="ru-RU"/>
              </w:rPr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</w:tr>
      <w:tr>
        <w:trPr>
          <w:trHeight w:val="448"/>
        </w:trPr>
        <w:tc>
          <w:tcPr>
            <w:gridSpan w:val="2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7" w:type="dxa"/>
            <w:textDirection w:val="lrTb"/>
            <w:noWrap w:val="false"/>
          </w:tcPr>
          <w:p>
            <w:pPr>
              <w:pStyle w:val="810"/>
              <w:jc w:val="both"/>
              <w:spacing w:before="0" w:after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rFonts w:eastAsia="Times New Roman" w:cs="Times New Roman"/>
                <w:sz w:val="18"/>
                <w:szCs w:val="18"/>
                <w:lang w:val="ru-RU" w:eastAsia="ru-RU"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  <w:p>
            <w:pPr>
              <w:pStyle w:val="810"/>
              <w:jc w:val="both"/>
              <w:spacing w:before="0" w:after="0"/>
              <w:widowControl w:val="off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  <w:lang w:val="ru-RU" w:eastAsia="ru-RU" w:bidi="ru-RU"/>
              </w:rPr>
              <w:t xml:space="preserve">Ознакомление со ст. 6, 7, 10 Федерального закона, Положением об инсайдерской информации ПАО «Камчатскэнерго», содержащего, в том числе, порядок доступа к инсайдерской информации, правила охраны ее конфиденциальности, Правилами ВК ПНИИИМО подтверждаю</w:t>
            </w:r>
            <w:r>
              <w:rPr>
                <w:rStyle w:val="837"/>
                <w:rFonts w:eastAsia="Times New Roman" w:cs="Times New Roman"/>
                <w:sz w:val="18"/>
                <w:szCs w:val="18"/>
                <w:lang w:val="ru-RU" w:eastAsia="ru-RU" w:bidi="ru-RU"/>
              </w:rPr>
              <w:footnoteReference w:id="2"/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trHeight w:val="448"/>
        </w:trPr>
        <w:tc>
          <w:tcPr>
            <w:gridSpan w:val="2"/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7" w:type="dxa"/>
            <w:textDirection w:val="lrTb"/>
            <w:noWrap w:val="false"/>
          </w:tcPr>
          <w:p>
            <w:pPr>
              <w:pStyle w:val="810"/>
              <w:jc w:val="both"/>
              <w:spacing w:before="0" w:after="0"/>
              <w:widowControl w:val="off"/>
              <w:rPr>
                <w:bCs/>
                <w:i/>
                <w:sz w:val="18"/>
                <w:szCs w:val="18"/>
                <w:lang w:bidi="ru-RU"/>
              </w:rPr>
            </w:pPr>
            <w:r>
              <w:rPr>
                <w:rFonts w:eastAsia="Times New Roman" w:cs="Times New Roman"/>
                <w:bCs/>
                <w:i/>
                <w:sz w:val="18"/>
                <w:szCs w:val="18"/>
                <w:lang w:val="ru-RU" w:eastAsia="ru-RU" w:bidi="ru-RU"/>
              </w:rPr>
            </w:r>
            <w:r>
              <w:rPr>
                <w:bCs/>
                <w:i/>
                <w:sz w:val="18"/>
                <w:szCs w:val="18"/>
                <w:lang w:bidi="ru-RU"/>
              </w:rPr>
            </w:r>
            <w:r>
              <w:rPr>
                <w:bCs/>
                <w:i/>
                <w:sz w:val="18"/>
                <w:szCs w:val="18"/>
                <w:lang w:bidi="ru-RU"/>
              </w:rPr>
            </w:r>
          </w:p>
          <w:p>
            <w:pPr>
              <w:pStyle w:val="810"/>
              <w:jc w:val="both"/>
              <w:spacing w:before="0" w:after="0"/>
              <w:widowControl w:val="off"/>
              <w:rPr>
                <w:i/>
                <w:iCs/>
                <w:sz w:val="18"/>
                <w:szCs w:val="18"/>
                <w:lang w:bidi="ru-RU"/>
              </w:rPr>
            </w:pPr>
            <w:r>
              <w:rPr>
                <w:rFonts w:eastAsia="Times New Roman" w:cs="Times New Roman"/>
                <w:i/>
                <w:iCs/>
                <w:sz w:val="18"/>
                <w:szCs w:val="18"/>
                <w:lang w:val="ru-RU" w:eastAsia="ru-RU" w:bidi="ru-RU"/>
              </w:rPr>
              <w:t xml:space="preserve">___________________________</w:t>
            </w:r>
            <w:r>
              <w:rPr>
                <w:i/>
                <w:iCs/>
                <w:sz w:val="18"/>
                <w:szCs w:val="18"/>
                <w:lang w:bidi="ru-RU"/>
              </w:rPr>
            </w:r>
            <w:r>
              <w:rPr>
                <w:i/>
                <w:iCs/>
                <w:sz w:val="18"/>
                <w:szCs w:val="18"/>
                <w:lang w:bidi="ru-RU"/>
              </w:rPr>
            </w:r>
          </w:p>
          <w:p>
            <w:pPr>
              <w:pStyle w:val="810"/>
              <w:jc w:val="both"/>
              <w:spacing w:before="0" w:after="0"/>
              <w:widowControl w:val="off"/>
              <w:rPr>
                <w:bCs/>
                <w:i/>
                <w:sz w:val="18"/>
                <w:szCs w:val="18"/>
                <w:lang w:bidi="ru-RU"/>
              </w:rPr>
            </w:pPr>
            <w:r>
              <w:rPr>
                <w:rFonts w:eastAsia="Times New Roman" w:cs="Times New Roman"/>
                <w:i/>
                <w:iCs/>
                <w:sz w:val="18"/>
                <w:szCs w:val="18"/>
                <w:lang w:val="ru-RU" w:eastAsia="ru-RU" w:bidi="ru-RU"/>
              </w:rPr>
              <w:t xml:space="preserve">(подпись)</w:t>
            </w:r>
            <w:r>
              <w:rPr>
                <w:bCs/>
                <w:i/>
                <w:sz w:val="18"/>
                <w:szCs w:val="18"/>
                <w:lang w:bidi="ru-RU"/>
              </w:rPr>
            </w:r>
            <w:r>
              <w:rPr>
                <w:bCs/>
                <w:i/>
                <w:sz w:val="18"/>
                <w:szCs w:val="18"/>
                <w:lang w:bidi="ru-RU"/>
              </w:rPr>
            </w:r>
          </w:p>
        </w:tc>
      </w:tr>
    </w:tbl>
    <w:p>
      <w:pPr>
        <w:pStyle w:val="810"/>
        <w:jc w:val="right"/>
      </w:pPr>
      <w:r/>
      <w:r/>
    </w:p>
    <w:p>
      <w:pPr>
        <w:pStyle w:val="810"/>
        <w:jc w:val="right"/>
      </w:pPr>
      <w:r/>
      <w:r/>
    </w:p>
    <w:p>
      <w:pPr>
        <w:pStyle w:val="810"/>
      </w:pPr>
      <w:r>
        <w:br w:type="page" w:clear="all"/>
      </w:r>
      <w:r/>
    </w:p>
    <w:p>
      <w:pPr>
        <w:pStyle w:val="810"/>
        <w:jc w:val="right"/>
      </w:pPr>
      <w:r>
        <w:t xml:space="preserve">Приложение 2</w:t>
      </w:r>
      <w:r/>
    </w:p>
    <w:p>
      <w:pPr>
        <w:pStyle w:val="810"/>
        <w:jc w:val="right"/>
      </w:pPr>
      <w:r>
        <w:t xml:space="preserve">К Положению об инсайдерской </w:t>
      </w:r>
      <w:r/>
    </w:p>
    <w:p>
      <w:pPr>
        <w:pStyle w:val="810"/>
        <w:jc w:val="right"/>
      </w:pPr>
      <w:r>
        <w:t xml:space="preserve">информации ПАО «Камчатскэнерго»</w:t>
      </w:r>
      <w:r/>
    </w:p>
    <w:p>
      <w:pPr>
        <w:pStyle w:val="810"/>
        <w:jc w:val="right"/>
      </w:pPr>
      <w:r/>
      <w:r/>
    </w:p>
    <w:tbl>
      <w:tblPr>
        <w:tblStyle w:val="1023"/>
        <w:tblW w:w="9890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478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10"/>
              <w:jc w:val="left"/>
              <w:spacing w:before="0" w:after="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83815" cy="447675"/>
                      <wp:effectExtent l="0" t="0" r="0" b="0"/>
                      <wp:docPr id="5" name="Изображение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Изображение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83815" cy="4476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203.45pt;height:35.25pt;mso-wrap-distance-left:0.00pt;mso-wrap-distance-top:0.00pt;mso-wrap-distance-right:0.00pt;mso-wrap-distance-bottom:0.0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16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Bold Cyr" w:hAnsi="Avenir Next Cyr Bold Cyr" w:eastAsia="Avenir Next Cyr Bold Cyr" w:cs="Avenir Next Cyr Bold Cyr"/>
                <w:lang w:val="ru-RU" w:eastAsia="zh-CN" w:bidi="ru-RU"/>
              </w:rPr>
              <w:t xml:space="preserve">ПАО «Камчатскэнерго»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ул. Набережная, 10, г. Петропавловск-Камчатский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Камчатский край,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Российская Федерация, 683000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т.: +7 (415 2) 21-67-59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ф.: +7 (415 2) 41-20-26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ascii="Avenir Next Cyr Cyr" w:hAnsi="Avenir Next Cyr Cyr" w:eastAsia="Avenir Next Cyr Cyr" w:cs="Avenir Next Cyr Cyr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kamenergo@rushydro.ru</w:t>
            </w:r>
            <w:r>
              <w:rPr>
                <w:rFonts w:ascii="Avenir Next Cyr Cyr" w:hAnsi="Avenir Next Cyr Cyr" w:eastAsia="Avenir Next Cyr Cyr" w:cs="Avenir Next Cyr Cyr"/>
              </w:rPr>
            </w:r>
            <w:r>
              <w:rPr>
                <w:rFonts w:ascii="Avenir Next Cyr Cyr" w:hAnsi="Avenir Next Cyr Cyr" w:eastAsia="Avenir Next Cyr Cyr" w:cs="Avenir Next Cyr Cyr"/>
              </w:rPr>
            </w:r>
          </w:p>
          <w:p>
            <w:pPr>
              <w:pStyle w:val="810"/>
              <w:jc w:val="left"/>
              <w:spacing w:before="0" w:after="0" w:line="259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 w:line="360" w:lineRule="auto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ascii="Avenir Next Cyr Cyr" w:hAnsi="Avenir Next Cyr Cyr" w:eastAsia="Avenir Next Cyr Cyr" w:cs="Avenir Next Cyr Cyr"/>
                <w:lang w:val="ru-RU" w:eastAsia="zh-CN" w:bidi="ru-RU"/>
              </w:rPr>
              <w:t xml:space="preserve">от __________________ № __________________</w:t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6" w:type="dxa"/>
            <w:textDirection w:val="lrTb"/>
            <w:noWrap w:val="false"/>
          </w:tcPr>
          <w:p>
            <w:pPr>
              <w:pStyle w:val="810"/>
              <w:jc w:val="left"/>
              <w:spacing w:before="0" w:after="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12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  <w:p>
            <w:pPr>
              <w:pStyle w:val="810"/>
              <w:jc w:val="left"/>
              <w:spacing w:before="0" w:after="120"/>
              <w:widowControl w:val="off"/>
              <w:rPr>
                <w:rFonts w:eastAsia="Times New Roman" w:cs="Times New Roman"/>
                <w:lang w:val="ru-RU" w:eastAsia="zh-CN" w:bidi="ru-RU"/>
              </w:rPr>
            </w:pP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  <w:r>
              <w:rPr>
                <w:rFonts w:eastAsia="Times New Roman" w:cs="Times New Roman"/>
                <w:lang w:val="ru-RU" w:eastAsia="zh-CN" w:bidi="ru-RU"/>
              </w:rPr>
            </w:r>
          </w:p>
        </w:tc>
      </w:tr>
    </w:tbl>
    <w:p>
      <w:pPr>
        <w:pStyle w:val="810"/>
        <w:jc w:val="right"/>
      </w:pPr>
      <w:r/>
      <w:r/>
    </w:p>
    <w:p>
      <w:pPr>
        <w:pStyle w:val="810"/>
        <w:contextualSpacing/>
        <w:jc w:val="center"/>
        <w:spacing w:before="240" w:after="240"/>
        <w:rPr>
          <w:b/>
          <w:bCs/>
          <w:lang w:bidi="ru-RU"/>
        </w:rPr>
      </w:pPr>
      <w:r>
        <w:rPr>
          <w:b/>
          <w:bCs/>
          <w:lang w:bidi="ru-RU"/>
        </w:rPr>
        <w:t xml:space="preserve">УВЕДОМЛЕНИЕ</w:t>
      </w:r>
      <w:r>
        <w:rPr>
          <w:b/>
          <w:bCs/>
          <w:lang w:bidi="ru-RU"/>
        </w:rPr>
        <w:br w:type="textWrapping" w:clear="all"/>
      </w:r>
      <w:r>
        <w:rPr>
          <w:b/>
          <w:bCs/>
          <w:lang w:bidi="ru-RU"/>
        </w:rPr>
        <w:t xml:space="preserve">об исключении лица из списка инсайдеров</w:t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810"/>
      </w:pPr>
      <w:r/>
      <w:r/>
    </w:p>
    <w:tbl>
      <w:tblPr>
        <w:tblW w:w="10093" w:type="dxa"/>
        <w:jc w:val="center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4422"/>
        <w:gridCol w:w="5104"/>
      </w:tblGrid>
      <w:tr>
        <w:trPr>
          <w:trHeight w:val="3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1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b/>
                <w:bCs/>
                <w:sz w:val="18"/>
                <w:szCs w:val="18"/>
                <w:lang w:bidi="ru-RU"/>
              </w:rPr>
            </w:pPr>
            <w:r>
              <w:rPr>
                <w:b/>
                <w:bCs/>
                <w:sz w:val="18"/>
                <w:szCs w:val="18"/>
                <w:lang w:bidi="ru-RU"/>
              </w:rPr>
              <w:t xml:space="preserve">Сведения об уведомлении</w:t>
            </w:r>
            <w:r>
              <w:rPr>
                <w:b/>
                <w:bCs/>
                <w:sz w:val="18"/>
                <w:szCs w:val="18"/>
                <w:lang w:bidi="ru-RU"/>
              </w:rPr>
            </w:r>
            <w:r>
              <w:rPr>
                <w:b/>
                <w:bCs/>
                <w:sz w:val="18"/>
                <w:szCs w:val="18"/>
                <w:lang w:bidi="ru-RU"/>
              </w:rPr>
            </w:r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1.1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Порядковый номер и дата составления уведомления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 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</w:tr>
      <w:tr>
        <w:trPr>
          <w:trHeight w:val="3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textDirection w:val="lrTb"/>
            <w:noWrap w:val="false"/>
          </w:tcPr>
          <w:p>
            <w:pPr>
              <w:pStyle w:val="810"/>
              <w:ind w:left="57" w:firstLine="0"/>
              <w:jc w:val="center"/>
              <w:widowControl w:val="off"/>
              <w:rPr>
                <w:b/>
                <w:bCs/>
                <w:sz w:val="18"/>
                <w:szCs w:val="18"/>
                <w:lang w:bidi="ru-RU"/>
              </w:rPr>
            </w:pPr>
            <w:r>
              <w:rPr>
                <w:b/>
                <w:bCs/>
                <w:sz w:val="18"/>
                <w:szCs w:val="18"/>
                <w:lang w:bidi="ru-RU"/>
              </w:rPr>
              <w:t xml:space="preserve">Сведения в отношении уведомляющего лица</w:t>
            </w:r>
            <w:r>
              <w:rPr>
                <w:b/>
                <w:bCs/>
                <w:sz w:val="18"/>
                <w:szCs w:val="18"/>
                <w:lang w:bidi="ru-RU"/>
              </w:rPr>
            </w:r>
            <w:r>
              <w:rPr>
                <w:b/>
                <w:bCs/>
                <w:sz w:val="18"/>
                <w:szCs w:val="18"/>
                <w:lang w:bidi="ru-RU"/>
              </w:rPr>
            </w:r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2.1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Полное фирменное наименование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2.2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Место нахождения и (или) адрес для направления почтовой корреспонденции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2.3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 </w:t>
            </w:r>
            <w:r>
              <w:rPr>
                <w:sz w:val="18"/>
                <w:szCs w:val="18"/>
                <w:lang w:bidi="ru-RU"/>
              </w:rPr>
              <w:t xml:space="preserve">ОГРН, ИНН 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2.4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widowControl w:val="off"/>
            </w:pPr>
            <w:r>
              <w:t xml:space="preserve">ОКСМ (при наличии)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2.5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Регистрационный номер в стране регистрации (при наличии)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2.6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Адрес сайта в информационно-телекоммуникационной сети "Интернет" (при наличии)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2.7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Номер контактного телефона и (или) адрес электронной почты для обращений инсайдеров (лиц, исключенных из списка)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val="en-US" w:bidi="ru-RU"/>
              </w:rPr>
            </w:pPr>
            <w:r>
              <w:rPr>
                <w:sz w:val="18"/>
                <w:szCs w:val="18"/>
                <w:lang w:bidi="ru-RU"/>
              </w:rPr>
              <w:t xml:space="preserve">2.8</w:t>
            </w:r>
            <w:r>
              <w:rPr>
                <w:sz w:val="18"/>
                <w:szCs w:val="18"/>
                <w:lang w:val="en-US" w:bidi="ru-RU"/>
              </w:rPr>
            </w:r>
            <w:r>
              <w:rPr>
                <w:sz w:val="18"/>
                <w:szCs w:val="18"/>
                <w:lang w:val="en-US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Номер пункта статьи 4 Федерального закона от 27 июля 2010 года N 224-ФЗ, относящий уведомляющее лицо к инсайдерам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textDirection w:val="lrTb"/>
            <w:noWrap w:val="false"/>
          </w:tcPr>
          <w:p>
            <w:pPr>
              <w:pStyle w:val="810"/>
              <w:ind w:left="57" w:firstLine="0"/>
              <w:jc w:val="center"/>
              <w:spacing w:line="276" w:lineRule="auto"/>
              <w:widowControl w:val="off"/>
              <w:rPr>
                <w:b/>
                <w:bCs/>
                <w:sz w:val="18"/>
                <w:szCs w:val="18"/>
                <w:lang w:bidi="ru-RU"/>
              </w:rPr>
            </w:pPr>
            <w:r>
              <w:rPr>
                <w:b/>
                <w:bCs/>
                <w:sz w:val="18"/>
                <w:szCs w:val="18"/>
                <w:lang w:bidi="ru-RU"/>
              </w:rPr>
              <w:t xml:space="preserve">Сведения в отношении лица, исключенного из списка инсайдеров  </w:t>
            </w:r>
            <w:r>
              <w:rPr>
                <w:b/>
                <w:bCs/>
                <w:sz w:val="18"/>
                <w:szCs w:val="18"/>
                <w:lang w:bidi="ru-RU"/>
              </w:rPr>
            </w:r>
            <w:r>
              <w:rPr>
                <w:b/>
                <w:bCs/>
                <w:sz w:val="18"/>
                <w:szCs w:val="18"/>
                <w:lang w:bidi="ru-RU"/>
              </w:rPr>
            </w:r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</w:pPr>
            <w:r>
              <w:t xml:space="preserve">для инсайдера – юридического лица</w:t>
            </w:r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3.1.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Полное фирменное наименование инсайдера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3.2.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Место нахождения и (или) адрес для направления почтовой корреспонденции (при наличии)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3.3.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ОГРН, ИНН (при наличии)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3.4.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КИО (при наличии) и ОКСМ</w:t>
            </w:r>
            <w:r>
              <w:rPr>
                <w:color w:val="000000"/>
                <w:sz w:val="18"/>
                <w:szCs w:val="18"/>
                <w:lang w:bidi="ru-RU"/>
              </w:rPr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3.5.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Регистрационный номер в стране регистрации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3.6.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Финансовый инструмент, иностранная валюта и (или) товар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3.7.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Основание для включения инсайдера в список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3.8.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Основание, в силу которого лицо, исключенное из списка, перестало соответствовать положениям статьи 4 Федерального закона от 27 июля 2010 года N 224-ФЗ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3.9.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Информация о лице, исключенного из списка и дате такого исключения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3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2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</w:pPr>
            <w:r>
              <w:t xml:space="preserve">для инсайдера – физического лица</w:t>
            </w:r>
            <w:r/>
          </w:p>
          <w:p>
            <w:pPr>
              <w:pStyle w:val="810"/>
              <w:ind w:left="57" w:firstLine="0"/>
              <w:jc w:val="center"/>
              <w:spacing w:line="276" w:lineRule="auto"/>
              <w:widowControl w:val="off"/>
              <w:rPr>
                <w:b/>
                <w:bCs/>
                <w:sz w:val="18"/>
                <w:szCs w:val="18"/>
                <w:lang w:bidi="ru-RU"/>
              </w:rPr>
            </w:pPr>
            <w:r>
              <w:rPr>
                <w:b/>
                <w:bCs/>
                <w:sz w:val="18"/>
                <w:szCs w:val="18"/>
                <w:lang w:bidi="ru-RU"/>
              </w:rPr>
            </w:r>
            <w:r>
              <w:rPr>
                <w:b/>
                <w:bCs/>
                <w:sz w:val="18"/>
                <w:szCs w:val="18"/>
                <w:lang w:bidi="ru-RU"/>
              </w:rPr>
            </w:r>
            <w:r>
              <w:rPr>
                <w:b/>
                <w:bCs/>
                <w:sz w:val="18"/>
                <w:szCs w:val="18"/>
                <w:lang w:bidi="ru-RU"/>
              </w:rPr>
            </w:r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3.1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Фамилия, имя, отчество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3.2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Дата рождения  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3.3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Место рождения  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3.4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Должность, которую лицо, исключенное из списка занимает в уведомляющем лице (при наличии)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3.5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color w:val="ff000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Финансовый инструмент, иностранная валюта и (или) товар</w:t>
            </w:r>
            <w:r>
              <w:rPr>
                <w:color w:val="ff0000"/>
                <w:lang w:bidi="ru-RU"/>
              </w:rPr>
            </w:r>
            <w:r>
              <w:rPr>
                <w:color w:val="ff0000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3.5</w:t>
            </w:r>
            <w:r>
              <w:rPr>
                <w:color w:val="000000"/>
                <w:sz w:val="18"/>
                <w:szCs w:val="18"/>
                <w:lang w:bidi="ru-RU"/>
              </w:rPr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 </w:t>
            </w:r>
            <w:r>
              <w:rPr>
                <w:color w:val="000000"/>
                <w:sz w:val="18"/>
                <w:szCs w:val="18"/>
                <w:lang w:bidi="ru-RU"/>
              </w:rPr>
              <w:t xml:space="preserve">Основание, в силу которого лицо, исключенное из списка перестало соответствовать положениям </w:t>
            </w:r>
            <w:hyperlink r:id="rId18" w:tooltip="consultantplus://offline/ref=2B70F4A297CDB716C9D486DADE54556F0D870A47E7BA8A028837B60814A38A57864AA2FEA1D3B73BB064938559F65D3BA7A94488F43CCFFBR0IBO" w:history="1">
              <w:r>
                <w:rPr>
                  <w:color w:val="000000"/>
                  <w:sz w:val="18"/>
                  <w:szCs w:val="18"/>
                  <w:lang w:bidi="ru-RU"/>
                </w:rPr>
                <w:t xml:space="preserve">статьи 4</w:t>
              </w:r>
            </w:hyperlink>
            <w:r>
              <w:rPr>
                <w:color w:val="000000"/>
                <w:sz w:val="18"/>
                <w:szCs w:val="18"/>
                <w:lang w:bidi="ru-RU"/>
              </w:rPr>
              <w:t xml:space="preserve"> Федерального закона от 27 июля 2010 года N 224-ФЗ</w:t>
            </w:r>
            <w:r>
              <w:rPr>
                <w:color w:val="000000"/>
                <w:sz w:val="18"/>
                <w:szCs w:val="18"/>
                <w:lang w:bidi="ru-RU"/>
              </w:rPr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Информация о включении инсайдера в список (исключении лица, исключенного из списка, из списка) и дате такого включения (исключения)</w:t>
            </w:r>
            <w:r>
              <w:rPr>
                <w:color w:val="000000"/>
                <w:sz w:val="18"/>
                <w:szCs w:val="18"/>
                <w:lang w:bidi="ru-RU"/>
              </w:rPr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</w:tc>
      </w:tr>
      <w:tr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10"/>
              <w:jc w:val="center"/>
              <w:spacing w:line="276" w:lineRule="auto"/>
              <w:widowControl w:val="off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3.6</w:t>
            </w:r>
            <w:r>
              <w:rPr>
                <w:color w:val="000000"/>
                <w:sz w:val="18"/>
                <w:szCs w:val="18"/>
                <w:lang w:bidi="ru-RU"/>
              </w:rPr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22" w:type="dxa"/>
            <w:textDirection w:val="lrTb"/>
            <w:noWrap w:val="false"/>
          </w:tcPr>
          <w:p>
            <w:pPr>
              <w:pStyle w:val="810"/>
              <w:ind w:left="57" w:firstLine="0"/>
              <w:spacing w:line="276" w:lineRule="auto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Информация о лице, исключенного из списка и дате такого исключения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</w:tbl>
    <w:p>
      <w:pPr>
        <w:pStyle w:val="810"/>
      </w:pPr>
      <w:r/>
      <w:r/>
    </w:p>
    <w:p>
      <w:pPr>
        <w:pStyle w:val="810"/>
        <w:jc w:val="both"/>
        <w:spacing w:before="240" w:after="48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  <w:lang w:bidi="ru-RU"/>
        </w:rPr>
        <w:t xml:space="preserve">Обращаем Ваше внима</w:t>
      </w:r>
      <w:r>
        <w:rPr>
          <w:i/>
          <w:iCs/>
          <w:sz w:val="18"/>
          <w:szCs w:val="18"/>
          <w:lang w:bidi="ru-RU"/>
        </w:rPr>
        <w:t xml:space="preserve">ние, что с момента внесения лица в список инсайдеров ПАО «Камчатскэнерго» в отношении данного лица как инсайдера вводятся ограничения, предусмотренные статьей 6 Федерального закона от 27 июля 2010 года № 224-ФЗ «О противодействии неправомерному использован</w:t>
      </w:r>
      <w:r>
        <w:rPr>
          <w:i/>
          <w:iCs/>
          <w:sz w:val="18"/>
          <w:szCs w:val="18"/>
          <w:lang w:bidi="ru-RU"/>
        </w:rPr>
        <w:t xml:space="preserve">ию инсайдерской информации и манипулированию рынком и о внесении изменений в отдельные законодательные акты Российской Федерации» (далее – Федеральный закон), определена ответственность в соответствии со статьей 7 Федерального закона, и на такое лицо возла</w:t>
      </w:r>
      <w:r>
        <w:rPr>
          <w:i/>
          <w:iCs/>
          <w:sz w:val="18"/>
          <w:szCs w:val="18"/>
          <w:lang w:bidi="ru-RU"/>
        </w:rPr>
        <w:t xml:space="preserve">гаются обязанности, предусмотренные статьей 10 и частью 4 статьи 11 Федерального закона  и Положением ПАО «Камчатскэнерго» об инсайдерской информации, содержащего, в том числе, порядок доступа к инсайдерской информации, правила охраны ее конфиденциальности</w:t>
      </w:r>
      <w:r>
        <w:rPr>
          <w:i/>
          <w:iCs/>
          <w:sz w:val="18"/>
          <w:szCs w:val="18"/>
        </w:rPr>
        <w:t xml:space="preserve">.</w: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p>
      <w:pPr>
        <w:pStyle w:val="810"/>
        <w:jc w:val="both"/>
        <w:spacing w:before="240" w:after="480"/>
        <w:rPr>
          <w:bCs/>
          <w:i/>
          <w:sz w:val="18"/>
          <w:szCs w:val="18"/>
          <w:lang w:bidi="ru-RU"/>
        </w:rPr>
      </w:pPr>
      <w:r>
        <w:rPr>
          <w:i/>
          <w:iCs/>
          <w:sz w:val="18"/>
          <w:szCs w:val="18"/>
          <w:lang w:bidi="ru-RU"/>
        </w:rPr>
        <w:t xml:space="preserve">ПАО «Камчатскэнерго» р</w:t>
      </w:r>
      <w:r>
        <w:rPr>
          <w:i/>
          <w:iCs/>
          <w:sz w:val="18"/>
          <w:szCs w:val="18"/>
          <w:lang w:bidi="ru-RU"/>
        </w:rPr>
        <w:t xml:space="preserve">азъясняет об обязанности соблюдения инсайдерами Общества режима конфиденциальности инсайдерской информации (в том числе в случаях прекращения договорных отношений и исключения из списка инсайдеров Общества) до момента, когда такая информация не утратит ста</w:t>
      </w:r>
      <w:r>
        <w:rPr>
          <w:i/>
          <w:iCs/>
          <w:sz w:val="18"/>
          <w:szCs w:val="18"/>
          <w:lang w:bidi="ru-RU"/>
        </w:rPr>
        <w:t xml:space="preserve">тус инсайдерской. Окончание срока действия договора, на основании которого лицо было включено в список инсайдеров Общества и получило доступ к инсайдерской информации, не свидетельствует о прекращении доступа такого лица к инсайдерской информации Общества.</w:t>
      </w:r>
      <w:r>
        <w:rPr>
          <w:bCs/>
          <w:i/>
          <w:sz w:val="18"/>
          <w:szCs w:val="18"/>
          <w:lang w:bidi="ru-RU"/>
        </w:rPr>
      </w:r>
      <w:r>
        <w:rPr>
          <w:bCs/>
          <w:i/>
          <w:sz w:val="18"/>
          <w:szCs w:val="18"/>
          <w:lang w:bidi="ru-RU"/>
        </w:rPr>
      </w:r>
    </w:p>
    <w:tbl>
      <w:tblPr>
        <w:tblW w:w="9980" w:type="dxa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146"/>
        <w:gridCol w:w="1984"/>
        <w:gridCol w:w="4850"/>
      </w:tblGrid>
      <w:tr>
        <w:trPr/>
        <w:tc>
          <w:tcPr>
            <w:tcBorders>
              <w:bottom w:val="single" w:color="000000" w:sz="4" w:space="0"/>
            </w:tcBorders>
            <w:tcW w:w="3146" w:type="dxa"/>
            <w:vAlign w:val="bottom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  <w:tc>
          <w:tcPr>
            <w:tcW w:w="4850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</w:tcBorders>
            <w:tcW w:w="314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(инициалы, фамилия)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  <w:tc>
          <w:tcPr>
            <w:tcW w:w="4850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/>
        <w:tc>
          <w:tcPr>
            <w:tcW w:w="314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  <w:tc>
          <w:tcPr>
            <w:tcW w:w="4850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/>
        <w:tc>
          <w:tcPr>
            <w:tcW w:w="314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  <w:tc>
          <w:tcPr>
            <w:tcW w:w="4850" w:type="dxa"/>
            <w:textDirection w:val="lrTb"/>
            <w:noWrap w:val="false"/>
          </w:tcPr>
          <w:p>
            <w:pPr>
              <w:pStyle w:val="810"/>
              <w:widowControl w:val="off"/>
            </w:pPr>
            <w:r/>
            <w:r/>
          </w:p>
        </w:tc>
      </w:tr>
      <w:tr>
        <w:trPr/>
        <w:tc>
          <w:tcPr>
            <w:tcBorders>
              <w:bottom w:val="single" w:color="000000" w:sz="4" w:space="0"/>
            </w:tcBorders>
            <w:tcW w:w="3146" w:type="dxa"/>
            <w:vAlign w:val="bottom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bottom w:val="single" w:color="000000" w:sz="4" w:space="0"/>
            </w:tcBorders>
            <w:tcW w:w="4850" w:type="dxa"/>
            <w:vAlign w:val="bottom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3146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(подпись)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  <w:tc>
          <w:tcPr>
            <w:tcBorders>
              <w:top w:val="single" w:color="000000" w:sz="4" w:space="0"/>
            </w:tcBorders>
            <w:tcW w:w="4850" w:type="dxa"/>
            <w:textDirection w:val="lrTb"/>
            <w:noWrap w:val="false"/>
          </w:tcPr>
          <w:p>
            <w:pPr>
              <w:pStyle w:val="810"/>
              <w:jc w:val="center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 xml:space="preserve">(наименование должности, дата подписи)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</w:tc>
      </w:tr>
    </w:tbl>
    <w:tbl>
      <w:tblPr>
        <w:tblStyle w:val="1022"/>
        <w:tblW w:w="935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054"/>
        <w:gridCol w:w="630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810"/>
              <w:jc w:val="left"/>
              <w:spacing w:before="0" w:after="0"/>
              <w:widowControl w:val="off"/>
              <w:rPr>
                <w:lang w:bidi="ru-RU"/>
              </w:rPr>
            </w:pPr>
            <w:r>
              <w:rPr>
                <w:rFonts w:eastAsia="Times New Roman" w:cs="Times New Roman"/>
                <w:lang w:val="ru-RU" w:eastAsia="ru-RU" w:bidi="ru-RU"/>
              </w:rPr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03" w:type="dxa"/>
            <w:textDirection w:val="lrTb"/>
            <w:noWrap w:val="false"/>
          </w:tcPr>
          <w:p>
            <w:pPr>
              <w:pStyle w:val="810"/>
              <w:jc w:val="left"/>
              <w:spacing w:before="0" w:after="0"/>
              <w:widowControl w:val="off"/>
              <w:rPr>
                <w:lang w:bidi="ru-RU"/>
              </w:rPr>
            </w:pPr>
            <w:r>
              <w:rPr>
                <w:rFonts w:eastAsia="Times New Roman" w:cs="Times New Roman"/>
                <w:lang w:val="ru-RU" w:eastAsia="ru-RU" w:bidi="ru-RU"/>
              </w:rPr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</w:tr>
      <w:tr>
        <w:trPr>
          <w:trHeight w:val="448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810"/>
              <w:jc w:val="center"/>
              <w:spacing w:before="0" w:after="0"/>
              <w:widowControl w:val="off"/>
              <w:rPr>
                <w:lang w:bidi="ru-RU"/>
              </w:rPr>
            </w:pPr>
            <w:r>
              <w:rPr>
                <w:rFonts w:eastAsia="Times New Roman" w:cs="Times New Roman"/>
                <w:sz w:val="18"/>
                <w:szCs w:val="18"/>
                <w:lang w:val="ru-RU" w:eastAsia="ru-RU" w:bidi="ru-RU"/>
              </w:rPr>
              <w:t xml:space="preserve">Уведомление получено</w:t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  <w:p>
            <w:pPr>
              <w:pStyle w:val="810"/>
              <w:jc w:val="center"/>
              <w:spacing w:before="0" w:after="0"/>
              <w:widowControl w:val="off"/>
              <w:rPr>
                <w:sz w:val="18"/>
                <w:szCs w:val="18"/>
                <w:lang w:bidi="ru-RU"/>
              </w:rPr>
            </w:pPr>
            <w:r>
              <w:rPr>
                <w:rFonts w:eastAsia="Times New Roman" w:cs="Times New Roman"/>
                <w:sz w:val="18"/>
                <w:szCs w:val="18"/>
                <w:lang w:val="ru-RU" w:eastAsia="ru-RU" w:bidi="ru-RU"/>
              </w:rPr>
              <w:t xml:space="preserve">(подпись лица, исключенного из списка инсайдеров,</w:t>
            </w:r>
            <w:r>
              <w:rPr>
                <w:sz w:val="18"/>
                <w:szCs w:val="18"/>
                <w:lang w:bidi="ru-RU"/>
              </w:rPr>
            </w:r>
            <w:r>
              <w:rPr>
                <w:sz w:val="18"/>
                <w:szCs w:val="18"/>
                <w:lang w:bidi="ru-RU"/>
              </w:rPr>
            </w:r>
          </w:p>
          <w:p>
            <w:pPr>
              <w:pStyle w:val="810"/>
              <w:jc w:val="center"/>
              <w:spacing w:before="0" w:after="0"/>
              <w:widowControl w:val="off"/>
              <w:rPr>
                <w:lang w:bidi="ru-RU"/>
              </w:rPr>
            </w:pPr>
            <w:r>
              <w:rPr>
                <w:rFonts w:eastAsia="Times New Roman" w:cs="Times New Roman"/>
                <w:sz w:val="18"/>
                <w:szCs w:val="18"/>
                <w:lang w:val="ru-RU" w:eastAsia="ru-RU" w:bidi="ru-RU"/>
              </w:rPr>
              <w:t xml:space="preserve"> </w:t>
            </w:r>
            <w:r>
              <w:rPr>
                <w:rFonts w:eastAsia="Times New Roman" w:cs="Times New Roman"/>
                <w:sz w:val="18"/>
                <w:szCs w:val="18"/>
                <w:lang w:val="ru-RU" w:eastAsia="ru-RU" w:bidi="ru-RU"/>
              </w:rPr>
              <w:t xml:space="preserve">расшифровка подписи)</w:t>
            </w:r>
            <w:r>
              <w:rPr>
                <w:rStyle w:val="837"/>
                <w:rFonts w:eastAsia="Times New Roman" w:cs="Times New Roman"/>
                <w:sz w:val="18"/>
                <w:szCs w:val="18"/>
                <w:lang w:val="ru-RU" w:eastAsia="ru-RU" w:bidi="ru-RU"/>
              </w:rPr>
              <w:footnoteReference w:id="3"/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03" w:type="dxa"/>
            <w:textDirection w:val="lrTb"/>
            <w:noWrap w:val="false"/>
          </w:tcPr>
          <w:p>
            <w:pPr>
              <w:pStyle w:val="810"/>
              <w:jc w:val="left"/>
              <w:spacing w:before="0" w:after="0"/>
              <w:widowControl w:val="off"/>
              <w:rPr>
                <w:lang w:bidi="ru-RU"/>
              </w:rPr>
            </w:pPr>
            <w:r>
              <w:rPr>
                <w:rFonts w:eastAsia="Times New Roman" w:cs="Times New Roman"/>
                <w:lang w:val="ru-RU" w:eastAsia="ru-RU" w:bidi="ru-RU"/>
              </w:rPr>
            </w:r>
            <w:r>
              <w:rPr>
                <w:lang w:bidi="ru-RU"/>
              </w:rPr>
            </w:r>
            <w:r>
              <w:rPr>
                <w:lang w:bidi="ru-RU"/>
              </w:rPr>
            </w:r>
          </w:p>
        </w:tc>
      </w:tr>
    </w:tbl>
    <w:p>
      <w:pPr>
        <w:pStyle w:val="810"/>
        <w:jc w:val="right"/>
      </w:pPr>
      <w:r/>
      <w:r/>
    </w:p>
    <w:p>
      <w:pPr>
        <w:pStyle w:val="810"/>
      </w:pPr>
      <w:r/>
      <w:r/>
    </w:p>
    <w:sectPr>
      <w:footerReference w:type="default" r:id="rId9"/>
      <w:footerReference w:type="even" r:id="rId10"/>
      <w:footerReference w:type="first" r:id="rId11"/>
      <w:footnotePr>
        <w:numFmt w:val="decimal"/>
      </w:footnotePr>
      <w:endnotePr/>
      <w:type w:val="nextPage"/>
      <w:pgSz w:w="11906" w:h="16838" w:orient="portrait"/>
      <w:pgMar w:top="851" w:right="850" w:bottom="959" w:left="1701" w:header="0" w:footer="45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venir Next Cyr Bold Cyr">
    <w:panose1 w:val="020B05030202020202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Verdana">
    <w:panose1 w:val="020B0604030504040204"/>
  </w:font>
  <w:font w:name="Avenir Next Cyr Cyr">
    <w:panose1 w:val="020B0503020202020204"/>
  </w:font>
  <w:font w:name="Noto Sans Devanagari">
    <w:panose1 w:val="020B050204050402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ind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1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878"/>
                            <w:rPr>
                              <w:rStyle w:val="844"/>
                            </w:rPr>
                          </w:pPr>
                          <w:r>
                            <w:rPr>
                              <w:rStyle w:val="844"/>
                            </w:rPr>
                            <w:fldChar w:fldCharType="begin"/>
                          </w:r>
                          <w:r>
                            <w:rPr>
                              <w:rStyle w:val="844"/>
                            </w:rPr>
                            <w:instrText xml:space="preserve"> PAGE </w:instrText>
                          </w:r>
                          <w:r>
                            <w:rPr>
                              <w:rStyle w:val="844"/>
                            </w:rPr>
                            <w:fldChar w:fldCharType="separate"/>
                          </w:r>
                          <w:r>
                            <w:rPr>
                              <w:rStyle w:val="844"/>
                            </w:rPr>
                            <w:t xml:space="preserve">24</w:t>
                          </w:r>
                          <w:r>
                            <w:rPr>
                              <w:rStyle w:val="844"/>
                            </w:rPr>
                            <w:fldChar w:fldCharType="end"/>
                          </w:r>
                          <w:r>
                            <w:rPr>
                              <w:rStyle w:val="844"/>
                            </w:rPr>
                          </w:r>
                          <w:r>
                            <w:rPr>
                              <w:rStyle w:val="844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26;o:allowoverlap:true;o:allowincell:false;mso-position-horizontal-relative:margin;mso-position-horizontal:right;mso-position-vertical-relative:text;margin-top:0.05pt;mso-position-vertical:absolute;width:10.05pt;height:11.55pt;mso-wrap-distance-left:0.00pt;mso-wrap-distance-top:0.00pt;mso-wrap-distance-right:0.00pt;mso-wrap-distance-bottom:0.00pt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878"/>
                      <w:rPr>
                        <w:rStyle w:val="844"/>
                      </w:rPr>
                    </w:pPr>
                    <w:r>
                      <w:rPr>
                        <w:rStyle w:val="844"/>
                      </w:rPr>
                      <w:fldChar w:fldCharType="begin"/>
                    </w:r>
                    <w:r>
                      <w:rPr>
                        <w:rStyle w:val="844"/>
                      </w:rPr>
                      <w:instrText xml:space="preserve"> PAGE </w:instrText>
                    </w:r>
                    <w:r>
                      <w:rPr>
                        <w:rStyle w:val="844"/>
                      </w:rPr>
                      <w:fldChar w:fldCharType="separate"/>
                    </w:r>
                    <w:r>
                      <w:rPr>
                        <w:rStyle w:val="844"/>
                      </w:rPr>
                      <w:t xml:space="preserve">24</w:t>
                    </w:r>
                    <w:r>
                      <w:rPr>
                        <w:rStyle w:val="844"/>
                      </w:rPr>
                      <w:fldChar w:fldCharType="end"/>
                    </w:r>
                    <w:r>
                      <w:rPr>
                        <w:rStyle w:val="844"/>
                      </w:rPr>
                    </w:r>
                    <w:r>
                      <w:rPr>
                        <w:rStyle w:val="844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ind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878"/>
                            <w:rPr>
                              <w:rStyle w:val="844"/>
                            </w:rPr>
                          </w:pPr>
                          <w:r>
                            <w:rPr>
                              <w:rStyle w:val="844"/>
                            </w:rPr>
                            <w:fldChar w:fldCharType="begin"/>
                          </w:r>
                          <w:r>
                            <w:rPr>
                              <w:rStyle w:val="844"/>
                            </w:rPr>
                            <w:instrText xml:space="preserve"> PAGE </w:instrText>
                          </w:r>
                          <w:r>
                            <w:rPr>
                              <w:rStyle w:val="844"/>
                            </w:rPr>
                            <w:fldChar w:fldCharType="separate"/>
                          </w:r>
                          <w:r>
                            <w:rPr>
                              <w:rStyle w:val="844"/>
                            </w:rPr>
                            <w:t xml:space="preserve">0</w:t>
                          </w:r>
                          <w:r>
                            <w:rPr>
                              <w:rStyle w:val="844"/>
                            </w:rPr>
                            <w:fldChar w:fldCharType="end"/>
                          </w:r>
                          <w:r>
                            <w:rPr>
                              <w:rStyle w:val="844"/>
                            </w:rPr>
                          </w:r>
                          <w:r>
                            <w:rPr>
                              <w:rStyle w:val="844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202" type="#_x0000_t202" style="position:absolute;z-index:0;o:allowoverlap:true;o:allowincell:tru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878"/>
                      <w:rPr>
                        <w:rStyle w:val="844"/>
                      </w:rPr>
                    </w:pPr>
                    <w:r>
                      <w:rPr>
                        <w:rStyle w:val="844"/>
                      </w:rPr>
                      <w:fldChar w:fldCharType="begin"/>
                    </w:r>
                    <w:r>
                      <w:rPr>
                        <w:rStyle w:val="844"/>
                      </w:rPr>
                      <w:instrText xml:space="preserve"> PAGE </w:instrText>
                    </w:r>
                    <w:r>
                      <w:rPr>
                        <w:rStyle w:val="844"/>
                      </w:rPr>
                      <w:fldChar w:fldCharType="separate"/>
                    </w:r>
                    <w:r>
                      <w:rPr>
                        <w:rStyle w:val="844"/>
                      </w:rPr>
                      <w:t xml:space="preserve">0</w:t>
                    </w:r>
                    <w:r>
                      <w:rPr>
                        <w:rStyle w:val="844"/>
                      </w:rPr>
                      <w:fldChar w:fldCharType="end"/>
                    </w:r>
                    <w:r>
                      <w:rPr>
                        <w:rStyle w:val="844"/>
                      </w:rPr>
                    </w:r>
                    <w:r>
                      <w:rPr>
                        <w:rStyle w:val="844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ind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3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878"/>
                            <w:rPr>
                              <w:rStyle w:val="844"/>
                            </w:rPr>
                          </w:pPr>
                          <w:r>
                            <w:rPr>
                              <w:rStyle w:val="844"/>
                            </w:rPr>
                            <w:fldChar w:fldCharType="begin"/>
                          </w:r>
                          <w:r>
                            <w:rPr>
                              <w:rStyle w:val="844"/>
                            </w:rPr>
                            <w:instrText xml:space="preserve"> PAGE </w:instrText>
                          </w:r>
                          <w:r>
                            <w:rPr>
                              <w:rStyle w:val="844"/>
                            </w:rPr>
                            <w:fldChar w:fldCharType="separate"/>
                          </w:r>
                          <w:r>
                            <w:rPr>
                              <w:rStyle w:val="844"/>
                            </w:rPr>
                            <w:t xml:space="preserve">24</w:t>
                          </w:r>
                          <w:r>
                            <w:rPr>
                              <w:rStyle w:val="844"/>
                            </w:rPr>
                            <w:fldChar w:fldCharType="end"/>
                          </w:r>
                          <w:r>
                            <w:rPr>
                              <w:rStyle w:val="844"/>
                            </w:rPr>
                          </w:r>
                          <w:r>
                            <w:rPr>
                              <w:rStyle w:val="844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202" type="#_x0000_t202" style="position:absolute;z-index:26;o:allowoverlap:true;o:allowincell:false;mso-position-horizontal-relative:margin;mso-position-horizontal:right;mso-position-vertical-relative:text;margin-top:0.05pt;mso-position-vertical:absolute;width:10.05pt;height:11.55pt;mso-wrap-distance-left:0.00pt;mso-wrap-distance-top:0.00pt;mso-wrap-distance-right:0.00pt;mso-wrap-distance-bottom:0.00pt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878"/>
                      <w:rPr>
                        <w:rStyle w:val="844"/>
                      </w:rPr>
                    </w:pPr>
                    <w:r>
                      <w:rPr>
                        <w:rStyle w:val="844"/>
                      </w:rPr>
                      <w:fldChar w:fldCharType="begin"/>
                    </w:r>
                    <w:r>
                      <w:rPr>
                        <w:rStyle w:val="844"/>
                      </w:rPr>
                      <w:instrText xml:space="preserve"> PAGE </w:instrText>
                    </w:r>
                    <w:r>
                      <w:rPr>
                        <w:rStyle w:val="844"/>
                      </w:rPr>
                      <w:fldChar w:fldCharType="separate"/>
                    </w:r>
                    <w:r>
                      <w:rPr>
                        <w:rStyle w:val="844"/>
                      </w:rPr>
                      <w:t xml:space="preserve">24</w:t>
                    </w:r>
                    <w:r>
                      <w:rPr>
                        <w:rStyle w:val="844"/>
                      </w:rPr>
                      <w:fldChar w:fldCharType="end"/>
                    </w:r>
                    <w:r>
                      <w:rPr>
                        <w:rStyle w:val="844"/>
                      </w:rPr>
                    </w:r>
                    <w:r>
                      <w:rPr>
                        <w:rStyle w:val="844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  <w:footnote w:id="2">
    <w:p>
      <w:pPr>
        <w:pStyle w:val="810"/>
        <w:widowControl w:val="off"/>
      </w:pPr>
      <w:r>
        <w:rPr>
          <w:rStyle w:val="836"/>
        </w:rPr>
        <w:footnoteRef/>
      </w:r>
      <w:r>
        <w:t xml:space="preserve"> </w:t>
      </w:r>
      <w:r>
        <w:t xml:space="preserve">Копию уведомления необходимо направить по электронному адресу, указанному в п. 2.7. уведомления</w:t>
      </w:r>
      <w:r/>
    </w:p>
    <w:p>
      <w:pPr>
        <w:pStyle w:val="875"/>
        <w:widowControl w:val="off"/>
      </w:pPr>
      <w:r/>
      <w:r/>
    </w:p>
  </w:footnote>
  <w:footnote w:id="3">
    <w:p>
      <w:pPr>
        <w:pStyle w:val="875"/>
        <w:widowControl w:val="off"/>
      </w:pPr>
      <w:r>
        <w:rPr>
          <w:rStyle w:val="836"/>
        </w:rPr>
        <w:footnoteRef/>
      </w:r>
      <w:r>
        <w:t xml:space="preserve"> </w:t>
      </w:r>
      <w:r>
        <w:t xml:space="preserve">Копию уведомления необходимо направить по электронному адресу, указанному в п. 2.7. уведомления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  <w:tabs>
          <w:tab w:val="num" w:pos="0" w:leader="none"/>
        </w:tabs>
      </w:pPr>
      <w:rPr>
        <w:rFonts w:hint="default"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8">
    <w:name w:val="Heading 2 Char"/>
    <w:basedOn w:val="820"/>
    <w:link w:val="812"/>
    <w:uiPriority w:val="9"/>
    <w:rPr>
      <w:rFonts w:ascii="Arial" w:hAnsi="Arial" w:eastAsia="Arial" w:cs="Arial"/>
      <w:sz w:val="34"/>
    </w:rPr>
  </w:style>
  <w:style w:type="character" w:styleId="799">
    <w:name w:val="Heading 3 Char"/>
    <w:basedOn w:val="820"/>
    <w:link w:val="813"/>
    <w:uiPriority w:val="9"/>
    <w:rPr>
      <w:rFonts w:ascii="Arial" w:hAnsi="Arial" w:eastAsia="Arial" w:cs="Arial"/>
      <w:sz w:val="30"/>
      <w:szCs w:val="30"/>
    </w:rPr>
  </w:style>
  <w:style w:type="character" w:styleId="800">
    <w:name w:val="Heading 4 Char"/>
    <w:basedOn w:val="820"/>
    <w:link w:val="814"/>
    <w:uiPriority w:val="9"/>
    <w:rPr>
      <w:rFonts w:ascii="Arial" w:hAnsi="Arial" w:eastAsia="Arial" w:cs="Arial"/>
      <w:b/>
      <w:bCs/>
      <w:sz w:val="26"/>
      <w:szCs w:val="26"/>
    </w:rPr>
  </w:style>
  <w:style w:type="character" w:styleId="801">
    <w:name w:val="Heading 5 Char"/>
    <w:basedOn w:val="820"/>
    <w:link w:val="815"/>
    <w:uiPriority w:val="9"/>
    <w:rPr>
      <w:rFonts w:ascii="Arial" w:hAnsi="Arial" w:eastAsia="Arial" w:cs="Arial"/>
      <w:b/>
      <w:bCs/>
      <w:sz w:val="24"/>
      <w:szCs w:val="24"/>
    </w:rPr>
  </w:style>
  <w:style w:type="character" w:styleId="802">
    <w:name w:val="Heading 6 Char"/>
    <w:basedOn w:val="820"/>
    <w:link w:val="816"/>
    <w:uiPriority w:val="9"/>
    <w:rPr>
      <w:rFonts w:ascii="Arial" w:hAnsi="Arial" w:eastAsia="Arial" w:cs="Arial"/>
      <w:b/>
      <w:bCs/>
      <w:sz w:val="22"/>
      <w:szCs w:val="22"/>
    </w:rPr>
  </w:style>
  <w:style w:type="character" w:styleId="803">
    <w:name w:val="Heading 7 Char"/>
    <w:basedOn w:val="820"/>
    <w:link w:val="8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4">
    <w:name w:val="Heading 8 Char"/>
    <w:basedOn w:val="820"/>
    <w:link w:val="818"/>
    <w:uiPriority w:val="9"/>
    <w:rPr>
      <w:rFonts w:ascii="Arial" w:hAnsi="Arial" w:eastAsia="Arial" w:cs="Arial"/>
      <w:i/>
      <w:iCs/>
      <w:sz w:val="22"/>
      <w:szCs w:val="22"/>
    </w:rPr>
  </w:style>
  <w:style w:type="character" w:styleId="805">
    <w:name w:val="Heading 9 Char"/>
    <w:basedOn w:val="820"/>
    <w:link w:val="819"/>
    <w:uiPriority w:val="9"/>
    <w:rPr>
      <w:rFonts w:ascii="Arial" w:hAnsi="Arial" w:eastAsia="Arial" w:cs="Arial"/>
      <w:i/>
      <w:iCs/>
      <w:sz w:val="21"/>
      <w:szCs w:val="21"/>
    </w:rPr>
  </w:style>
  <w:style w:type="character" w:styleId="806">
    <w:name w:val="Subtitle Char"/>
    <w:basedOn w:val="820"/>
    <w:link w:val="861"/>
    <w:uiPriority w:val="11"/>
    <w:rPr>
      <w:sz w:val="24"/>
      <w:szCs w:val="24"/>
    </w:rPr>
  </w:style>
  <w:style w:type="character" w:styleId="807">
    <w:name w:val="Quote Char"/>
    <w:link w:val="862"/>
    <w:uiPriority w:val="29"/>
    <w:rPr>
      <w:i/>
    </w:rPr>
  </w:style>
  <w:style w:type="character" w:styleId="808">
    <w:name w:val="Intense Quote Char"/>
    <w:link w:val="863"/>
    <w:uiPriority w:val="30"/>
    <w:rPr>
      <w:i/>
    </w:rPr>
  </w:style>
  <w:style w:type="paragraph" w:styleId="809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10" w:default="1">
    <w:name w:val="Normal"/>
    <w:qFormat/>
    <w:pPr>
      <w:jc w:val="left"/>
      <w:spacing w:before="0" w:after="0" w:line="240" w:lineRule="auto"/>
      <w:widowControl w:val="off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811">
    <w:name w:val="Heading 1"/>
    <w:basedOn w:val="810"/>
    <w:next w:val="810"/>
    <w:link w:val="898"/>
    <w:uiPriority w:val="99"/>
    <w:qFormat/>
    <w:pPr>
      <w:ind w:left="720" w:firstLine="0"/>
      <w:jc w:val="center"/>
      <w:keepLines/>
      <w:keepNext/>
      <w:spacing w:before="240" w:after="240"/>
      <w:outlineLvl w:val="0"/>
    </w:pPr>
    <w:rPr>
      <w:sz w:val="24"/>
      <w:szCs w:val="24"/>
    </w:rPr>
  </w:style>
  <w:style w:type="paragraph" w:styleId="812">
    <w:name w:val="Heading 2"/>
    <w:basedOn w:val="810"/>
    <w:next w:val="810"/>
    <w:link w:val="82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13">
    <w:name w:val="Heading 3"/>
    <w:basedOn w:val="810"/>
    <w:next w:val="810"/>
    <w:link w:val="90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14">
    <w:name w:val="Heading 4"/>
    <w:basedOn w:val="810"/>
    <w:next w:val="810"/>
    <w:link w:val="90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15">
    <w:name w:val="Heading 5"/>
    <w:basedOn w:val="810"/>
    <w:next w:val="810"/>
    <w:link w:val="90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16">
    <w:name w:val="Heading 6"/>
    <w:basedOn w:val="810"/>
    <w:next w:val="810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17">
    <w:name w:val="Heading 7"/>
    <w:basedOn w:val="810"/>
    <w:next w:val="810"/>
    <w:link w:val="8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18">
    <w:name w:val="Heading 8"/>
    <w:basedOn w:val="810"/>
    <w:next w:val="810"/>
    <w:link w:val="82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19">
    <w:name w:val="Heading 9"/>
    <w:basedOn w:val="810"/>
    <w:next w:val="810"/>
    <w:link w:val="82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0" w:default="1">
    <w:name w:val="Default Paragraph Font"/>
    <w:uiPriority w:val="1"/>
    <w:semiHidden/>
    <w:unhideWhenUsed/>
    <w:qFormat/>
  </w:style>
  <w:style w:type="character" w:styleId="821" w:customStyle="1">
    <w:name w:val="Heading 1 Char"/>
    <w:basedOn w:val="820"/>
    <w:uiPriority w:val="9"/>
    <w:qFormat/>
    <w:rPr>
      <w:rFonts w:ascii="Arial" w:hAnsi="Arial" w:eastAsia="Arial" w:cs="Arial"/>
      <w:sz w:val="40"/>
      <w:szCs w:val="40"/>
    </w:rPr>
  </w:style>
  <w:style w:type="character" w:styleId="822" w:customStyle="1">
    <w:name w:val="Заголовок 2 Знак"/>
    <w:basedOn w:val="820"/>
    <w:uiPriority w:val="9"/>
    <w:qFormat/>
    <w:rPr>
      <w:rFonts w:ascii="Arial" w:hAnsi="Arial" w:eastAsia="Arial" w:cs="Arial"/>
      <w:sz w:val="34"/>
    </w:rPr>
  </w:style>
  <w:style w:type="character" w:styleId="823" w:customStyle="1">
    <w:name w:val="Заголовок 6 Знак"/>
    <w:basedOn w:val="82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24" w:customStyle="1">
    <w:name w:val="Заголовок 7 Знак"/>
    <w:basedOn w:val="82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25" w:customStyle="1">
    <w:name w:val="Заголовок 8 Знак"/>
    <w:basedOn w:val="82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26" w:customStyle="1">
    <w:name w:val="Заголовок 9 Знак"/>
    <w:basedOn w:val="82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27" w:customStyle="1">
    <w:name w:val="Title Char"/>
    <w:basedOn w:val="820"/>
    <w:uiPriority w:val="10"/>
    <w:qFormat/>
    <w:rPr>
      <w:sz w:val="48"/>
      <w:szCs w:val="48"/>
    </w:rPr>
  </w:style>
  <w:style w:type="character" w:styleId="828" w:customStyle="1">
    <w:name w:val="Подзаголовок Знак"/>
    <w:basedOn w:val="820"/>
    <w:uiPriority w:val="11"/>
    <w:qFormat/>
    <w:rPr>
      <w:sz w:val="24"/>
      <w:szCs w:val="24"/>
    </w:rPr>
  </w:style>
  <w:style w:type="character" w:styleId="829" w:customStyle="1">
    <w:name w:val="Цитата 2 Знак"/>
    <w:link w:val="862"/>
    <w:uiPriority w:val="29"/>
    <w:qFormat/>
    <w:rPr>
      <w:i/>
    </w:rPr>
  </w:style>
  <w:style w:type="character" w:styleId="830" w:customStyle="1">
    <w:name w:val="Выделенная цитата Знак"/>
    <w:link w:val="863"/>
    <w:uiPriority w:val="30"/>
    <w:qFormat/>
    <w:rPr>
      <w:i/>
    </w:rPr>
  </w:style>
  <w:style w:type="character" w:styleId="831" w:customStyle="1">
    <w:name w:val="Header Char"/>
    <w:basedOn w:val="820"/>
    <w:uiPriority w:val="99"/>
    <w:qFormat/>
  </w:style>
  <w:style w:type="character" w:styleId="832" w:customStyle="1">
    <w:name w:val="Footer Char"/>
    <w:basedOn w:val="820"/>
    <w:uiPriority w:val="99"/>
    <w:qFormat/>
  </w:style>
  <w:style w:type="character" w:styleId="833" w:customStyle="1">
    <w:name w:val="Caption Char"/>
    <w:uiPriority w:val="99"/>
    <w:qFormat/>
  </w:style>
  <w:style w:type="character" w:styleId="834" w:customStyle="1">
    <w:name w:val="Footnote Text Char"/>
    <w:uiPriority w:val="99"/>
    <w:qFormat/>
    <w:rPr>
      <w:sz w:val="18"/>
    </w:rPr>
  </w:style>
  <w:style w:type="character" w:styleId="835" w:customStyle="1">
    <w:name w:val="Endnote Text Char"/>
    <w:uiPriority w:val="99"/>
    <w:qFormat/>
    <w:rPr>
      <w:sz w:val="20"/>
    </w:rPr>
  </w:style>
  <w:style w:type="character" w:styleId="836">
    <w:name w:val="Символ сноски"/>
    <w:basedOn w:val="820"/>
    <w:uiPriority w:val="99"/>
    <w:qFormat/>
    <w:rPr>
      <w:rFonts w:cs="Times New Roman"/>
      <w:vertAlign w:val="superscript"/>
    </w:rPr>
  </w:style>
  <w:style w:type="character" w:styleId="837">
    <w:name w:val="footnote reference"/>
    <w:rPr>
      <w:rFonts w:cs="Times New Roman"/>
      <w:vertAlign w:val="superscript"/>
    </w:rPr>
  </w:style>
  <w:style w:type="character" w:styleId="838">
    <w:name w:val="Hyperlink"/>
    <w:basedOn w:val="820"/>
    <w:uiPriority w:val="99"/>
    <w:rPr>
      <w:rFonts w:cs="Times New Roman"/>
      <w:color w:val="0000ff"/>
      <w:u w:val="single"/>
    </w:rPr>
  </w:style>
  <w:style w:type="character" w:styleId="839" w:customStyle="1">
    <w:name w:val="Текст выноски Знак"/>
    <w:basedOn w:val="820"/>
    <w:link w:val="874"/>
    <w:uiPriority w:val="99"/>
    <w:semiHidden/>
    <w:qFormat/>
    <w:rPr>
      <w:rFonts w:ascii="Tahoma" w:hAnsi="Tahoma" w:cs="Tahoma"/>
      <w:sz w:val="16"/>
      <w:szCs w:val="16"/>
    </w:rPr>
  </w:style>
  <w:style w:type="character" w:styleId="840" w:customStyle="1">
    <w:name w:val="Текст сноски Знак"/>
    <w:basedOn w:val="820"/>
    <w:uiPriority w:val="99"/>
    <w:qFormat/>
    <w:rPr>
      <w:rFonts w:ascii="Times New Roman" w:hAnsi="Times New Roman" w:cs="Times New Roman"/>
      <w:sz w:val="20"/>
      <w:szCs w:val="20"/>
    </w:rPr>
  </w:style>
  <w:style w:type="character" w:styleId="841">
    <w:name w:val="Символ концевой сноски"/>
    <w:basedOn w:val="820"/>
    <w:uiPriority w:val="99"/>
    <w:semiHidden/>
    <w:qFormat/>
    <w:rPr>
      <w:rFonts w:cs="Times New Roman"/>
      <w:vertAlign w:val="superscript"/>
    </w:rPr>
  </w:style>
  <w:style w:type="character" w:styleId="842">
    <w:name w:val="endnote reference"/>
    <w:rPr>
      <w:rFonts w:cs="Times New Roman"/>
      <w:vertAlign w:val="superscript"/>
    </w:rPr>
  </w:style>
  <w:style w:type="character" w:styleId="843" w:customStyle="1">
    <w:name w:val="Текст концевой сноски Знак"/>
    <w:basedOn w:val="82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styleId="844">
    <w:name w:val="page number"/>
    <w:basedOn w:val="820"/>
    <w:uiPriority w:val="99"/>
    <w:qFormat/>
    <w:rPr>
      <w:rFonts w:cs="Times New Roman"/>
    </w:rPr>
  </w:style>
  <w:style w:type="character" w:styleId="845" w:customStyle="1">
    <w:name w:val="Нижний колонтитул Знак"/>
    <w:basedOn w:val="82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styleId="846">
    <w:name w:val="annotation reference"/>
    <w:basedOn w:val="820"/>
    <w:uiPriority w:val="99"/>
    <w:semiHidden/>
    <w:qFormat/>
    <w:rPr>
      <w:rFonts w:cs="Times New Roman"/>
      <w:sz w:val="16"/>
    </w:rPr>
  </w:style>
  <w:style w:type="character" w:styleId="847" w:customStyle="1">
    <w:name w:val="Верхний колонтитул Знак"/>
    <w:basedOn w:val="82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styleId="848" w:customStyle="1">
    <w:name w:val="Текст примечания Знак"/>
    <w:basedOn w:val="820"/>
    <w:link w:val="881"/>
    <w:uiPriority w:val="99"/>
    <w:semiHidden/>
    <w:qFormat/>
    <w:rPr>
      <w:rFonts w:ascii="Times New Roman" w:hAnsi="Times New Roman" w:cs="Times New Roman"/>
    </w:rPr>
  </w:style>
  <w:style w:type="character" w:styleId="849" w:customStyle="1">
    <w:name w:val="Тема примечания Знак"/>
    <w:basedOn w:val="848"/>
    <w:link w:val="883"/>
    <w:uiPriority w:val="99"/>
    <w:semiHidden/>
    <w:qFormat/>
    <w:rPr>
      <w:rFonts w:ascii="Times New Roman" w:hAnsi="Times New Roman" w:cs="Times New Roman"/>
      <w:b/>
    </w:rPr>
  </w:style>
  <w:style w:type="character" w:styleId="850">
    <w:name w:val="Strong"/>
    <w:basedOn w:val="820"/>
    <w:uiPriority w:val="99"/>
    <w:qFormat/>
    <w:rPr>
      <w:rFonts w:cs="Times New Roman"/>
      <w:b/>
      <w:bCs/>
    </w:rPr>
  </w:style>
  <w:style w:type="character" w:styleId="851">
    <w:name w:val="FollowedHyperlink"/>
    <w:basedOn w:val="820"/>
    <w:uiPriority w:val="99"/>
    <w:semiHidden/>
    <w:unhideWhenUsed/>
    <w:rPr>
      <w:color w:val="800080" w:themeColor="followedHyperlink"/>
      <w:u w:val="single"/>
    </w:rPr>
  </w:style>
  <w:style w:type="character" w:styleId="852" w:customStyle="1">
    <w:name w:val="Заголовок Знак"/>
    <w:basedOn w:val="820"/>
    <w:uiPriority w:val="39"/>
    <w:qFormat/>
    <w:rPr>
      <w:rFonts w:ascii="Times New Roman" w:hAnsi="Times New Roman" w:cs="Arial"/>
      <w:b/>
      <w:sz w:val="24"/>
      <w:szCs w:val="24"/>
      <w:lang w:val="en-US" w:eastAsia="en-US"/>
    </w:rPr>
  </w:style>
  <w:style w:type="character" w:styleId="853" w:customStyle="1">
    <w:name w:val="Font Style20"/>
    <w:qFormat/>
    <w:rPr>
      <w:rFonts w:ascii="Times New Roman" w:hAnsi="Times New Roman" w:eastAsia="Times New Roman" w:cs="Times New Roman"/>
      <w:color w:val="000000"/>
      <w:sz w:val="22"/>
    </w:rPr>
  </w:style>
  <w:style w:type="character" w:styleId="854">
    <w:name w:val="Ссылка указателя"/>
    <w:qFormat/>
  </w:style>
  <w:style w:type="paragraph" w:styleId="855">
    <w:name w:val="Заголовок"/>
    <w:basedOn w:val="810"/>
    <w:next w:val="856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56">
    <w:name w:val="Body Text"/>
    <w:basedOn w:val="810"/>
    <w:pPr>
      <w:spacing w:before="0" w:after="140" w:line="276" w:lineRule="auto"/>
    </w:pPr>
  </w:style>
  <w:style w:type="paragraph" w:styleId="857">
    <w:name w:val="List"/>
    <w:basedOn w:val="856"/>
    <w:rPr>
      <w:rFonts w:ascii="PT Astra Serif" w:hAnsi="PT Astra Serif" w:cs="Noto Sans Devanagari"/>
    </w:rPr>
  </w:style>
  <w:style w:type="paragraph" w:styleId="858">
    <w:name w:val="Caption"/>
    <w:basedOn w:val="810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59">
    <w:name w:val="Указатель"/>
    <w:basedOn w:val="810"/>
    <w:qFormat/>
    <w:pPr>
      <w:suppressLineNumbers/>
    </w:pPr>
    <w:rPr>
      <w:rFonts w:ascii="PT Astra Serif" w:hAnsi="PT Astra Serif" w:cs="Noto Sans Devanagari"/>
    </w:rPr>
  </w:style>
  <w:style w:type="paragraph" w:styleId="860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ru-RU" w:bidi="ar-SA"/>
    </w:rPr>
  </w:style>
  <w:style w:type="paragraph" w:styleId="861">
    <w:name w:val="Subtitle"/>
    <w:basedOn w:val="810"/>
    <w:next w:val="810"/>
    <w:link w:val="828"/>
    <w:uiPriority w:val="11"/>
    <w:qFormat/>
    <w:pPr>
      <w:spacing w:before="200" w:after="200"/>
    </w:pPr>
    <w:rPr>
      <w:sz w:val="24"/>
      <w:szCs w:val="24"/>
    </w:rPr>
  </w:style>
  <w:style w:type="paragraph" w:styleId="862">
    <w:name w:val="Quote"/>
    <w:basedOn w:val="810"/>
    <w:next w:val="810"/>
    <w:link w:val="829"/>
    <w:uiPriority w:val="29"/>
    <w:qFormat/>
    <w:pPr>
      <w:ind w:left="720" w:right="720" w:firstLine="0"/>
    </w:pPr>
    <w:rPr>
      <w:i/>
    </w:rPr>
  </w:style>
  <w:style w:type="paragraph" w:styleId="863">
    <w:name w:val="Intense Quote"/>
    <w:basedOn w:val="810"/>
    <w:next w:val="810"/>
    <w:link w:val="830"/>
    <w:uiPriority w:val="30"/>
    <w:qFormat/>
    <w:pPr>
      <w:ind w:left="720" w:right="720" w:firstLine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64">
    <w:name w:val="Caption"/>
    <w:basedOn w:val="810"/>
    <w:next w:val="8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65">
    <w:name w:val="toc 4"/>
    <w:basedOn w:val="810"/>
    <w:next w:val="810"/>
    <w:uiPriority w:val="39"/>
    <w:unhideWhenUsed/>
    <w:pPr>
      <w:ind w:left="850" w:firstLine="0"/>
      <w:spacing w:before="0" w:after="57"/>
    </w:pPr>
  </w:style>
  <w:style w:type="paragraph" w:styleId="866">
    <w:name w:val="toc 5"/>
    <w:basedOn w:val="810"/>
    <w:next w:val="810"/>
    <w:uiPriority w:val="39"/>
    <w:unhideWhenUsed/>
    <w:pPr>
      <w:ind w:left="1134" w:firstLine="0"/>
      <w:spacing w:before="0" w:after="57"/>
    </w:pPr>
  </w:style>
  <w:style w:type="paragraph" w:styleId="867">
    <w:name w:val="toc 6"/>
    <w:basedOn w:val="810"/>
    <w:next w:val="810"/>
    <w:uiPriority w:val="39"/>
    <w:unhideWhenUsed/>
    <w:pPr>
      <w:ind w:left="1417" w:firstLine="0"/>
      <w:spacing w:before="0" w:after="57"/>
    </w:pPr>
  </w:style>
  <w:style w:type="paragraph" w:styleId="868">
    <w:name w:val="toc 7"/>
    <w:basedOn w:val="810"/>
    <w:next w:val="810"/>
    <w:uiPriority w:val="39"/>
    <w:unhideWhenUsed/>
    <w:pPr>
      <w:ind w:left="1701" w:firstLine="0"/>
      <w:spacing w:before="0" w:after="57"/>
    </w:pPr>
  </w:style>
  <w:style w:type="paragraph" w:styleId="869">
    <w:name w:val="toc 8"/>
    <w:basedOn w:val="810"/>
    <w:next w:val="810"/>
    <w:uiPriority w:val="39"/>
    <w:unhideWhenUsed/>
    <w:pPr>
      <w:ind w:left="1984" w:firstLine="0"/>
      <w:spacing w:before="0" w:after="57"/>
    </w:pPr>
  </w:style>
  <w:style w:type="paragraph" w:styleId="870">
    <w:name w:val="toc 9"/>
    <w:basedOn w:val="810"/>
    <w:next w:val="810"/>
    <w:uiPriority w:val="39"/>
    <w:unhideWhenUsed/>
    <w:pPr>
      <w:ind w:left="2268" w:firstLine="0"/>
      <w:spacing w:before="0" w:after="57"/>
    </w:pPr>
  </w:style>
  <w:style w:type="paragraph" w:styleId="871">
    <w:name w:val="Index Heading"/>
    <w:basedOn w:val="855"/>
  </w:style>
  <w:style w:type="paragraph" w:styleId="872">
    <w:name w:val="TOC Heading"/>
    <w:uiPriority w:val="39"/>
    <w:unhideWhenUsed/>
    <w:pPr>
      <w:jc w:val="left"/>
      <w:spacing w:before="0" w:after="200" w:line="276" w:lineRule="auto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ru-RU" w:bidi="ar-SA"/>
    </w:rPr>
  </w:style>
  <w:style w:type="paragraph" w:styleId="873">
    <w:name w:val="table of figures"/>
    <w:basedOn w:val="810"/>
    <w:next w:val="810"/>
    <w:uiPriority w:val="99"/>
    <w:unhideWhenUsed/>
    <w:qFormat/>
  </w:style>
  <w:style w:type="paragraph" w:styleId="874">
    <w:name w:val="Balloon Text"/>
    <w:basedOn w:val="810"/>
    <w:link w:val="839"/>
    <w:uiPriority w:val="99"/>
    <w:semiHidden/>
    <w:qFormat/>
    <w:rPr>
      <w:rFonts w:ascii="Tahoma" w:hAnsi="Tahoma" w:cs="Tahoma"/>
      <w:sz w:val="16"/>
      <w:szCs w:val="16"/>
    </w:rPr>
  </w:style>
  <w:style w:type="paragraph" w:styleId="875">
    <w:name w:val="footnote text"/>
    <w:basedOn w:val="810"/>
    <w:link w:val="840"/>
    <w:uiPriority w:val="99"/>
  </w:style>
  <w:style w:type="paragraph" w:styleId="876">
    <w:name w:val="endnote text"/>
    <w:basedOn w:val="810"/>
    <w:link w:val="843"/>
    <w:uiPriority w:val="99"/>
    <w:semiHidden/>
  </w:style>
  <w:style w:type="paragraph" w:styleId="877">
    <w:name w:val="Колонтитул"/>
    <w:basedOn w:val="810"/>
    <w:qFormat/>
  </w:style>
  <w:style w:type="paragraph" w:styleId="878">
    <w:name w:val="Footer"/>
    <w:basedOn w:val="810"/>
    <w:link w:val="845"/>
    <w:uiPriority w:val="99"/>
    <w:pPr>
      <w:tabs>
        <w:tab w:val="clear" w:pos="720" w:leader="none"/>
        <w:tab w:val="center" w:pos="4677" w:leader="none"/>
        <w:tab w:val="right" w:pos="9355" w:leader="none"/>
      </w:tabs>
    </w:pPr>
  </w:style>
  <w:style w:type="paragraph" w:styleId="879">
    <w:name w:val="Header"/>
    <w:basedOn w:val="810"/>
    <w:link w:val="847"/>
    <w:uiPriority w:val="99"/>
    <w:pPr>
      <w:tabs>
        <w:tab w:val="clear" w:pos="720" w:leader="none"/>
        <w:tab w:val="center" w:pos="4677" w:leader="none"/>
        <w:tab w:val="right" w:pos="9355" w:leader="none"/>
      </w:tabs>
    </w:pPr>
  </w:style>
  <w:style w:type="paragraph" w:styleId="880" w:customStyle="1">
    <w:name w:val="Знак"/>
    <w:basedOn w:val="810"/>
    <w:uiPriority w:val="99"/>
    <w:qFormat/>
    <w:pPr>
      <w:spacing w:before="0" w:after="160" w:line="240" w:lineRule="exact"/>
      <w:widowControl/>
    </w:pPr>
    <w:rPr>
      <w:rFonts w:ascii="Verdana" w:hAnsi="Verdana" w:cs="Verdana"/>
      <w:lang w:val="en-US" w:eastAsia="en-US"/>
    </w:rPr>
  </w:style>
  <w:style w:type="paragraph" w:styleId="881">
    <w:name w:val="annotation text"/>
    <w:basedOn w:val="810"/>
    <w:link w:val="848"/>
    <w:uiPriority w:val="99"/>
    <w:semiHidden/>
    <w:qFormat/>
  </w:style>
  <w:style w:type="paragraph" w:styleId="882">
    <w:name w:val="List Paragraph"/>
    <w:basedOn w:val="810"/>
    <w:uiPriority w:val="24"/>
    <w:qFormat/>
    <w:pPr>
      <w:contextualSpacing/>
      <w:ind w:left="720" w:firstLine="0"/>
      <w:spacing w:before="0" w:after="0"/>
    </w:pPr>
  </w:style>
  <w:style w:type="paragraph" w:styleId="883">
    <w:name w:val="annotation subject"/>
    <w:basedOn w:val="881"/>
    <w:next w:val="881"/>
    <w:link w:val="849"/>
    <w:uiPriority w:val="99"/>
    <w:semiHidden/>
    <w:qFormat/>
    <w:rPr>
      <w:b/>
      <w:bCs/>
    </w:rPr>
  </w:style>
  <w:style w:type="paragraph" w:styleId="884" w:customStyle="1">
    <w:name w:val="Знак1"/>
    <w:basedOn w:val="810"/>
    <w:uiPriority w:val="99"/>
    <w:qFormat/>
    <w:pPr>
      <w:spacing w:before="0" w:after="160" w:line="240" w:lineRule="exact"/>
      <w:widowControl/>
    </w:pPr>
    <w:rPr>
      <w:rFonts w:ascii="Verdana" w:hAnsi="Verdana" w:cs="Verdana"/>
      <w:lang w:val="en-US" w:eastAsia="en-US"/>
    </w:rPr>
  </w:style>
  <w:style w:type="paragraph" w:styleId="885">
    <w:name w:val="Normal (Web)"/>
    <w:basedOn w:val="810"/>
    <w:uiPriority w:val="99"/>
    <w:qFormat/>
    <w:pPr>
      <w:spacing w:beforeAutospacing="1" w:afterAutospacing="1"/>
      <w:widowControl/>
    </w:pPr>
    <w:rPr>
      <w:rFonts w:ascii="Verdana" w:hAnsi="Verdana"/>
      <w:sz w:val="16"/>
      <w:szCs w:val="16"/>
    </w:rPr>
  </w:style>
  <w:style w:type="paragraph" w:styleId="886">
    <w:name w:val="Revision"/>
    <w:uiPriority w:val="99"/>
    <w:semiHidden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887">
    <w:name w:val="Title"/>
    <w:basedOn w:val="810"/>
    <w:link w:val="852"/>
    <w:uiPriority w:val="39"/>
    <w:qFormat/>
    <w:pPr>
      <w:jc w:val="center"/>
      <w:spacing w:before="0" w:after="240"/>
      <w:widowControl/>
    </w:pPr>
    <w:rPr>
      <w:rFonts w:cs="Arial"/>
      <w:b/>
      <w:sz w:val="24"/>
      <w:szCs w:val="24"/>
      <w:lang w:val="en-US" w:eastAsia="en-US"/>
    </w:rPr>
  </w:style>
  <w:style w:type="paragraph" w:styleId="888" w:customStyle="1">
    <w:name w:val="Default"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styleId="889" w:customStyle="1">
    <w:name w:val="ConsPlusNormal"/>
    <w:qFormat/>
    <w:pPr>
      <w:jc w:val="left"/>
      <w:spacing w:before="0" w:after="0" w:line="240" w:lineRule="auto"/>
      <w:widowControl w:val="off"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890">
    <w:name w:val="toc 1"/>
    <w:basedOn w:val="810"/>
    <w:next w:val="810"/>
    <w:uiPriority w:val="39"/>
    <w:pPr>
      <w:spacing w:before="120" w:after="120"/>
      <w:widowControl/>
      <w:tabs>
        <w:tab w:val="clear" w:pos="720" w:leader="none"/>
        <w:tab w:val="right" w:pos="9348" w:leader="dot"/>
      </w:tabs>
    </w:pPr>
    <w:rPr>
      <w:b/>
      <w:bCs/>
      <w:caps/>
      <w:sz w:val="24"/>
      <w:szCs w:val="24"/>
    </w:rPr>
  </w:style>
  <w:style w:type="paragraph" w:styleId="891">
    <w:name w:val="toc 3"/>
    <w:basedOn w:val="810"/>
    <w:next w:val="810"/>
    <w:uiPriority w:val="39"/>
    <w:pPr>
      <w:ind w:left="480" w:firstLine="0"/>
      <w:widowControl/>
    </w:pPr>
    <w:rPr>
      <w:i/>
      <w:iCs/>
    </w:rPr>
  </w:style>
  <w:style w:type="paragraph" w:styleId="892" w:customStyle="1">
    <w:name w:val="align_center"/>
    <w:basedOn w:val="810"/>
    <w:qFormat/>
    <w:pPr>
      <w:spacing w:beforeAutospacing="1" w:afterAutospacing="1"/>
      <w:widowControl/>
    </w:pPr>
    <w:rPr>
      <w:sz w:val="24"/>
      <w:szCs w:val="24"/>
    </w:rPr>
  </w:style>
  <w:style w:type="paragraph" w:styleId="893" w:customStyle="1">
    <w:name w:val="Style7"/>
    <w:qFormat/>
    <w:pPr>
      <w:jc w:val="both"/>
      <w:spacing w:before="0" w:after="0" w:line="274" w:lineRule="exact"/>
      <w:widowControl/>
    </w:pPr>
    <w:rPr>
      <w:rFonts w:ascii="Times New Roman" w:hAnsi="Times New Roman" w:eastAsia="Times New Roman" w:cs="Times New Roman"/>
      <w:color w:val="auto"/>
      <w:sz w:val="24"/>
      <w:szCs w:val="20"/>
      <w:lang w:val="en-US" w:eastAsia="zh-CN" w:bidi="ar-SA"/>
    </w:rPr>
  </w:style>
  <w:style w:type="paragraph" w:styleId="894">
    <w:name w:val="Содержимое врезки"/>
    <w:basedOn w:val="810"/>
    <w:qFormat/>
  </w:style>
  <w:style w:type="numbering" w:styleId="895" w:default="1">
    <w:name w:val="No List"/>
    <w:uiPriority w:val="99"/>
    <w:semiHidden/>
    <w:unhideWhenUsed/>
    <w:qFormat/>
  </w:style>
  <w:style w:type="table" w:styleId="896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97" w:customStyle="1">
    <w:name w:val="Table Grid Light"/>
    <w:basedOn w:val="89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98">
    <w:name w:val="Plain Table 1"/>
    <w:basedOn w:val="89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99">
    <w:name w:val="Plain Table 2"/>
    <w:basedOn w:val="89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00">
    <w:name w:val="Plain Table 3"/>
    <w:basedOn w:val="8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1">
    <w:name w:val="Plain Table 4"/>
    <w:basedOn w:val="8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Plain Table 5"/>
    <w:basedOn w:val="8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3">
    <w:name w:val="Grid Table 1 Light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Grid Table 1 Light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Grid Table 1 Light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Grid Table 1 Light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Grid Table 1 Light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Grid Table 1 Light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Grid Table 1 Light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Grid Table 2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Grid Table 2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Grid Table 2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Grid Table 2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Grid Table 2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Grid Table 2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Grid Table 3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Grid Table 3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Grid Table 3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Grid Table 3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Grid Table 3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Grid Table 3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4"/>
    <w:basedOn w:val="8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25" w:customStyle="1">
    <w:name w:val="Grid Table 4 - Accent 1"/>
    <w:basedOn w:val="8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sz="4" w:space="0"/>
        </w:tcBorders>
      </w:tcPr>
    </w:tblStylePr>
  </w:style>
  <w:style w:type="table" w:styleId="926" w:customStyle="1">
    <w:name w:val="Grid Table 4 - Accent 2"/>
    <w:basedOn w:val="8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sz="4" w:space="0"/>
        </w:tcBorders>
      </w:tcPr>
    </w:tblStylePr>
  </w:style>
  <w:style w:type="table" w:styleId="927" w:customStyle="1">
    <w:name w:val="Grid Table 4 - Accent 3"/>
    <w:basedOn w:val="8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sz="4" w:space="0"/>
        </w:tcBorders>
      </w:tcPr>
    </w:tblStylePr>
  </w:style>
  <w:style w:type="table" w:styleId="928" w:customStyle="1">
    <w:name w:val="Grid Table 4 - Accent 4"/>
    <w:basedOn w:val="8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sz="4" w:space="0"/>
        </w:tcBorders>
      </w:tcPr>
    </w:tblStylePr>
  </w:style>
  <w:style w:type="table" w:styleId="929" w:customStyle="1">
    <w:name w:val="Grid Table 4 - Accent 5"/>
    <w:basedOn w:val="8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30" w:customStyle="1">
    <w:name w:val="Grid Table 4 - Accent 6"/>
    <w:basedOn w:val="89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31">
    <w:name w:val="Grid Table 5 Dark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32" w:customStyle="1">
    <w:name w:val="Grid Table 5 Dark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933" w:customStyle="1">
    <w:name w:val="Grid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934" w:customStyle="1">
    <w:name w:val="Grid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935" w:customStyle="1">
    <w:name w:val="Grid Table 5 Dark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936" w:customStyle="1">
    <w:name w:val="Grid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937" w:customStyle="1">
    <w:name w:val="Grid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938">
    <w:name w:val="Grid Table 6 Colorful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39" w:customStyle="1">
    <w:name w:val="Grid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40" w:customStyle="1">
    <w:name w:val="Grid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41" w:customStyle="1">
    <w:name w:val="Grid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42" w:customStyle="1">
    <w:name w:val="Grid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43" w:customStyle="1">
    <w:name w:val="Grid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44" w:customStyle="1">
    <w:name w:val="Grid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45">
    <w:name w:val="Grid Table 7 Colorful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Grid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Grid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Grid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Grid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Grid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Grid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List Table 1 Light"/>
    <w:basedOn w:val="8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List Table 1 Light - Accent 1"/>
    <w:basedOn w:val="8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List Table 1 Light - Accent 2"/>
    <w:basedOn w:val="8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List Table 1 Light - Accent 3"/>
    <w:basedOn w:val="8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List Table 1 Light - Accent 4"/>
    <w:basedOn w:val="8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List Table 1 Light - Accent 5"/>
    <w:basedOn w:val="8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List Table 1 Light - Accent 6"/>
    <w:basedOn w:val="89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960" w:customStyle="1">
    <w:name w:val="List Table 2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</w:style>
  <w:style w:type="table" w:styleId="961" w:customStyle="1">
    <w:name w:val="List Table 2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</w:style>
  <w:style w:type="table" w:styleId="962" w:customStyle="1">
    <w:name w:val="List Table 2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</w:style>
  <w:style w:type="table" w:styleId="963" w:customStyle="1">
    <w:name w:val="List Table 2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</w:style>
  <w:style w:type="table" w:styleId="964" w:customStyle="1">
    <w:name w:val="List Table 2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</w:style>
  <w:style w:type="table" w:styleId="965" w:customStyle="1">
    <w:name w:val="List Table 2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</w:style>
  <w:style w:type="table" w:styleId="966">
    <w:name w:val="List Table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 w:customStyle="1">
    <w:name w:val="List Table 3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8" w:customStyle="1">
    <w:name w:val="List Table 3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 w:customStyle="1">
    <w:name w:val="List Table 3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0" w:customStyle="1">
    <w:name w:val="List Table 3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 w:customStyle="1">
    <w:name w:val="List Table 3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 w:customStyle="1">
    <w:name w:val="List Table 3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 w:customStyle="1">
    <w:name w:val="List Table 4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 w:customStyle="1">
    <w:name w:val="List Table 4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 w:customStyle="1">
    <w:name w:val="List Table 4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 w:customStyle="1">
    <w:name w:val="List Table 4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 w:customStyle="1">
    <w:name w:val="List Table 4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 w:customStyle="1">
    <w:name w:val="List Table 4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5 Dark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1" w:customStyle="1">
    <w:name w:val="List Table 5 Dark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2" w:customStyle="1">
    <w:name w:val="List Table 5 Dark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D99695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3" w:customStyle="1">
    <w:name w:val="List Table 5 Dark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C3D69B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4" w:customStyle="1">
    <w:name w:val="List Table 5 Dark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B2A1C6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5" w:customStyle="1">
    <w:name w:val="List Table 5 Dark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92CCDC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6" w:customStyle="1">
    <w:name w:val="List Table 5 Dark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AC090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7">
    <w:name w:val="List Table 6 Colorful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988" w:customStyle="1">
    <w:name w:val="List Table 6 Colorful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89" w:customStyle="1">
    <w:name w:val="List Table 6 Colorful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sz="4" w:space="0"/>
        </w:tcBorders>
      </w:tcPr>
    </w:tblStylePr>
  </w:style>
  <w:style w:type="table" w:styleId="990" w:customStyle="1">
    <w:name w:val="List Table 6 Colorful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sz="4" w:space="0"/>
        </w:tcBorders>
      </w:tcPr>
    </w:tblStylePr>
  </w:style>
  <w:style w:type="table" w:styleId="991" w:customStyle="1">
    <w:name w:val="List Table 6 Colorful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sz="4" w:space="0"/>
        </w:tcBorders>
      </w:tcPr>
    </w:tblStylePr>
  </w:style>
  <w:style w:type="table" w:styleId="992" w:customStyle="1">
    <w:name w:val="List Table 6 Colorful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sz="4" w:space="0"/>
        </w:tcBorders>
      </w:tcPr>
    </w:tblStylePr>
  </w:style>
  <w:style w:type="table" w:styleId="993" w:customStyle="1">
    <w:name w:val="List Table 6 Colorful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sz="4" w:space="0"/>
        </w:tcBorders>
      </w:tcPr>
    </w:tblStylePr>
  </w:style>
  <w:style w:type="table" w:styleId="994">
    <w:name w:val="List Table 7 Colorful"/>
    <w:basedOn w:val="8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 w:customStyle="1">
    <w:name w:val="List Table 7 Colorful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 w:customStyle="1">
    <w:name w:val="List Table 7 Colorful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 w:customStyle="1">
    <w:name w:val="List Table 7 Colorful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 w:customStyle="1">
    <w:name w:val="List Table 7 Colorful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 w:customStyle="1">
    <w:name w:val="List Table 7 Colorful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 w:customStyle="1">
    <w:name w:val="List Table 7 Colorful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 w:customStyle="1">
    <w:name w:val="Lined - Accent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1002" w:customStyle="1">
    <w:name w:val="Lined - Accent 1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1003" w:customStyle="1">
    <w:name w:val="Lined - Accent 2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1004" w:customStyle="1">
    <w:name w:val="Lined - Accent 3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1005" w:customStyle="1">
    <w:name w:val="Lined - Accent 4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1006" w:customStyle="1">
    <w:name w:val="Lined - Accent 5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1007" w:customStyle="1">
    <w:name w:val="Lined - Accent 6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1008" w:customStyle="1">
    <w:name w:val="Bordered &amp; Lined - Accent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1009" w:customStyle="1">
    <w:name w:val="Bordered &amp; Lined - Accent 1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1010" w:customStyle="1">
    <w:name w:val="Bordered &amp; Lined - Accent 2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1011" w:customStyle="1">
    <w:name w:val="Bordered &amp; Lined - Accent 3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1012" w:customStyle="1">
    <w:name w:val="Bordered &amp; Lined - Accent 4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1013" w:customStyle="1">
    <w:name w:val="Bordered &amp; Lined - Accent 5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1014" w:customStyle="1">
    <w:name w:val="Bordered &amp; Lined - Accent 6"/>
    <w:basedOn w:val="89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1015" w:customStyle="1">
    <w:name w:val="Bordered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1016" w:customStyle="1">
    <w:name w:val="Bordered - Accent 1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17" w:customStyle="1">
    <w:name w:val="Bordered - Accent 2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D99695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D99695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D99695" w:themeColor="accent2" w:sz="12" w:space="0"/>
        </w:tcBorders>
      </w:tcPr>
    </w:tblStylePr>
  </w:style>
  <w:style w:type="table" w:styleId="1018" w:customStyle="1">
    <w:name w:val="Bordered - Accent 3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3D69B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3D69B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3D69B" w:themeColor="accent3" w:sz="12" w:space="0"/>
        </w:tcBorders>
      </w:tcPr>
    </w:tblStylePr>
  </w:style>
  <w:style w:type="table" w:styleId="1019" w:customStyle="1">
    <w:name w:val="Bordered - Accent 4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B2A1C6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B2A1C6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B2A1C6" w:themeColor="accent4" w:sz="12" w:space="0"/>
        </w:tcBorders>
      </w:tcPr>
    </w:tblStylePr>
  </w:style>
  <w:style w:type="table" w:styleId="1020" w:customStyle="1">
    <w:name w:val="Bordered - Accent 5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2CCDC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2CCDC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2CCDC" w:themeColor="accent5" w:sz="12" w:space="0"/>
        </w:tcBorders>
      </w:tcPr>
    </w:tblStylePr>
  </w:style>
  <w:style w:type="table" w:styleId="1021" w:customStyle="1">
    <w:name w:val="Bordered - Accent 6"/>
    <w:basedOn w:val="89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AC09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AC09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AC090" w:themeColor="accent6" w:sz="12" w:space="0"/>
        </w:tcBorders>
      </w:tcPr>
    </w:tblStylePr>
  </w:style>
  <w:style w:type="table" w:styleId="1022">
    <w:name w:val="Table Grid"/>
    <w:basedOn w:val="896"/>
    <w:uiPriority w:val="99"/>
    <w:pPr>
      <w:spacing w:after="0" w:line="240" w:lineRule="auto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23" w:customStyle="1">
    <w:name w:val="Сетка таблицы1"/>
    <w:pPr>
      <w:spacing w:after="0" w:line="240" w:lineRule="auto"/>
    </w:pPr>
    <w:rPr>
      <w:sz w:val="20"/>
      <w:szCs w:val="20"/>
      <w:lang w:eastAsia="zh-CN" w:bidi="ru-RU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customXml" Target="../customXml/item1.xml" /><Relationship Id="rId13" Type="http://schemas.openxmlformats.org/officeDocument/2006/relationships/hyperlink" Target="https://kamenergo.ru/investors/raskrytie/insayderskaya-informatsiya/" TargetMode="External"/><Relationship Id="rId14" Type="http://schemas.openxmlformats.org/officeDocument/2006/relationships/hyperlink" Target="consultantplus://offline/ref=2A4C38701EA8DA1D56F9FF996BA860A258B76325B025ABD93D583C08F0BC60239ADF4B02CCDC128Cv5IDO" TargetMode="External"/><Relationship Id="rId15" Type="http://schemas.openxmlformats.org/officeDocument/2006/relationships/hyperlink" Target="http://www.e-disclosure.ru/portal/company.aspx?id=1409" TargetMode="External"/><Relationship Id="rId16" Type="http://schemas.openxmlformats.org/officeDocument/2006/relationships/hyperlink" Target="http://www.kamenergo.ru/" TargetMode="External"/><Relationship Id="rId17" Type="http://schemas.openxmlformats.org/officeDocument/2006/relationships/image" Target="media/image1.jpg"/><Relationship Id="rId18" Type="http://schemas.openxmlformats.org/officeDocument/2006/relationships/hyperlink" Target="consultantplus://offline/ref=2B70F4A297CDB716C9D486DADE54556F0D870A47E7BA8A028837B60814A38A57864AA2FEA1D3B73BB064938559F65D3BA7A94488F43CCFFBR0IBO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0F0A1-7EE8-42E4-B3AD-7E3604732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Р7-Офис/7.4.0.223</Application>
  <Company>РусГидро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Информационной политике.RTF</dc:title>
  <dc:subject/>
  <dc:creator>TihonovaYaA@rushydro.ru</dc:creator>
  <dc:description/>
  <dc:language>ru-RU</dc:language>
  <cp:revision>34</cp:revision>
  <dcterms:created xsi:type="dcterms:W3CDTF">2023-04-04T07:26:00Z</dcterms:created>
  <dcterms:modified xsi:type="dcterms:W3CDTF">2025-03-10T04:35:12Z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